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03"/>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71"/>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63"/>
        </w:trPr>
        <w:tc>
          <w:tcPr>
            <w:tcW w:w="29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76"/>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97"/>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360" w:firstLine="342"/>
        <w:spacing w:after="0" w:line="268" w:lineRule="auto"/>
        <w:rPr>
          <w:sz w:val="20"/>
          <w:szCs w:val="20"/>
          <w:color w:val="auto"/>
        </w:rPr>
      </w:pPr>
      <w:r>
        <w:rPr>
          <w:rFonts w:ascii="Arial" w:cs="Arial" w:eastAsia="Arial" w:hAnsi="Arial"/>
          <w:sz w:val="18"/>
          <w:szCs w:val="18"/>
          <w:color w:val="auto"/>
        </w:rPr>
        <w:t>As of July 24, 2013, there were 129,056,081 shares of the Registrant’s Class A common stock (including 7,115,597 shares held by subsidiaries)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June 30, 2013 of approximately 99.5%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8">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40" w:type="dxa"/>
            <w:vAlign w:val="bottom"/>
            <w:gridSpan w:val="3"/>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June 30, 2013 and December 31, 2012</w:t>
              </w:r>
            </w:hyperlink>
          </w:p>
        </w:tc>
        <w:tc>
          <w:tcPr>
            <w:tcW w:w="3700" w:type="dxa"/>
            <w:vAlign w:val="bottom"/>
            <w:gridSpan w:val="5"/>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340" w:type="dxa"/>
            <w:vAlign w:val="bottom"/>
            <w:tcBorders>
              <w:bottom w:val="single" w:sz="8" w:color="0000EE"/>
            </w:tcBorders>
            <w:gridSpan w:val="3"/>
            <w:vMerge w:val="continue"/>
          </w:tcPr>
          <w:p>
            <w:pPr>
              <w:spacing w:after="0"/>
              <w:rPr>
                <w:sz w:val="13"/>
                <w:szCs w:val="13"/>
                <w:color w:val="auto"/>
              </w:rPr>
            </w:pPr>
          </w:p>
        </w:tc>
        <w:tc>
          <w:tcPr>
            <w:tcW w:w="3700" w:type="dxa"/>
            <w:vAlign w:val="bottom"/>
            <w:gridSpan w:val="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88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six month periods ended June 30, 2013 and 2012</w:t>
              </w:r>
            </w:hyperlink>
          </w:p>
        </w:tc>
        <w:tc>
          <w:tcPr>
            <w:tcW w:w="22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96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six month periods ended June 30, 2013 and 2012</w:t>
              </w:r>
            </w:hyperlink>
          </w:p>
        </w:tc>
        <w:tc>
          <w:tcPr>
            <w:tcW w:w="1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 periods ended June 30, 2013 and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1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Stockholders’ Equity for the six month periods ended June 30, 2013 and 2012</w:t>
              </w:r>
            </w:hyperlink>
          </w:p>
        </w:tc>
        <w:tc>
          <w:tcPr>
            <w:tcW w:w="1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440" w:type="dxa"/>
            <w:vAlign w:val="bottom"/>
          </w:tcPr>
          <w:p>
            <w:pPr>
              <w:jc w:val="right"/>
              <w:ind w:right="149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AND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601,485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344,839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60,767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65,232</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 of allowance for doubtful accounts of $24,593 and $23,017 at June 30, 2013 and December 31, 2012,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Fees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391,762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117,902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524,906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449,364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414,673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w w:val="90"/>
              </w:rPr>
              <w:t>Property (net of accumulated amortization and depreciation of $232,487 and $225,861 at June 30, 2013 and December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2012, respectively)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241,949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225,033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6"/>
              </w:rPr>
              <w:t>Goodwill and other intangible assets (net of accumulated amortization of $37,162 and $35,281 at June 30, 2013 and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2012, respectively)</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375,207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2,921,229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2,986,893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AND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385,985</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2,329,018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2,335,353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June 30, 2013 and December 31, 2012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Class A, par value $.01 per share (500,000,000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w w:val="97"/>
              </w:rPr>
              <w:t>129,056,081 and 128,216,423 shares issued and outstanding at June 30, 2013 and December 31, 2012,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respectively, including shares held by subsidiaries as indicated below)</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Class B, par value $.01 per share (1 share authorized, issued and outstanding at June 30, 2013 and December 31,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659,365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(141,489)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Class A common stock held by subsidiaries, at cost (7,159,311 and 12,802,938 shares at June 30, 2013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December 31, 2012, respectively)</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(195,040)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(349,782)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592,211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2,921,229</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2,986,893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2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28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June 30,</w:t>
            </w:r>
          </w:p>
        </w:tc>
        <w:tc>
          <w:tcPr>
            <w:tcW w:w="2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940" w:type="dxa"/>
            <w:vAlign w:val="bottom"/>
          </w:tcPr>
          <w:p>
            <w:pPr>
              <w:jc w:val="right"/>
              <w:spacing w:after="0"/>
              <w:rPr>
                <w:sz w:val="20"/>
                <w:szCs w:val="20"/>
                <w:color w:val="auto"/>
              </w:rPr>
            </w:pPr>
            <w:r>
              <w:rPr>
                <w:rFonts w:ascii="Arial" w:cs="Arial" w:eastAsia="Arial" w:hAnsi="Arial"/>
                <w:sz w:val="18"/>
                <w:szCs w:val="18"/>
                <w:color w:val="auto"/>
              </w:rPr>
              <w:t>$260,241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$240,306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$428,345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management fees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234,921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201,642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466,058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1,345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1,715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2,476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35,895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510,716</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457,231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932,774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963,692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40,466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860"/>
              <w:spacing w:after="0"/>
              <w:rPr>
                <w:sz w:val="20"/>
                <w:szCs w:val="20"/>
                <w:color w:val="auto"/>
              </w:rPr>
            </w:pPr>
            <w:r>
              <w:rPr>
                <w:rFonts w:ascii="Arial" w:cs="Arial" w:eastAsia="Arial" w:hAnsi="Arial"/>
                <w:sz w:val="18"/>
                <w:szCs w:val="18"/>
                <w:color w:val="auto"/>
              </w:rPr>
              <w:t>Net revenue</w:t>
            </w: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490,405</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436,910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892,308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940" w:type="dxa"/>
            <w:vAlign w:val="bottom"/>
          </w:tcPr>
          <w:p>
            <w:pPr>
              <w:jc w:val="right"/>
              <w:spacing w:after="0"/>
              <w:rPr>
                <w:sz w:val="20"/>
                <w:szCs w:val="20"/>
                <w:color w:val="auto"/>
              </w:rPr>
            </w:pPr>
            <w:r>
              <w:rPr>
                <w:rFonts w:ascii="Arial" w:cs="Arial" w:eastAsia="Arial" w:hAnsi="Arial"/>
                <w:sz w:val="18"/>
                <w:szCs w:val="18"/>
                <w:color w:val="auto"/>
              </w:rPr>
              <w:t>331,131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283,392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608,870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621,709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28,347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69,042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940" w:type="dxa"/>
            <w:vAlign w:val="bottom"/>
          </w:tcPr>
          <w:p>
            <w:pPr>
              <w:jc w:val="right"/>
              <w:spacing w:after="0"/>
              <w:rPr>
                <w:sz w:val="20"/>
                <w:szCs w:val="20"/>
                <w:color w:val="auto"/>
              </w:rPr>
            </w:pPr>
            <w:r>
              <w:rPr>
                <w:rFonts w:ascii="Arial" w:cs="Arial" w:eastAsia="Arial" w:hAnsi="Arial"/>
                <w:sz w:val="18"/>
                <w:szCs w:val="18"/>
                <w:color w:val="auto"/>
              </w:rPr>
              <w:t>25,377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22,322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43,569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43,114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940" w:type="dxa"/>
            <w:vAlign w:val="bottom"/>
          </w:tcPr>
          <w:p>
            <w:pPr>
              <w:jc w:val="right"/>
              <w:spacing w:after="0"/>
              <w:rPr>
                <w:sz w:val="20"/>
                <w:szCs w:val="20"/>
                <w:color w:val="auto"/>
              </w:rPr>
            </w:pPr>
            <w:r>
              <w:rPr>
                <w:rFonts w:ascii="Arial" w:cs="Arial" w:eastAsia="Arial" w:hAnsi="Arial"/>
                <w:sz w:val="18"/>
                <w:szCs w:val="18"/>
                <w:color w:val="auto"/>
              </w:rPr>
              <w:t>10,706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13,274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19,319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12,670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28,853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940" w:type="dxa"/>
            <w:vAlign w:val="bottom"/>
          </w:tcPr>
          <w:p>
            <w:pPr>
              <w:jc w:val="right"/>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2,560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1,881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15,125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449,467</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392,377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829,773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840,593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44,533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62,535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940" w:type="dxa"/>
            <w:vAlign w:val="bottom"/>
          </w:tcPr>
          <w:p>
            <w:pPr>
              <w:jc w:val="right"/>
              <w:spacing w:after="0"/>
              <w:rPr>
                <w:sz w:val="20"/>
                <w:szCs w:val="20"/>
                <w:color w:val="auto"/>
              </w:rPr>
            </w:pPr>
            <w:r>
              <w:rPr>
                <w:rFonts w:ascii="Arial" w:cs="Arial" w:eastAsia="Arial" w:hAnsi="Arial"/>
                <w:sz w:val="18"/>
                <w:szCs w:val="18"/>
                <w:color w:val="auto"/>
              </w:rPr>
              <w:t>9,017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10,371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12,965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34,162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49,570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b w:val="1"/>
                <w:bCs w:val="1"/>
                <w:color w:val="auto"/>
              </w:rPr>
              <w:t>LESS - NET INCOME ATTRIBUTABLE TO</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tcPr>
          <w:p>
            <w:pPr>
              <w:ind w:left="200"/>
              <w:spacing w:after="0"/>
              <w:rPr>
                <w:sz w:val="20"/>
                <w:szCs w:val="20"/>
                <w:color w:val="auto"/>
              </w:rPr>
            </w:pPr>
            <w:r>
              <w:rPr>
                <w:rFonts w:ascii="Arial" w:cs="Arial" w:eastAsia="Arial" w:hAnsi="Arial"/>
                <w:sz w:val="18"/>
                <w:szCs w:val="18"/>
                <w:b w:val="1"/>
                <w:bCs w:val="1"/>
                <w:color w:val="auto"/>
              </w:rPr>
              <w:t>NONCONTROLLING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3,341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2,857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$ 31,353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$ 30,821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$ 46,713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$ 56,373</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tcPr>
          <w:p>
            <w:pPr>
              <w:ind w:left="200"/>
              <w:spacing w:after="0"/>
              <w:rPr>
                <w:sz w:val="20"/>
                <w:szCs w:val="20"/>
                <w:color w:val="auto"/>
              </w:rPr>
            </w:pPr>
            <w:r>
              <w:rPr>
                <w:rFonts w:ascii="Arial" w:cs="Arial" w:eastAsia="Arial" w:hAnsi="Arial"/>
                <w:sz w:val="18"/>
                <w:szCs w:val="18"/>
                <w:b w:val="1"/>
                <w:bCs w:val="1"/>
                <w:color w:val="auto"/>
              </w:rPr>
              <w:t>COMMON STOCKHOLDERS: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40"/>
              <w:spacing w:after="0"/>
              <w:rPr>
                <w:sz w:val="20"/>
                <w:szCs w:val="20"/>
                <w:color w:val="auto"/>
              </w:rPr>
            </w:pPr>
            <w:r>
              <w:rPr>
                <w:rFonts w:ascii="Arial" w:cs="Arial" w:eastAsia="Arial" w:hAnsi="Arial"/>
                <w:sz w:val="18"/>
                <w:szCs w:val="18"/>
                <w:color w:val="auto"/>
              </w:rPr>
              <w:t>Basic</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121,759,982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118,235,320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119,734,093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118,732,431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132,464,296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134,636,935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132,639,928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135,615,557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$ 31,921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34,162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$ 49,570</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1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(18,334)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(21,083)</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(30,767)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1160" w:type="dxa"/>
            <w:vAlign w:val="bottom"/>
            <w:gridSpan w:val="2"/>
          </w:tcPr>
          <w:p>
            <w:pPr>
              <w:jc w:val="right"/>
              <w:ind w:right="432"/>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263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5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w w:val="96"/>
              </w:rPr>
              <w:t>Actuarial gain (loss) (net of tax benefit (expense) of $(84) and $1,443 for the three</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60"/>
              <w:spacing w:after="0"/>
              <w:rPr>
                <w:sz w:val="20"/>
                <w:szCs w:val="20"/>
                <w:color w:val="auto"/>
              </w:rPr>
            </w:pPr>
            <w:r>
              <w:rPr>
                <w:rFonts w:ascii="Arial" w:cs="Arial" w:eastAsia="Arial" w:hAnsi="Arial"/>
                <w:sz w:val="18"/>
                <w:szCs w:val="18"/>
                <w:color w:val="auto"/>
                <w:w w:val="95"/>
              </w:rPr>
              <w:t>months ended June 30, 2013 and 2012, respectively, and $1,711 and $2,725 for</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1060"/>
              <w:spacing w:after="0"/>
              <w:rPr>
                <w:sz w:val="20"/>
                <w:szCs w:val="20"/>
                <w:color w:val="auto"/>
              </w:rPr>
            </w:pPr>
            <w:r>
              <w:rPr>
                <w:rFonts w:ascii="Arial" w:cs="Arial" w:eastAsia="Arial" w:hAnsi="Arial"/>
                <w:sz w:val="18"/>
                <w:szCs w:val="18"/>
                <w:color w:val="auto"/>
              </w:rPr>
              <w:t>the six months ended June 30, 2013 and 2012, respectively)</w:t>
            </w:r>
          </w:p>
        </w:tc>
        <w:tc>
          <w:tcPr>
            <w:tcW w:w="1160" w:type="dxa"/>
            <w:vAlign w:val="bottom"/>
            <w:gridSpan w:val="2"/>
          </w:tcPr>
          <w:p>
            <w:pPr>
              <w:jc w:val="right"/>
              <w:ind w:right="432"/>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(3,457)</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(2,719)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Adjustment for items reclassified to earnings (net of tax expense of $400 and $281</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5"/>
              </w:rPr>
              <w:t>for the three months ended June 30, 2013 and 2012, respectively, and $802 and</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$578 for the six months ended June 30, 2013 and 2012, respectively)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2"/>
            <w:vMerge w:val="continue"/>
          </w:tcPr>
          <w:p>
            <w:pPr>
              <w:spacing w:after="0"/>
              <w:rPr>
                <w:sz w:val="19"/>
                <w:szCs w:val="19"/>
                <w:color w:val="auto"/>
              </w:rPr>
            </w:pPr>
          </w:p>
        </w:tc>
        <w:tc>
          <w:tcPr>
            <w:tcW w:w="1160" w:type="dxa"/>
            <w:vAlign w:val="bottom"/>
            <w:gridSpan w:val="2"/>
          </w:tcPr>
          <w:p>
            <w:pPr>
              <w:jc w:val="right"/>
              <w:ind w:right="372"/>
              <w:spacing w:after="0"/>
              <w:rPr>
                <w:sz w:val="20"/>
                <w:szCs w:val="20"/>
                <w:color w:val="auto"/>
              </w:rPr>
            </w:pPr>
            <w:r>
              <w:rPr>
                <w:rFonts w:ascii="Arial" w:cs="Arial" w:eastAsia="Arial" w:hAnsi="Arial"/>
                <w:sz w:val="18"/>
                <w:szCs w:val="18"/>
                <w:color w:val="auto"/>
              </w:rPr>
              <w:t>(16,155)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(23,451)</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(30,529)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10,711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19,041</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57,378</w:t>
            </w:r>
          </w:p>
        </w:tc>
        <w:tc>
          <w:tcPr>
            <w:tcW w:w="0" w:type="dxa"/>
            <w:vAlign w:val="bottom"/>
          </w:tcPr>
          <w:p>
            <w:pPr>
              <w:spacing w:after="0"/>
              <w:rPr>
                <w:sz w:val="1"/>
                <w:szCs w:val="1"/>
                <w:color w:val="auto"/>
              </w:rPr>
            </w:pPr>
          </w:p>
        </w:tc>
      </w:tr>
      <w:tr>
        <w:trPr>
          <w:trHeight w:val="31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LESS - COMPREHENSIVE INCOME ATTRIBUTABLE TO NONCONTROLLING</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660" w:type="dxa"/>
            <w:vAlign w:val="bottom"/>
          </w:tcPr>
          <w:p>
            <w:pPr>
              <w:jc w:val="right"/>
              <w:spacing w:after="0"/>
              <w:rPr>
                <w:sz w:val="20"/>
                <w:szCs w:val="20"/>
                <w:color w:val="auto"/>
              </w:rPr>
            </w:pPr>
            <w:r>
              <w:rPr>
                <w:rFonts w:ascii="Arial" w:cs="Arial" w:eastAsia="Arial" w:hAnsi="Arial"/>
                <w:sz w:val="18"/>
                <w:szCs w:val="18"/>
                <w:color w:val="auto"/>
              </w:rPr>
              <w:t>546</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2,096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2,678</w:t>
            </w:r>
          </w:p>
        </w:tc>
        <w:tc>
          <w:tcPr>
            <w:tcW w:w="5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$ 15,220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$ 16,363</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49,570</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incentive compensation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and interest rate hedge</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166,905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173,083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with banks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(55,064)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(54,872)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(37,502)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(91,386)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120,637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(106,446)</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(127,851)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(41,347)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(35,608)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(46,888)</w:t>
            </w: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(1,542)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Purchase of Class A common stock</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(50,447)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A common stock dividends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(30,338)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(119,782)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(207,282)</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(238,908)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(248,705)</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(252,553)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850,190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1,003,791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EQUIVALENTS—June 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601,485</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751,238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740" w:type="dxa"/>
            <w:vAlign w:val="bottom"/>
            <w:gridSpan w:val="3"/>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2"/>
              </w:rPr>
              <w:t>Series A</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4"/>
                <w:szCs w:val="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40" w:type="dxa"/>
            <w:vAlign w:val="bottom"/>
          </w:tcPr>
          <w:p>
            <w:pPr>
              <w:spacing w:after="0"/>
              <w:rPr>
                <w:sz w:val="9"/>
                <w:szCs w:val="9"/>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6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4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2012</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123,009,312</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$1,230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659,013</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$ 258,646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(88,364)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3,492,017</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$(104,382)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726,143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140,713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866,856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56,373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56,373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63,218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w w:val="88"/>
              </w:rPr>
              <w:t>Other comprehensive income (loss) -</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420"/>
              <w:spacing w:after="0" w:line="159" w:lineRule="exact"/>
              <w:rPr>
                <w:sz w:val="20"/>
                <w:szCs w:val="20"/>
                <w:color w:val="auto"/>
              </w:rPr>
            </w:pPr>
            <w:r>
              <w:rPr>
                <w:rFonts w:ascii="Arial" w:cs="Arial" w:eastAsia="Arial" w:hAnsi="Arial"/>
                <w:sz w:val="14"/>
                <w:szCs w:val="14"/>
                <w:color w:val="auto"/>
              </w:rPr>
              <w:t>net of tax:</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(2,004)</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(2,004)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640"/>
              <w:spacing w:after="0" w:line="138" w:lineRule="exact"/>
              <w:rPr>
                <w:sz w:val="20"/>
                <w:szCs w:val="20"/>
                <w:color w:val="auto"/>
              </w:rPr>
            </w:pPr>
            <w:r>
              <w:rPr>
                <w:rFonts w:ascii="Arial" w:cs="Arial" w:eastAsia="Arial" w:hAnsi="Arial"/>
                <w:sz w:val="14"/>
                <w:szCs w:val="14"/>
                <w:color w:val="auto"/>
                <w:w w:val="93"/>
              </w:rPr>
              <w:t>Amortization of interest rate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500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(5,747)</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(5,747)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(307)</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1,558</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1,558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1,641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50,680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6,698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57,378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Business acquisitions and related equity</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transactions: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420"/>
              <w:spacing w:after="0" w:line="149" w:lineRule="exact"/>
              <w:rPr>
                <w:sz w:val="20"/>
                <w:szCs w:val="20"/>
                <w:color w:val="auto"/>
              </w:rPr>
            </w:pPr>
            <w:r>
              <w:rPr>
                <w:rFonts w:ascii="Arial" w:cs="Arial" w:eastAsia="Arial" w:hAnsi="Arial"/>
                <w:sz w:val="14"/>
                <w:szCs w:val="14"/>
                <w:color w:val="auto"/>
              </w:rPr>
              <w:t>issued/issuable (including</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420"/>
              <w:spacing w:after="0" w:line="159" w:lineRule="exact"/>
              <w:rPr>
                <w:sz w:val="20"/>
                <w:szCs w:val="20"/>
                <w:color w:val="auto"/>
              </w:rPr>
            </w:pPr>
            <w:r>
              <w:rPr>
                <w:rFonts w:ascii="Arial" w:cs="Arial" w:eastAsia="Arial" w:hAnsi="Arial"/>
                <w:sz w:val="14"/>
                <w:szCs w:val="14"/>
                <w:color w:val="auto"/>
              </w:rPr>
              <w:t>related amortization)</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2,865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2,865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153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Amortization of share-based incentive</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144,766</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144,766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7,720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152,486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7,277</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(7,326)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(43,011)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(43,011)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5,706,592</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(152,413)</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(152,413)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(152,413)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Delivery of Class A common stock in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incentive compensation and related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96"/>
              </w:rPr>
              <w:t>(119,757)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 expense of $972</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2"/>
              </w:rPr>
              <w:t>(2,808,832)</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89,413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(30,344)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(30,393)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w w:val="89"/>
              </w:rPr>
              <w:t>exchange for Lazard Group common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membership 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186,701</w:t>
            </w:r>
          </w:p>
        </w:tc>
        <w:tc>
          <w:tcPr>
            <w:tcW w:w="5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Distributions to noncontrolling interests,</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(12,678)</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(12,678)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Deconsolidation of investment</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companies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(14,783)</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(14,783)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Adjustments related to noncontrolling</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5,902</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(114)</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5,788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(5,788)</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June 30, 2012</w:t>
            </w: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80" w:type="dxa"/>
            <w:vAlign w:val="bottom"/>
            <w:gridSpan w:val="2"/>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ind w:left="140"/>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123,196,013</w:t>
            </w:r>
          </w:p>
        </w:tc>
        <w:tc>
          <w:tcPr>
            <w:tcW w:w="56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1,232</w:t>
            </w:r>
          </w:p>
        </w:tc>
        <w:tc>
          <w:tcPr>
            <w:tcW w:w="120" w:type="dxa"/>
            <w:vAlign w:val="bottom"/>
            <w:gridSpan w:val="2"/>
          </w:tcPr>
          <w:p>
            <w:pPr>
              <w:ind w:left="6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700,064</w:t>
            </w:r>
          </w:p>
        </w:tc>
        <w:tc>
          <w:tcPr>
            <w:tcW w:w="14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0"/>
              </w:rPr>
              <w:t>$ 264,682</w:t>
            </w:r>
          </w:p>
        </w:tc>
        <w:tc>
          <w:tcPr>
            <w:tcW w:w="100" w:type="dxa"/>
            <w:vAlign w:val="bottom"/>
          </w:tcPr>
          <w:p>
            <w:pPr>
              <w:spacing w:after="0"/>
              <w:rPr>
                <w:sz w:val="13"/>
                <w:szCs w:val="13"/>
                <w:color w:val="auto"/>
              </w:rPr>
            </w:pPr>
          </w:p>
        </w:tc>
        <w:tc>
          <w:tcPr>
            <w:tcW w:w="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(94,171)</w:t>
            </w: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9"/>
              </w:rPr>
              <w:t>6,389,777</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(167,382)</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704,425</w:t>
            </w: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121,983</w:t>
            </w:r>
          </w:p>
        </w:tc>
        <w:tc>
          <w:tcPr>
            <w:tcW w:w="1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826,408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40" w:right="26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123,009,311 and 123,196,012 shares of the Company’s Class A common stock issued at January 1, 2012 and June 30, 2012,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48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080" w:type="dxa"/>
            <w:vAlign w:val="bottom"/>
            <w:gridSpan w:val="5"/>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Series A</w:t>
            </w: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8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80" w:type="dxa"/>
            <w:vAlign w:val="bottom"/>
            <w:gridSpan w:val="5"/>
            <w:vMerge w:val="continue"/>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8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08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32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9"/>
              </w:rPr>
              <w:t>Common Stock</w:t>
            </w: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40" w:type="dxa"/>
            <w:vAlign w:val="bottom"/>
          </w:tcPr>
          <w:p>
            <w:pPr>
              <w:spacing w:after="0"/>
              <w:rPr>
                <w:sz w:val="9"/>
                <w:szCs w:val="9"/>
                <w:color w:val="auto"/>
              </w:rPr>
            </w:pP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10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8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5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7"/>
              </w:rPr>
              <w:t>Shares(*)</w:t>
            </w:r>
          </w:p>
        </w:tc>
        <w:tc>
          <w:tcPr>
            <w:tcW w:w="4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of Tax</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2013</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7"/>
              </w:rPr>
              <w:t>128,216,424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$1,282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846,050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$ 182,647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(110,541)</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12,802,938</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$(349,782)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569,656</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81,884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651,540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6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46,713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46,713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ind w:left="200"/>
              <w:spacing w:after="0" w:line="138" w:lineRule="exact"/>
              <w:rPr>
                <w:sz w:val="20"/>
                <w:szCs w:val="20"/>
                <w:color w:val="auto"/>
              </w:rPr>
            </w:pPr>
            <w:r>
              <w:rPr>
                <w:rFonts w:ascii="Arial" w:cs="Arial" w:eastAsia="Arial" w:hAnsi="Arial"/>
                <w:sz w:val="14"/>
                <w:szCs w:val="14"/>
                <w:color w:val="auto"/>
                <w:w w:val="91"/>
              </w:rPr>
              <w:t>Other comprehensive income (loss)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420"/>
              <w:spacing w:after="0" w:line="159" w:lineRule="exact"/>
              <w:rPr>
                <w:sz w:val="20"/>
                <w:szCs w:val="20"/>
                <w:color w:val="auto"/>
              </w:rPr>
            </w:pPr>
            <w:r>
              <w:rPr>
                <w:rFonts w:ascii="Arial" w:cs="Arial" w:eastAsia="Arial" w:hAnsi="Arial"/>
                <w:sz w:val="14"/>
                <w:szCs w:val="14"/>
                <w:color w:val="auto"/>
              </w:rPr>
              <w:t>- net of tax:</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(30,587)</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(30,587)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(30,767)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ind w:left="640"/>
              <w:spacing w:after="0" w:line="138" w:lineRule="exact"/>
              <w:rPr>
                <w:sz w:val="20"/>
                <w:szCs w:val="20"/>
                <w:color w:val="auto"/>
              </w:rPr>
            </w:pPr>
            <w:r>
              <w:rPr>
                <w:rFonts w:ascii="Arial" w:cs="Arial" w:eastAsia="Arial" w:hAnsi="Arial"/>
                <w:sz w:val="14"/>
                <w:szCs w:val="14"/>
                <w:color w:val="auto"/>
                <w:w w:val="92"/>
              </w:rPr>
              <w:t>Amortization of interest rate</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524</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524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(2,704)</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(2,704)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2,417</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2,417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2,430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4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16,363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2,678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19,041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Business acquisitions and related equity</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transactions:</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 issuable</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420"/>
              <w:spacing w:after="0" w:line="159" w:lineRule="exact"/>
              <w:rPr>
                <w:sz w:val="20"/>
                <w:szCs w:val="20"/>
                <w:color w:val="auto"/>
              </w:rPr>
            </w:pPr>
            <w:r>
              <w:rPr>
                <w:rFonts w:ascii="Arial" w:cs="Arial" w:eastAsia="Arial" w:hAnsi="Arial"/>
                <w:sz w:val="14"/>
                <w:szCs w:val="14"/>
                <w:color w:val="auto"/>
                <w:w w:val="94"/>
              </w:rPr>
              <w:t>(including related amortization)</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635</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635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Delivery of Class A common stock</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1"/>
              </w:rPr>
              <w:t>(including dividend-equivalents)</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(4,994)</w:t>
            </w:r>
          </w:p>
        </w:tc>
        <w:tc>
          <w:tcPr>
            <w:tcW w:w="70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(170,988)</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5,173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spacing w:after="0" w:line="138" w:lineRule="exact"/>
              <w:rPr>
                <w:sz w:val="20"/>
                <w:szCs w:val="20"/>
                <w:color w:val="auto"/>
              </w:rPr>
            </w:pPr>
            <w:r>
              <w:rPr>
                <w:rFonts w:ascii="Arial" w:cs="Arial" w:eastAsia="Arial" w:hAnsi="Arial"/>
                <w:sz w:val="14"/>
                <w:szCs w:val="14"/>
                <w:color w:val="auto"/>
                <w:w w:val="94"/>
              </w:rPr>
              <w:t>Amortization of share-based incentive</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200"/>
              <w:spacing w:after="0" w:line="159" w:lineRule="exact"/>
              <w:rPr>
                <w:sz w:val="20"/>
                <w:szCs w:val="20"/>
                <w:color w:val="auto"/>
              </w:rPr>
            </w:pPr>
            <w:r>
              <w:rPr>
                <w:rFonts w:ascii="Arial" w:cs="Arial" w:eastAsia="Arial" w:hAnsi="Arial"/>
                <w:sz w:val="14"/>
                <w:szCs w:val="14"/>
                <w:color w:val="auto"/>
              </w:rPr>
              <w:t>compensation</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127,381</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127,381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128,081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4,173</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(4,276)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(30,338)</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(30,338)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1,434,657</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(50,447)</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(50,447)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spacing w:after="0" w:line="138" w:lineRule="exact"/>
              <w:rPr>
                <w:sz w:val="20"/>
                <w:szCs w:val="20"/>
                <w:color w:val="auto"/>
              </w:rPr>
            </w:pPr>
            <w:r>
              <w:rPr>
                <w:rFonts w:ascii="Arial" w:cs="Arial" w:eastAsia="Arial" w:hAnsi="Arial"/>
                <w:sz w:val="14"/>
                <w:szCs w:val="14"/>
                <w:color w:val="auto"/>
                <w:w w:val="97"/>
              </w:rPr>
              <w:t>Delivery of Class A common stock in</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rPr>
              <w:t>connection with shared-based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ind w:left="200"/>
              <w:spacing w:after="0" w:line="149" w:lineRule="exact"/>
              <w:rPr>
                <w:sz w:val="20"/>
                <w:szCs w:val="20"/>
                <w:color w:val="auto"/>
              </w:rPr>
            </w:pPr>
            <w:r>
              <w:rPr>
                <w:rFonts w:ascii="Arial" w:cs="Arial" w:eastAsia="Arial" w:hAnsi="Arial"/>
                <w:sz w:val="14"/>
                <w:szCs w:val="14"/>
                <w:color w:val="auto"/>
                <w:w w:val="91"/>
              </w:rPr>
              <w:t>incentive compensation and related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200"/>
              <w:spacing w:after="0" w:line="159" w:lineRule="exact"/>
              <w:rPr>
                <w:sz w:val="20"/>
                <w:szCs w:val="20"/>
                <w:color w:val="auto"/>
              </w:rPr>
            </w:pPr>
            <w:r>
              <w:rPr>
                <w:rFonts w:ascii="Arial" w:cs="Arial" w:eastAsia="Arial" w:hAnsi="Arial"/>
                <w:sz w:val="14"/>
                <w:szCs w:val="14"/>
                <w:color w:val="auto"/>
              </w:rPr>
              <w:t>tax benefit of $862</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6"/>
              </w:rPr>
              <w:t>(318,332)</w:t>
            </w:r>
          </w:p>
        </w:tc>
        <w:tc>
          <w:tcPr>
            <w:tcW w:w="7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(609)</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4"/>
              </w:rPr>
              <w:t>(6,907,296)</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200,016</w:t>
            </w: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(118,925)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(118,920)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8"/>
              </w:rPr>
              <w:t>exchange for Lazard Group common</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membership interests</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839,658</w:t>
            </w:r>
          </w:p>
        </w:tc>
        <w:tc>
          <w:tcPr>
            <w:tcW w:w="5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spacing w:after="0" w:line="138" w:lineRule="exact"/>
              <w:rPr>
                <w:sz w:val="20"/>
                <w:szCs w:val="20"/>
                <w:color w:val="auto"/>
              </w:rPr>
            </w:pPr>
            <w:r>
              <w:rPr>
                <w:rFonts w:ascii="Arial" w:cs="Arial" w:eastAsia="Arial" w:hAnsi="Arial"/>
                <w:sz w:val="14"/>
                <w:szCs w:val="14"/>
                <w:color w:val="auto"/>
                <w:w w:val="90"/>
              </w:rPr>
              <w:t>Distributions to noncontrolling interests,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200"/>
              <w:spacing w:after="0" w:line="159" w:lineRule="exact"/>
              <w:rPr>
                <w:sz w:val="20"/>
                <w:szCs w:val="20"/>
                <w:color w:val="auto"/>
              </w:rPr>
            </w:pPr>
            <w:r>
              <w:rPr>
                <w:rFonts w:ascii="Arial" w:cs="Arial" w:eastAsia="Arial" w:hAnsi="Arial"/>
                <w:sz w:val="14"/>
                <w:szCs w:val="14"/>
                <w:color w:val="auto"/>
              </w:rPr>
              <w:t>net</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(7,281)</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(7,281)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Adjustments related to noncontrolling</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4,460</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(598)</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3,862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(3,862)</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June 30, 2013</w:t>
            </w: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60" w:type="dxa"/>
            <w:vAlign w:val="bottom"/>
            <w:gridSpan w:val="2"/>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240" w:type="dxa"/>
            <w:vAlign w:val="bottom"/>
          </w:tcPr>
          <w:p>
            <w:pPr>
              <w:jc w:val="right"/>
              <w:ind w:right="118"/>
              <w:spacing w:after="0"/>
              <w:rPr>
                <w:sz w:val="20"/>
                <w:szCs w:val="20"/>
                <w:color w:val="auto"/>
              </w:rPr>
            </w:pPr>
            <w:r>
              <w:rPr>
                <w:rFonts w:ascii="Arial" w:cs="Arial" w:eastAsia="Arial" w:hAnsi="Arial"/>
                <w:sz w:val="10"/>
                <w:szCs w:val="10"/>
                <w:b w:val="1"/>
                <w:bCs w:val="1"/>
                <w:color w:val="auto"/>
                <w:w w:val="71"/>
              </w:rPr>
              <w:t>–</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87"/>
              </w:rPr>
              <w:t>129,056,082</w:t>
            </w:r>
          </w:p>
        </w:tc>
        <w:tc>
          <w:tcPr>
            <w:tcW w:w="5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1,290</w:t>
            </w: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659,365</w:t>
            </w:r>
          </w:p>
        </w:tc>
        <w:tc>
          <w:tcPr>
            <w:tcW w:w="70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w w:val="89"/>
              </w:rPr>
              <w:t>$ 193,958</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(141,489)</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7,159,311</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(195,040)</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518,084</w:t>
            </w: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74,127</w:t>
            </w:r>
          </w:p>
        </w:tc>
        <w:tc>
          <w:tcPr>
            <w:tcW w:w="1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592,211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ind w:left="340" w:right="26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128,216,423 and 129,056,081 shares of the Company’s Class A common stock issued at January 1, 2013 and June 30, 2013,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Lazard Ltd indirectly held approximately 99.5% and 98.8% of all outstanding Lazard Group common membership interests as of June 30, 2013 and December 31, 2012, respectively. Lazard Ltd, through its control of the managing members of Lazard Group, controls Lazard Group, which is governed by an Operating Agreement dated as of May 10, 2005, as amended (the “Operating Agreement”). LAZ-MD Holdings LLC (“LAZ-MD Holdings”), an entity owned by Lazard Group’s current and former managing directors, held approximately 0.5% and 1.2% of the outstanding Lazard Group common membership interests as of June 30, 2013 and December 31, 2012, respectively. Additionally, LAZ-MD Holdings was the sole owner of the one issued and outstanding share of Lazard Ltd’s Class B common stock (the “Class B common stock”) which provided LAZ-MD Holdings with approximately 0.5% and 1.2% of the voting power but no economic rights in the Company as of June 30, 2013 and December 31, 2012, respectively.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sole operating asset is our indirect ownership of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2012 (the “Form 10-K”). The accompanying December 31, 2012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and six month periods ended June 30, 2013 are not necessarily indicative of the results to be expected for any future interim or annual period.</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26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Offsetting (Netting) Assets and Liabilities</w:t>
      </w:r>
      <w:r>
        <w:rPr>
          <w:rFonts w:ascii="Arial" w:cs="Arial" w:eastAsia="Arial" w:hAnsi="Arial"/>
          <w:sz w:val="18"/>
          <w:szCs w:val="18"/>
          <w:color w:val="auto"/>
        </w:rPr>
        <w:t>—In the first quarter of 2013, the Company adopted the new disclosure requirements issued by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Board (the “FASB”) regarding the nature of an entity’s rights of setoff and related arrangements associated with its financial instruments, including derivatives, repurchase agreements and reverse repurchase agreements and securities borrowing and securities lending transactions that are either (i) offset or (ii) subject to an enforceable master netting arrangement. The new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disclosures are designed to make financial statements prepared under U.S. GAAP more comparable to those prepared under International Financial Reporting Standards (“IFRS”) and will enable users of an entity’s financial statements to evaluate the effect or potential effect of netting arrangements on an entity’s financial position. The disclosure requirements are effective for interim and annual reporting periods beginning on or after January 1, 2013, with retrospective application required. The adoption of the new disclosure requirements did not have a material impact on the Company’s consolidated financial statements.</w:t>
      </w:r>
    </w:p>
    <w:p>
      <w:pPr>
        <w:spacing w:after="0" w:line="9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Reclassifications Out of Accumulated Other Comprehensive Income</w:t>
      </w:r>
      <w:r>
        <w:rPr>
          <w:rFonts w:ascii="Arial" w:cs="Arial" w:eastAsia="Arial" w:hAnsi="Arial"/>
          <w:sz w:val="16"/>
          <w:szCs w:val="16"/>
          <w:color w:val="auto"/>
        </w:rPr>
        <w:t>—In the first quarter of 2013, the Company adopted the FASB’s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presentation of amounts reclassified out of accumulated other comprehensive income. The amendment required that the amounts reclassified out of accumulated other comprehensive income be presented by component and disclosed where the respective line item was reported in the consolidated statement of operations. The amendment was to be applied prospectively, and is effective with interim and annual periods beginning after December 15, 2012, with early adoption permitted. The adoption of the amended guidance did not have a material impact on the Company’s consolidated financial statements.</w:t>
      </w:r>
    </w:p>
    <w:p>
      <w:pPr>
        <w:spacing w:after="0" w:line="23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Receivables are stated net of an estimated allowance for doubtful accounts of $24,593 and $23,017 at June 30, 2013 and December 31, 2012, respectively, for past due amounts and for specific accounts deemed uncollectible, which may include situations where a fee is in dispute. The Company recorded bad debt expense (recoveries) of $1,694 and $1,842 for the three month and six month periods ended June 30, 2013, respectively, and $(133) and $1,148 for the three month and six month periods ended June 30, 2012, respectively. In addition, the Company recorded charge-offs, foreign currency translation and other adjustments, which resulted in a net increase (decrease) to the allowance for doubtful accounts of $94 and $(266) for the three month and six month periods ended June 30, 2013, respectively, and $(283) and $158 for the three month and six month periods ended June 30, 2012, respectively. At June 30, 2013 and December 31, 2012, the Company had receivables past due or deemed uncollectible of $27,831 and $25,604, respectively.</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Of the Company’s total receivables at June 30, 2013 and December 31, 2012, $74,632 and $76,481, respectively, represented interest-bearing financing fee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$450,274 and $401,562 at June 30, 2013 and December 31, 2012, respectively, approximates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consisted of the following at June 30, 2013 and December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$514 and $578, respectively)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r>
      <w:tr>
        <w:trPr>
          <w:trHeight w:val="230"/>
        </w:trPr>
        <w:tc>
          <w:tcPr>
            <w:tcW w:w="932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51,957</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45,739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175,736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154,310</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112,833</w:t>
            </w:r>
          </w:p>
        </w:tc>
        <w:tc>
          <w:tcPr>
            <w:tcW w:w="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112,444</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382,798</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356,721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1"/>
        </w:trPr>
        <w:tc>
          <w:tcPr>
            <w:tcW w:w="932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449,364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414,673</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2"/>
        </w:trPr>
        <w:tc>
          <w:tcPr>
            <w:tcW w:w="932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441,749</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407,083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$7,631, $31,013 and $121,408, respectively, at June 30, 2013 and $5,054, $18,615 and $76,907, respectively, at December 31, 2012,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12 of Notes to Condensed Consolidated Financial Statements).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Interests in alternative investment funds primarily consist of interests in various Lazard-managed hedge funds and fund of funds.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related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a fund targeting significant noncontrolling-stake investments in established private companies,</w:t>
      </w:r>
    </w:p>
    <w:p>
      <w:pPr>
        <w:spacing w:after="0" w:line="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Edgewater Growth Capital Partners III, L.P. (“EGCP III”), a fund primarily making equity and buyout investments in middle market companies and</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Lazard Australia Corporate Opportunities Fund 2 (“COF2”), a Lazard-managed Australian fund targeting Australasian mid-market investments.</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$9,685 and $11,490 at June 30, 2013 and December 31, 2012, respectively (see Note 10 of Notes to Condensed Consolidated Financial Statements).</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During the three month and six month periods ended June 30, 2013 and 2012, the Company reported in revenue-other on its condensed consolidated statements of operations gross unrealized investment gains and losses pertaining to “trading” securities as follows (including, for the three month and six month periods ended June 30, 2012, restated amounts pertaining to certain non-broker dealer subsidiaries):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9"/>
              </w:rPr>
              <w:t>Three Month Period</w:t>
            </w: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Six Month Period</w:t>
            </w:r>
          </w:p>
        </w:tc>
      </w:t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5"/>
              </w:rPr>
              <w:t>Ended June 30,</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Ended June 30,</w:t>
            </w:r>
          </w:p>
        </w:tc>
      </w:tr>
      <w:tr>
        <w:trPr>
          <w:trHeight w:val="142"/>
        </w:trPr>
        <w:tc>
          <w:tcPr>
            <w:tcW w:w="7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3"/>
              </w:rPr>
              <w:t>2013</w:t>
            </w:r>
          </w:p>
        </w:tc>
        <w:tc>
          <w:tcPr>
            <w:tcW w:w="5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2012</w:t>
            </w:r>
          </w:p>
        </w:tc>
        <w:tc>
          <w:tcPr>
            <w:tcW w:w="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5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$3,748</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$9,623</w:t>
            </w:r>
          </w:p>
        </w:tc>
        <w:tc>
          <w:tcPr>
            <w:tcW w:w="100" w:type="dxa"/>
            <w:vAlign w:val="bottom"/>
            <w:shd w:val="clear" w:color="auto" w:fill="CCEEFF"/>
          </w:tcPr>
          <w:p>
            <w:pPr>
              <w:spacing w:after="0"/>
              <w:rPr>
                <w:sz w:val="18"/>
                <w:szCs w:val="18"/>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9,547</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8,324</w:t>
            </w:r>
          </w:p>
        </w:tc>
        <w:tc>
          <w:tcPr>
            <w:tcW w:w="52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$6,536</w:t>
            </w:r>
          </w:p>
        </w:tc>
        <w:tc>
          <w:tcPr>
            <w:tcW w:w="52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$2,346</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fair value of investments in alternative investment funds is classified as either Level 2 or Level 3 depending on the time frame of any applicable redemption restriction, and is valued at NAV or its equivalent, which is primarily determined based on information provided by external fund administrators.</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fair value of investments in equity funds is classified as Level 1, 2 or 3 as follows: publicly traded asset management funds are classified as Level 1 and are valued based on the reported closing price for the fund; investments in asset management funds redeemable in the near term are classified as Level 2 and are valued at NAV or its equivalent, which is primarily determined based on information provided by external fund administrators; and funds valued based on NAV or its equivalent that are not redeemable within the near term are classified as Level 3.</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Lazard Fund Interests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tables present the classification of investments and certain other assets and liabilities measured at fair value on a recurring basis as of June 30, 2013 and December 31, 2012 within the fair value hierarchy: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4"/>
                <w:szCs w:val="14"/>
                <w:b w:val="1"/>
                <w:bCs w:val="1"/>
                <w:color w:val="auto"/>
              </w:rPr>
              <w:t>June 30, 2013</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51,320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51,957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45,728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45,739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48,490</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169,072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6,664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175,736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112,833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112,833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6,947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269,971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65,244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113,481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448,696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152,514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152,514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152,514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155,777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2012</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44,802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32,077</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145,231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9,069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154,310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112,444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112,444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223,549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68,366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116,101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408,016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102,492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102,492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102,551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105,247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2013 and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5"/>
              </w:rPr>
              <w:t>Three Months Ended June 30, 2013</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Net Unrealized/</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Included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Beginning</w:t>
            </w: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0"/>
              </w:rPr>
              <w:t>Acquisitions</w:t>
            </w:r>
          </w:p>
        </w:tc>
        <w:tc>
          <w:tcPr>
            <w:tcW w:w="4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445</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110,496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3,056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(4,612)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112,833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111,984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3,096</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9"/>
              </w:rPr>
              <w:t>Six Months Ended June 30, 2013</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Included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Beginning</w:t>
            </w: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0"/>
              </w:rPr>
              <w:t>Acquisitions</w:t>
            </w:r>
          </w:p>
        </w:tc>
        <w:tc>
          <w:tcPr>
            <w:tcW w:w="4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445</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116,101</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3,872</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3,704</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(9,452)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w w:val="98"/>
              </w:rPr>
              <w:t>Three Months Ended June 30, 2012</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Realized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Included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5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Beginning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Sales/</w:t>
            </w: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Balance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Other (a)</w:t>
            </w:r>
          </w:p>
        </w:tc>
        <w:tc>
          <w:tcPr>
            <w:tcW w:w="4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116,563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4,786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113,991</w:t>
            </w:r>
          </w:p>
        </w:tc>
        <w:tc>
          <w:tcPr>
            <w:tcW w:w="100" w:type="dxa"/>
            <w:vAlign w:val="bottom"/>
          </w:tcPr>
          <w:p>
            <w:pPr>
              <w:spacing w:after="0"/>
              <w:rPr>
                <w:sz w:val="18"/>
                <w:szCs w:val="18"/>
                <w:color w:val="auto"/>
              </w:rPr>
            </w:pPr>
          </w:p>
        </w:tc>
      </w:tr>
      <w:tr>
        <w:trPr>
          <w:trHeight w:val="27"/>
        </w:trPr>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118,798</w:t>
            </w:r>
          </w:p>
        </w:tc>
        <w:tc>
          <w:tcPr>
            <w:tcW w:w="10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41"/>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8"/>
              </w:rPr>
              <w:t>Six Months Ended June 30, 2012</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Realized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Included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Beginning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3"/>
              </w:rPr>
              <w:t>Sales/</w:t>
            </w: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Balance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Other (a)</w:t>
            </w:r>
          </w:p>
        </w:tc>
        <w:tc>
          <w:tcPr>
            <w:tcW w:w="3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12,350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(22,745)</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113,991</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(28,419)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118,798</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52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for the three month and six month periods ended June 30, 2013 and the three month and six month periods ended June 30, 2012 include net unrealized gains of $2,657, $3,327, $3,483 and $9,563, respectively.</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June 30, 2013 and December 31, 2012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NAV or its equivalent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June 30, 2013</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ind w:left="280"/>
              <w:spacing w:after="0"/>
              <w:rPr>
                <w:sz w:val="20"/>
                <w:szCs w:val="20"/>
                <w:color w:val="auto"/>
              </w:rPr>
            </w:pPr>
            <w:r>
              <w:rPr>
                <w:rFonts w:ascii="Arial" w:cs="Arial" w:eastAsia="Arial" w:hAnsi="Arial"/>
                <w:sz w:val="14"/>
                <w:szCs w:val="14"/>
                <w:b w:val="1"/>
                <w:bCs w:val="1"/>
                <w:color w:val="auto"/>
              </w:rPr>
              <w:t>Investments Not Redeemable</w:t>
            </w:r>
          </w:p>
        </w:tc>
        <w:tc>
          <w:tcPr>
            <w:tcW w:w="20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tcBorders>
          </w:tcPr>
          <w:p>
            <w:pPr>
              <w:jc w:val="right"/>
              <w:ind w:right="144"/>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5-10</w:t>
            </w:r>
          </w:p>
        </w:tc>
        <w:tc>
          <w:tcPr>
            <w:tcW w:w="200" w:type="dxa"/>
            <w:vAlign w:val="bottom"/>
          </w:tcPr>
          <w:p>
            <w:pPr>
              <w:spacing w:after="0"/>
              <w:rPr>
                <w:sz w:val="12"/>
                <w:szCs w:val="12"/>
                <w:color w:val="auto"/>
              </w:rPr>
            </w:pPr>
          </w:p>
        </w:tc>
        <w:tc>
          <w:tcPr>
            <w:tcW w:w="84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Alternative investment funds</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Redeemable</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5 Years</w:t>
            </w: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Frequency</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Notice Period</w:t>
            </w:r>
          </w:p>
        </w:tc>
        <w:tc>
          <w:tcPr>
            <w:tcW w:w="0" w:type="dxa"/>
            <w:vAlign w:val="bottom"/>
          </w:tcPr>
          <w:p>
            <w:pPr>
              <w:spacing w:after="0"/>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45,739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w:t>
            </w:r>
          </w:p>
        </w:tc>
        <w:tc>
          <w:tcPr>
            <w:tcW w:w="220" w:type="dxa"/>
            <w:vAlign w:val="bottom"/>
          </w:tcPr>
          <w:p>
            <w:pPr>
              <w:spacing w:after="0"/>
              <w:rPr>
                <w:sz w:val="18"/>
                <w:szCs w:val="18"/>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w:t>
            </w:r>
          </w:p>
        </w:tc>
        <w:tc>
          <w:tcPr>
            <w:tcW w:w="20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&lt;30-120 days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NA</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(b)</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6,664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NA</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&lt;30-90 days</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112,833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27,649</w:t>
            </w:r>
          </w:p>
        </w:tc>
        <w:tc>
          <w:tcPr>
            <w:tcW w:w="1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165,240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27,649</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 weekly (11%), monthly (54%) and quarterly (34%)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December 31, 2012</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Investments Not Redeemable</w:t>
            </w:r>
          </w:p>
        </w:tc>
        <w:tc>
          <w:tcPr>
            <w:tcW w:w="220" w:type="dxa"/>
            <w:vAlign w:val="bottom"/>
          </w:tcPr>
          <w:p>
            <w:pPr>
              <w:spacing w:after="0"/>
              <w:rPr>
                <w:sz w:val="14"/>
                <w:szCs w:val="14"/>
                <w:color w:val="auto"/>
              </w:rPr>
            </w:pPr>
          </w:p>
        </w:tc>
        <w:tc>
          <w:tcPr>
            <w:tcW w:w="19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Investments Redeemable</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Frequency</w:t>
            </w: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223"/>
        </w:trPr>
        <w:tc>
          <w:tcPr>
            <w:tcW w:w="20" w:type="dxa"/>
            <w:vAlign w:val="bottom"/>
          </w:tcPr>
          <w:p>
            <w:pPr>
              <w:spacing w:after="0"/>
              <w:rPr>
                <w:sz w:val="19"/>
                <w:szCs w:val="19"/>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&lt;30-120 days</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Debt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(b)</w:t>
            </w:r>
          </w:p>
        </w:tc>
        <w:tc>
          <w:tcPr>
            <w:tcW w:w="1000" w:type="dxa"/>
            <w:vAlign w:val="bottom"/>
          </w:tcPr>
          <w:p>
            <w:pPr>
              <w:spacing w:after="0"/>
              <w:rPr>
                <w:sz w:val="20"/>
                <w:szCs w:val="20"/>
                <w:color w:val="auto"/>
              </w:rPr>
            </w:pPr>
            <w:r>
              <w:rPr>
                <w:rFonts w:ascii="Arial" w:cs="Arial" w:eastAsia="Arial" w:hAnsi="Arial"/>
                <w:sz w:val="18"/>
                <w:szCs w:val="18"/>
                <w:color w:val="auto"/>
              </w:rPr>
              <w:t>30 days</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8"/>
              </w:rPr>
              <w:t>30-120 days</w:t>
            </w: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112,444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31,482</w:t>
            </w:r>
          </w:p>
        </w:tc>
        <w:tc>
          <w:tcPr>
            <w:tcW w:w="1040" w:type="dxa"/>
            <w:vAlign w:val="bottom"/>
            <w:gridSpan w:val="2"/>
          </w:tcPr>
          <w:p>
            <w:pPr>
              <w:jc w:val="right"/>
              <w:ind w:right="86"/>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2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48%</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179,417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 weekly (9%), monthly (38%) and quarterly (43%)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(37%) and monthly (61%)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4 of Notes to Condensed Consolidated Financial Statements for discussion of significant investment strategies for investments valued based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NAV.</w:t>
      </w:r>
    </w:p>
    <w:p>
      <w:pPr>
        <w:spacing w:after="0" w:line="165"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June 30, 2013, the maximum unfunded commitments by the Company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related to (i) Corporate Partners II Limited (“CP II”), amounting to $1,940 for potential “follow-on investments” and/or for fund expenses through the earlier of February 25, 2017 or the liquidation of the fund, (ii) EGCP III, amounting to $18,500, through the earlier of October 12, 2016 (</w:t>
      </w:r>
      <w:r>
        <w:rPr>
          <w:rFonts w:ascii="Arial" w:cs="Arial" w:eastAsia="Arial" w:hAnsi="Arial"/>
          <w:sz w:val="18"/>
          <w:szCs w:val="18"/>
          <w:i w:val="1"/>
          <w:iCs w:val="1"/>
          <w:color w:val="auto"/>
        </w:rPr>
        <w:t>i.e</w:t>
      </w:r>
      <w:r>
        <w:rPr>
          <w:rFonts w:ascii="Arial" w:cs="Arial" w:eastAsia="Arial" w:hAnsi="Arial"/>
          <w:sz w:val="18"/>
          <w:szCs w:val="18"/>
          <w:color w:val="auto"/>
        </w:rPr>
        <w:t>., the end of the investment period) for investments and/or expenses (with a portion of the undrawn amount of such commitment as of that date remaining committed until October 12, 2023 in respect of “follow-on investments” and/or fund expenses) or the liquidation of the fund and (iii) COF2, amounting to $7,209, through the earlier of November 11, 2016 (</w:t>
      </w:r>
      <w:r>
        <w:rPr>
          <w:rFonts w:ascii="Arial" w:cs="Arial" w:eastAsia="Arial" w:hAnsi="Arial"/>
          <w:sz w:val="18"/>
          <w:szCs w:val="18"/>
          <w:i w:val="1"/>
          <w:iCs w:val="1"/>
          <w:color w:val="auto"/>
        </w:rPr>
        <w:t>i.e</w:t>
      </w:r>
      <w:r>
        <w:rPr>
          <w:rFonts w:ascii="Arial" w:cs="Arial" w:eastAsia="Arial" w:hAnsi="Arial"/>
          <w:sz w:val="18"/>
          <w:szCs w:val="18"/>
          <w:color w:val="auto"/>
        </w:rPr>
        <w:t>., the end of the investment period) for investments and/or fund expenses (with a portion of the undrawn amount of such commitment as of that date remaining committed until November 11, 2019 in respect of “follow-on investments” and/or fund expenses) or the liquidation of the fund.</w:t>
      </w:r>
    </w:p>
    <w:p>
      <w:pPr>
        <w:spacing w:after="0" w:line="26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 other”, depending on the nature of the underlying item, on the consolidated statements of operations.</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awards and other similar deferred compensation arrangements, which are reported in “revenue-other” in the consolidated statements of operations.</w:t>
      </w:r>
    </w:p>
    <w:p>
      <w:pPr>
        <w:spacing w:after="0" w:line="11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Lazard Fund Interests and other similar deferred compensation arrangements (see Note 12 of Notes to Condensed Consolidated Financial Statements) on the accompanying condensed consolidated statements of financial condition as of June 30, 2013 and December 31,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82"/>
              </w:rPr>
              <w:t>June 30,</w:t>
            </w:r>
          </w:p>
        </w:tc>
        <w:tc>
          <w:tcPr>
            <w:tcW w:w="3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 (a)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6,947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1,289</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Equity and fixed income swaps (a)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151,225</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152,514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102,492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2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equity and fixed income swaps, amounts represent the netting of gross derivative assets and liabilities of $6,332 and $11 as of June 30, 2013, respectively, and $0 and $4,342 as of December 31, 2012, respectively, for contracts with the same counterparty under legally enforceable master netting agreements. Such amounts are recorded “net” in “other assets”, with receivables for net cash collateral under such contracts of $4,574 and $15,304 as of June 30, 2013 and December 31, 2012, respectively.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Lazard Fund Interests and other similar deferred compensation arrangements (included in “compensation and benefits” expense) as reflected on the accompanying condensed consolidated statements of operations for the three month and six month periods ended June 30, 2013 and 2012,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6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9"/>
              </w:rPr>
              <w:t>Three Months Ended</w:t>
            </w:r>
          </w:p>
        </w:tc>
        <w:tc>
          <w:tcPr>
            <w:tcW w:w="420" w:type="dxa"/>
            <w:vAlign w:val="bottom"/>
          </w:tcPr>
          <w:p>
            <w:pPr>
              <w:spacing w:after="0"/>
              <w:rPr>
                <w:sz w:val="14"/>
                <w:szCs w:val="1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500" w:type="dxa"/>
            <w:vAlign w:val="bottom"/>
            <w:tcBorders>
              <w:top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$(1,626)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$3,605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w w:val="88"/>
              </w:rPr>
              <w:t>Lazard Fund Interests and other similar deferred compensation arrangements</w:t>
            </w:r>
          </w:p>
        </w:tc>
        <w:tc>
          <w:tcPr>
            <w:tcW w:w="3300" w:type="dxa"/>
            <w:vAlign w:val="bottom"/>
            <w:gridSpan w:val="3"/>
          </w:tcPr>
          <w:p>
            <w:pPr>
              <w:jc w:val="right"/>
              <w:ind w:right="420"/>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2,856</w:t>
            </w:r>
          </w:p>
        </w:tc>
        <w:tc>
          <w:tcPr>
            <w:tcW w:w="1180" w:type="dxa"/>
            <w:vAlign w:val="bottom"/>
            <w:gridSpan w:val="3"/>
          </w:tcPr>
          <w:p>
            <w:pPr>
              <w:jc w:val="right"/>
              <w:ind w:right="132"/>
              <w:spacing w:after="0"/>
              <w:rPr>
                <w:sz w:val="20"/>
                <w:szCs w:val="20"/>
                <w:color w:val="auto"/>
              </w:rPr>
            </w:pPr>
            <w:r>
              <w:rPr>
                <w:rFonts w:ascii="Arial" w:cs="Arial" w:eastAsia="Arial" w:hAnsi="Arial"/>
                <w:sz w:val="18"/>
                <w:szCs w:val="18"/>
                <w:color w:val="auto"/>
              </w:rPr>
              <w:t>(248)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 and other</w:t>
            </w:r>
          </w:p>
        </w:tc>
        <w:tc>
          <w:tcPr>
            <w:tcW w:w="2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(352)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$ 5,607</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10,537</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3,005</w:t>
            </w:r>
          </w:p>
        </w:tc>
        <w:tc>
          <w:tcPr>
            <w:tcW w:w="26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320" w:type="dxa"/>
            <w:vAlign w:val="bottom"/>
            <w:vMerge w:val="restart"/>
          </w:tcPr>
          <w:p>
            <w:pPr>
              <w:jc w:val="right"/>
              <w:ind w:right="1952"/>
              <w:spacing w:after="0"/>
              <w:rPr>
                <w:sz w:val="20"/>
                <w:szCs w:val="20"/>
                <w:color w:val="auto"/>
              </w:rPr>
            </w:pPr>
            <w:r>
              <w:rPr>
                <w:rFonts w:ascii="Arial" w:cs="Arial" w:eastAsia="Arial" w:hAnsi="Arial"/>
                <w:sz w:val="18"/>
                <w:szCs w:val="18"/>
                <w:color w:val="auto"/>
              </w:rPr>
              <w:t>19</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2013 and December 31, 2012, property consisted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Estimated</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16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6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9"/>
              </w:rPr>
              <w:t>June 30,</w:t>
            </w:r>
          </w:p>
        </w:tc>
        <w:tc>
          <w:tcPr>
            <w:tcW w:w="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Life in Years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$165,106</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166,560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680" w:type="dxa"/>
            <w:vAlign w:val="bottom"/>
          </w:tcPr>
          <w:p>
            <w:pPr>
              <w:jc w:val="right"/>
              <w:spacing w:after="0"/>
              <w:rPr>
                <w:sz w:val="20"/>
                <w:szCs w:val="20"/>
                <w:color w:val="auto"/>
              </w:rPr>
            </w:pPr>
            <w:r>
              <w:rPr>
                <w:rFonts w:ascii="Arial" w:cs="Arial" w:eastAsia="Arial" w:hAnsi="Arial"/>
                <w:sz w:val="18"/>
                <w:szCs w:val="18"/>
                <w:color w:val="auto"/>
              </w:rPr>
              <w:t>156,915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143,408</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135,769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122,125</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18,801</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474,436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450,894</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232,487</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225,861</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241,949</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225,033</w:t>
            </w:r>
          </w:p>
        </w:tc>
        <w:tc>
          <w:tcPr>
            <w:tcW w:w="8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2013 and December 31, 2012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June 30,</w:t>
            </w:r>
          </w:p>
        </w:tc>
        <w:tc>
          <w:tcPr>
            <w:tcW w:w="134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$348,549</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364,328</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26,658</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375,207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392,822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At June 30, 2013 and December 31, 2012, goodwill of $284,008 and $299,787, respectively, was attributable to the Company’s Financial Advisory segment and, at each such respective date,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2013 and 2012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3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$364,328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Business acquisition</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Balance, June 30</w:t>
            </w:r>
          </w:p>
        </w:tc>
        <w:tc>
          <w:tcPr>
            <w:tcW w:w="3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gridSpan w:val="2"/>
            <w:vMerge w:val="continue"/>
          </w:tcPr>
          <w:p>
            <w:pPr>
              <w:spacing w:after="0"/>
              <w:rPr>
                <w:sz w:val="19"/>
                <w:szCs w:val="19"/>
                <w:color w:val="auto"/>
              </w:rPr>
            </w:pPr>
          </w:p>
        </w:tc>
        <w:tc>
          <w:tcPr>
            <w:tcW w:w="4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348,549</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360,993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40" w:type="dxa"/>
            <w:vAlign w:val="bottom"/>
            <w:vMerge w:val="restart"/>
          </w:tcPr>
          <w:p>
            <w:pPr>
              <w:jc w:val="right"/>
              <w:ind w:right="2572"/>
              <w:spacing w:after="0"/>
              <w:rPr>
                <w:sz w:val="20"/>
                <w:szCs w:val="20"/>
                <w:color w:val="auto"/>
              </w:rPr>
            </w:pPr>
            <w:r>
              <w:rPr>
                <w:rFonts w:ascii="Arial" w:cs="Arial" w:eastAsia="Arial" w:hAnsi="Arial"/>
                <w:sz w:val="18"/>
                <w:szCs w:val="18"/>
                <w:color w:val="auto"/>
              </w:rPr>
              <w:t>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240" w:top="459" w:right="8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2013 and December 31, 2012,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June 30, 2013</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2012</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Amortization</w:t>
            </w: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$20,014</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33,080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26,436</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6,644</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24,603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63,820</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26,658</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63,775</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28,494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2013 was $1,004 and $1,881, respectively, and for the three month and six month periods ended June 30, 2012 was $2,560 and $3,678, respectively. Estimated future amortization expense is as follows: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3740" w:type="dxa"/>
            <w:vAlign w:val="bottom"/>
            <w:gridSpan w:val="4"/>
          </w:tcPr>
          <w:p>
            <w:pPr>
              <w:ind w:left="28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20" w:type="dxa"/>
            <w:vAlign w:val="bottom"/>
            <w:gridSpan w:val="4"/>
            <w:vMerge w:val="continue"/>
          </w:tcPr>
          <w:p>
            <w:pPr>
              <w:spacing w:after="0"/>
              <w:rPr>
                <w:sz w:val="12"/>
                <w:szCs w:val="12"/>
                <w:color w:val="auto"/>
              </w:rPr>
            </w:pPr>
          </w:p>
        </w:tc>
        <w:tc>
          <w:tcPr>
            <w:tcW w:w="2860" w:type="dxa"/>
            <w:vAlign w:val="bottom"/>
          </w:tcPr>
          <w:p>
            <w:pPr>
              <w:spacing w:after="0"/>
              <w:rPr>
                <w:sz w:val="12"/>
                <w:szCs w:val="12"/>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2013 (July 1 through December 31)</w:t>
            </w:r>
          </w:p>
        </w:tc>
        <w:tc>
          <w:tcPr>
            <w:tcW w:w="2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6,761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06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was comprised of the following as of June 30, 2013 and December 31, 2012: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Annual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1"/>
              </w:rPr>
              <w:t>Principal</w:t>
            </w:r>
          </w:p>
        </w:tc>
        <w:tc>
          <w:tcPr>
            <w:tcW w:w="8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81"/>
              <w:spacing w:after="0" w:line="129" w:lineRule="exact"/>
              <w:rPr>
                <w:sz w:val="20"/>
                <w:szCs w:val="20"/>
                <w:color w:val="auto"/>
              </w:rPr>
            </w:pPr>
            <w:r>
              <w:rPr>
                <w:rFonts w:ascii="Arial" w:cs="Arial" w:eastAsia="Arial" w:hAnsi="Arial"/>
                <w:sz w:val="14"/>
                <w:szCs w:val="14"/>
                <w:b w:val="1"/>
                <w:bCs w:val="1"/>
                <w:color w:val="auto"/>
                <w:w w:val="92"/>
              </w:rPr>
              <w:t>June 30,</w:t>
            </w:r>
          </w:p>
        </w:tc>
        <w:tc>
          <w:tcPr>
            <w:tcW w:w="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w:t>
            </w:r>
          </w:p>
        </w:tc>
        <w:tc>
          <w:tcPr>
            <w:tcW w:w="18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$550,000</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5/15/15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7.125%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600,000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6/15/17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9/25/15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520" w:type="dxa"/>
            <w:vAlign w:val="bottom"/>
            <w:gridSpan w:val="2"/>
          </w:tcPr>
          <w:p>
            <w:pPr>
              <w:ind w:left="4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June 30, 2013, the annual interest rate for a loan accruing interest (based on the Federal Funds overnight rate), including the applicable margin, was 0.84%. At June 30, 2013 and December 31, 2012, no amounts were outstanding under the Credit Facility.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June 30, 2013, the Company was in compliance with such provisions. All of the Company’s senior debt obligations are unsecured.</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June 30, 2013, the Company had approximately $262,000 in unused lines of credit available to it, including the Credit Facility, and unused lines of credit available to LFB of approximately $52,000 (at June 30, 2013 exchange rates) and Edgewater of $55,000. In addition, LFB has access to the Eurosystem Covered Bond Purchase Program of the Banque de France.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senior debt at June 30, 2013 and December 31, 2012 is carried at historical amounts. At those dates, the fair value of such senior debt outstanding was approximately $1,180,000 and $1,207,000, respectively, and exceeded the aggregate carrying value by approximately $103,000 and $130,000, respectively. The fair value of the Company’s senior debt was based on market quotations. The Company’s senior debt would be categorized within Level 2 of the hierarchy of fair value measurements if carried at fair value.</w:t>
      </w:r>
    </w:p>
    <w:p>
      <w:pPr>
        <w:spacing w:after="0" w:line="26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2013, LFB had $4,679 of such indemnifications and held $3,837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June 30, 2013 and December 31, 2012, 1,371,992 and 1,209,154 shares, respectively, have been earned because applicable performance thresholds have been satisfied. Such shares are no longer subject to any contingencies. As of December 31, 2012, 686,004 of such shares have been settled, and no additional shares have been settled as of June 30,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Consideration Relating To Other Business Acquisitions</w:t>
      </w:r>
      <w:r>
        <w:rPr>
          <w:rFonts w:ascii="Arial" w:cs="Arial" w:eastAsia="Arial" w:hAnsi="Arial"/>
          <w:sz w:val="18"/>
          <w:szCs w:val="18"/>
          <w:color w:val="auto"/>
        </w:rPr>
        <w:t>—For a business acquired in 2013, the Company is obligated to issue a maximum of 107,617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Class A common stock if certain performance thresholds are achieved.</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business acquired in 2012, at December 31, 2012, 170,988 shares of Class A 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a business acquired in 2011, the Company is obligated to pay earnout consideration if certain performance thresholds are achieved. The maximum potential earnout consideration payable by the Company cannot exceed $7,000. Through June 30, 2013, no cash payments relating to the earnout consideration were required.</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June 30, 2013, these commitments were not material.</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June 30, 2013, LFB had no such underwriting commitments.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 periods ended June 30, 2013 and 2012,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 (none of which related to tax distributions):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39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8"/>
                <w:szCs w:val="18"/>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Subsidiaries of Lazard Ltd</w:t>
            </w:r>
          </w:p>
        </w:tc>
        <w:tc>
          <w:tcPr>
            <w:tcW w:w="3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30,338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43,011</w:t>
            </w:r>
          </w:p>
        </w:tc>
        <w:tc>
          <w:tcPr>
            <w:tcW w:w="10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30,725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45,427</w:t>
            </w:r>
          </w:p>
        </w:tc>
        <w:tc>
          <w:tcPr>
            <w:tcW w:w="10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Exchanges of Lazard Group Common Membership Interests</w:t>
      </w:r>
      <w:r>
        <w:rPr>
          <w:rFonts w:ascii="Arial" w:cs="Arial" w:eastAsia="Arial" w:hAnsi="Arial"/>
          <w:sz w:val="16"/>
          <w:szCs w:val="16"/>
          <w:color w:val="auto"/>
        </w:rPr>
        <w:t>—During the six month periods ended June 30, 2013 and 2012, Lazard Ltd issued 839,658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186,701 shares of Class A common stock, respectively, in connection with the exchanges of a like number of Lazard Group common membership interests (received from members of LAZ-MD Holdings in exchange for a like number of LAZ-MD Holdings exchangeable interests).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94"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February 2011, October 2011, April 2012 and October 2012 the Board of Directors of Lazard Ltd authorized,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cumulative basis, the repurchase of up to $250,000, $125,000, $125,000 and $200,000, respectively, in aggregate cost of Class A common stock and Lazard Group common membership interests through December 31, 2012, December 31, 2013, December 31, 2013 and December 31, 2014, respectively. The Company’s prior share repurchase authorizations expired on December 31, 2009 and December 31, 2011. The Company expects that the share repurchase program, with respect to the Class A common stock, will continue to be used, among other ways, to offset a portion of the shares that have been or will be issued under the Lazard Ltd 2005 Equity Incentive Plan (the “2005 Plan”) and the Lazard Ltd 2008 Incentive Compensation Plan (the “2008 Plan”). Pursuant to such authorizations, purchases have been made in the open market or through privately negotiated transactions. During the six month period ended June 30, 2013, the Company made purchases of 1,434,657 Class A common shares, at an aggregate cost of $50,447 (no Lazard Group common membership interests were purchased during such six month period).</w:t>
      </w:r>
    </w:p>
    <w:p>
      <w:pPr>
        <w:spacing w:after="0" w:line="12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As of June 30, 2013, $103,619 of the current share repurchase amount authorized as of such date remained available under the share repurchase program, all of which expires December 31, 2014. In addition, under the terms of the 2005 Plan and the 2008 Plan, upon the vesting of restricted stock units (“RSUs”), performance-based restricted stock units (“PRSUs”) and delivery of restricted Class A common stock, shares of Class A common stock may be withheld by the Company to cover its minimum statutory tax withholding requirements (see Note 12 of Notes to Condensed Consolidated Financial Statements).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and Series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Series A and Series B preferred shares were issued in connection with certain prior year business acquisitions, are each non-participating securities convertible into Class A common stock and have no voting or dividend rights. As of both June 30, 2013 and December 31, 2012, 7,921 shares of Series A preferred stock were outstanding and no shares of Series B preferred stock were outstanding. At June 30, 2013, no shares of Series A preferred stock were convertible into shares of Class A common stock on a contingent or a non-contingent basis.</w:t>
      </w:r>
    </w:p>
    <w:p>
      <w:pPr>
        <w:spacing w:after="0" w:line="1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 below reflects the components of AOCI at June 30, 2013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 during the six month period then ended: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Currency</w:t>
            </w:r>
          </w:p>
        </w:tc>
        <w:tc>
          <w:tcPr>
            <w:tcW w:w="800" w:type="dxa"/>
            <w:vAlign w:val="bottom"/>
            <w:gridSpan w:val="2"/>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2"/>
                <w:szCs w:val="12"/>
                <w:color w:val="auto"/>
              </w:rPr>
            </w:pPr>
          </w:p>
        </w:tc>
        <w:tc>
          <w:tcPr>
            <w:tcW w:w="96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84"/>
              </w:rPr>
              <w:t>Employee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Attributable to</w:t>
            </w:r>
          </w:p>
        </w:tc>
        <w:tc>
          <w:tcPr>
            <w:tcW w:w="120" w:type="dxa"/>
            <w:vAlign w:val="bottom"/>
          </w:tcPr>
          <w:p>
            <w:pPr>
              <w:spacing w:after="0"/>
              <w:rPr>
                <w:sz w:val="12"/>
                <w:szCs w:val="12"/>
                <w:color w:val="auto"/>
              </w:rPr>
            </w:pPr>
          </w:p>
        </w:tc>
        <w:tc>
          <w:tcPr>
            <w:tcW w:w="90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800" w:type="dxa"/>
            <w:vAlign w:val="bottom"/>
            <w:gridSpan w:val="2"/>
          </w:tcPr>
          <w:p>
            <w:pPr>
              <w:jc w:val="center"/>
              <w:ind w:right="98"/>
              <w:spacing w:after="0" w:line="149" w:lineRule="exact"/>
              <w:rPr>
                <w:sz w:val="20"/>
                <w:szCs w:val="20"/>
                <w:color w:val="auto"/>
              </w:rPr>
            </w:pPr>
            <w:r>
              <w:rPr>
                <w:rFonts w:ascii="Arial" w:cs="Arial" w:eastAsia="Arial" w:hAnsi="Arial"/>
                <w:sz w:val="14"/>
                <w:szCs w:val="14"/>
                <w:b w:val="1"/>
                <w:bCs w:val="1"/>
                <w:color w:val="auto"/>
                <w:w w:val="85"/>
              </w:rPr>
              <w:t>Rate</w:t>
            </w:r>
          </w:p>
        </w:tc>
        <w:tc>
          <w:tcPr>
            <w:tcW w:w="120" w:type="dxa"/>
            <w:vAlign w:val="bottom"/>
          </w:tcPr>
          <w:p>
            <w:pPr>
              <w:spacing w:after="0"/>
              <w:rPr>
                <w:sz w:val="12"/>
                <w:szCs w:val="12"/>
                <w:color w:val="auto"/>
              </w:rPr>
            </w:pPr>
          </w:p>
        </w:tc>
        <w:tc>
          <w:tcPr>
            <w:tcW w:w="960" w:type="dxa"/>
            <w:vAlign w:val="bottom"/>
            <w:gridSpan w:val="2"/>
          </w:tcPr>
          <w:p>
            <w:pPr>
              <w:jc w:val="center"/>
              <w:ind w:right="98"/>
              <w:spacing w:after="0" w:line="149" w:lineRule="exact"/>
              <w:rPr>
                <w:sz w:val="20"/>
                <w:szCs w:val="20"/>
                <w:color w:val="auto"/>
              </w:rPr>
            </w:pPr>
            <w:r>
              <w:rPr>
                <w:rFonts w:ascii="Arial" w:cs="Arial" w:eastAsia="Arial" w:hAnsi="Arial"/>
                <w:sz w:val="14"/>
                <w:szCs w:val="14"/>
                <w:b w:val="1"/>
                <w:bCs w:val="1"/>
                <w:color w:val="auto"/>
                <w:w w:val="88"/>
              </w:rPr>
              <w:t>Benefit</w:t>
            </w:r>
          </w:p>
        </w:tc>
        <w:tc>
          <w:tcPr>
            <w:tcW w:w="120" w:type="dxa"/>
            <w:vAlign w:val="bottom"/>
          </w:tcPr>
          <w:p>
            <w:pPr>
              <w:spacing w:after="0"/>
              <w:rPr>
                <w:sz w:val="12"/>
                <w:szCs w:val="12"/>
                <w:color w:val="auto"/>
              </w:rPr>
            </w:pPr>
          </w:p>
        </w:tc>
        <w:tc>
          <w:tcPr>
            <w:tcW w:w="960" w:type="dxa"/>
            <w:vAlign w:val="bottom"/>
            <w:gridSpan w:val="2"/>
          </w:tcPr>
          <w:p>
            <w:pPr>
              <w:jc w:val="right"/>
              <w:ind w:right="338"/>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20" w:type="dxa"/>
            <w:vAlign w:val="bottom"/>
          </w:tcPr>
          <w:p>
            <w:pPr>
              <w:spacing w:after="0"/>
              <w:rPr>
                <w:sz w:val="12"/>
                <w:szCs w:val="12"/>
                <w:color w:val="auto"/>
              </w:rPr>
            </w:pPr>
          </w:p>
        </w:tc>
        <w:tc>
          <w:tcPr>
            <w:tcW w:w="90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Lazard Ltd</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0" w:type="dxa"/>
            <w:vAlign w:val="bottom"/>
            <w:gridSpan w:val="2"/>
          </w:tcPr>
          <w:p>
            <w:pPr>
              <w:jc w:val="center"/>
              <w:ind w:right="98"/>
              <w:spacing w:after="0"/>
              <w:rPr>
                <w:sz w:val="20"/>
                <w:szCs w:val="20"/>
                <w:color w:val="auto"/>
              </w:rPr>
            </w:pPr>
            <w:r>
              <w:rPr>
                <w:rFonts w:ascii="Arial" w:cs="Arial" w:eastAsia="Arial" w:hAnsi="Arial"/>
                <w:sz w:val="14"/>
                <w:szCs w:val="14"/>
                <w:b w:val="1"/>
                <w:bCs w:val="1"/>
                <w:color w:val="auto"/>
                <w:w w:val="88"/>
              </w:rPr>
              <w:t>Hedge</w:t>
            </w:r>
          </w:p>
        </w:tc>
        <w:tc>
          <w:tcPr>
            <w:tcW w:w="120" w:type="dxa"/>
            <w:vAlign w:val="bottom"/>
          </w:tcPr>
          <w:p>
            <w:pPr>
              <w:spacing w:after="0"/>
              <w:rPr>
                <w:sz w:val="14"/>
                <w:szCs w:val="14"/>
                <w:color w:val="auto"/>
              </w:rPr>
            </w:pPr>
          </w:p>
        </w:tc>
        <w:tc>
          <w:tcPr>
            <w:tcW w:w="96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4"/>
                <w:szCs w:val="14"/>
                <w:color w:val="auto"/>
              </w:rPr>
            </w:pPr>
          </w:p>
        </w:tc>
        <w:tc>
          <w:tcPr>
            <w:tcW w:w="960" w:type="dxa"/>
            <w:vAlign w:val="bottom"/>
            <w:gridSpan w:val="2"/>
          </w:tcPr>
          <w:p>
            <w:pPr>
              <w:jc w:val="right"/>
              <w:ind w:right="318"/>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4"/>
                <w:szCs w:val="14"/>
                <w:color w:val="auto"/>
              </w:rPr>
            </w:pPr>
          </w:p>
        </w:tc>
        <w:tc>
          <w:tcPr>
            <w:tcW w:w="90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$ 2,502</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$ 128,536</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$ 111,633</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$ 110,541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Activity January 1 to June 30, 2013: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gain (loss) before reclassifications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(30,767)</w:t>
            </w:r>
          </w:p>
        </w:tc>
        <w:tc>
          <w:tcPr>
            <w:tcW w:w="8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(2,719)</w:t>
            </w:r>
          </w:p>
        </w:tc>
        <w:tc>
          <w:tcPr>
            <w:tcW w:w="108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(33,486)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(33,889)</w:t>
            </w:r>
          </w:p>
        </w:tc>
        <w:tc>
          <w:tcPr>
            <w:tcW w:w="0" w:type="dxa"/>
            <w:vAlign w:val="bottom"/>
          </w:tcPr>
          <w:p>
            <w:pPr>
              <w:spacing w:after="0"/>
              <w:rPr>
                <w:sz w:val="1"/>
                <w:szCs w:val="1"/>
                <w:color w:val="auto"/>
              </w:rPr>
            </w:pPr>
          </w:p>
        </w:tc>
      </w:tr>
      <w:tr>
        <w:trPr>
          <w:trHeight w:val="223"/>
        </w:trPr>
        <w:tc>
          <w:tcPr>
            <w:tcW w:w="532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(30,767)</w:t>
            </w:r>
          </w:p>
        </w:tc>
        <w:tc>
          <w:tcPr>
            <w:tcW w:w="8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527</w:t>
            </w:r>
          </w:p>
        </w:tc>
        <w:tc>
          <w:tcPr>
            <w:tcW w:w="108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(289)</w:t>
            </w:r>
          </w:p>
        </w:tc>
        <w:tc>
          <w:tcPr>
            <w:tcW w:w="108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(30,529)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(30,948)</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Balance, June 30, 2013</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(11,362)</w:t>
            </w:r>
          </w:p>
        </w:tc>
        <w:tc>
          <w:tcPr>
            <w:tcW w:w="800" w:type="dxa"/>
            <w:vAlign w:val="bottom"/>
            <w:gridSpan w:val="2"/>
          </w:tcPr>
          <w:p>
            <w:pPr>
              <w:jc w:val="right"/>
              <w:ind w:right="38"/>
              <w:spacing w:after="0"/>
              <w:rPr>
                <w:sz w:val="20"/>
                <w:szCs w:val="20"/>
                <w:color w:val="auto"/>
              </w:rPr>
            </w:pPr>
            <w:r>
              <w:rPr>
                <w:rFonts w:ascii="Arial" w:cs="Arial" w:eastAsia="Arial" w:hAnsi="Arial"/>
                <w:sz w:val="18"/>
                <w:szCs w:val="18"/>
                <w:color w:val="auto"/>
                <w:w w:val="91"/>
              </w:rPr>
              <w:t>$ (1,975)</w:t>
            </w:r>
          </w:p>
        </w:tc>
        <w:tc>
          <w:tcPr>
            <w:tcW w:w="1080" w:type="dxa"/>
            <w:vAlign w:val="bottom"/>
            <w:gridSpan w:val="3"/>
          </w:tcPr>
          <w:p>
            <w:pPr>
              <w:jc w:val="right"/>
              <w:ind w:right="38"/>
              <w:spacing w:after="0"/>
              <w:rPr>
                <w:sz w:val="20"/>
                <w:szCs w:val="20"/>
                <w:color w:val="auto"/>
              </w:rPr>
            </w:pPr>
            <w:r>
              <w:rPr>
                <w:rFonts w:ascii="Arial" w:cs="Arial" w:eastAsia="Arial" w:hAnsi="Arial"/>
                <w:sz w:val="18"/>
                <w:szCs w:val="18"/>
                <w:color w:val="auto"/>
              </w:rPr>
              <w:t>$ (128,825)</w:t>
            </w:r>
          </w:p>
        </w:tc>
        <w:tc>
          <w:tcPr>
            <w:tcW w:w="1080" w:type="dxa"/>
            <w:vAlign w:val="bottom"/>
            <w:gridSpan w:val="3"/>
          </w:tcPr>
          <w:p>
            <w:pPr>
              <w:jc w:val="right"/>
              <w:ind w:right="38"/>
              <w:spacing w:after="0"/>
              <w:rPr>
                <w:sz w:val="20"/>
                <w:szCs w:val="20"/>
                <w:color w:val="auto"/>
              </w:rPr>
            </w:pPr>
            <w:r>
              <w:rPr>
                <w:rFonts w:ascii="Arial" w:cs="Arial" w:eastAsia="Arial" w:hAnsi="Arial"/>
                <w:sz w:val="18"/>
                <w:szCs w:val="18"/>
                <w:color w:val="auto"/>
              </w:rPr>
              <w:t>$ (142,162)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(141,489)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reflects adjustments for items reclassified out of AOCI, by component, for the three month and six month periods ended June 30,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89"/>
              </w:rPr>
              <w:t>Three Months Ended</w:t>
            </w:r>
          </w:p>
        </w:tc>
        <w:tc>
          <w:tcPr>
            <w:tcW w:w="14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Six Months Ended</w:t>
            </w:r>
          </w:p>
        </w:tc>
        <w:tc>
          <w:tcPr>
            <w:tcW w:w="7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18"/>
              <w:spacing w:after="0"/>
              <w:rPr>
                <w:sz w:val="20"/>
                <w:szCs w:val="20"/>
                <w:color w:val="auto"/>
              </w:rPr>
            </w:pPr>
            <w:r>
              <w:rPr>
                <w:rFonts w:ascii="Arial" w:cs="Arial" w:eastAsia="Arial" w:hAnsi="Arial"/>
                <w:sz w:val="14"/>
                <w:szCs w:val="14"/>
                <w:b w:val="1"/>
                <w:bCs w:val="1"/>
                <w:color w:val="auto"/>
                <w:w w:val="99"/>
              </w:rPr>
              <w:t>June 30,</w:t>
            </w:r>
          </w:p>
        </w:tc>
        <w:tc>
          <w:tcPr>
            <w:tcW w:w="7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interest rate hedge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r>
      <w:tr>
        <w:trPr>
          <w:trHeight w:val="221"/>
        </w:trPr>
        <w:tc>
          <w:tcPr>
            <w:tcW w:w="6820" w:type="dxa"/>
            <w:vAlign w:val="bottom"/>
            <w:gridSpan w:val="3"/>
          </w:tcPr>
          <w:p>
            <w:pPr>
              <w:spacing w:after="0"/>
              <w:rPr>
                <w:sz w:val="20"/>
                <w:szCs w:val="20"/>
                <w:color w:val="auto"/>
              </w:rPr>
            </w:pPr>
            <w:r>
              <w:rPr>
                <w:rFonts w:ascii="Arial" w:cs="Arial" w:eastAsia="Arial" w:hAnsi="Arial"/>
                <w:sz w:val="18"/>
                <w:szCs w:val="18"/>
                <w:color w:val="auto"/>
              </w:rPr>
              <w:t>Amortization expense relating to employee benefit plans</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1,612</w:t>
            </w:r>
          </w:p>
        </w:tc>
        <w:tc>
          <w:tcPr>
            <w:tcW w:w="1480" w:type="dxa"/>
            <w:vAlign w:val="bottom"/>
          </w:tcPr>
          <w:p>
            <w:pPr>
              <w:ind w:left="20"/>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3,232</w:t>
            </w:r>
          </w:p>
        </w:tc>
        <w:tc>
          <w:tcPr>
            <w:tcW w:w="780" w:type="dxa"/>
            <w:vAlign w:val="bottom"/>
          </w:tcPr>
          <w:p>
            <w:pPr>
              <w:ind w:left="40"/>
              <w:spacing w:after="0"/>
              <w:rPr>
                <w:sz w:val="20"/>
                <w:szCs w:val="20"/>
                <w:color w:val="auto"/>
              </w:rPr>
            </w:pPr>
            <w:r>
              <w:rPr>
                <w:rFonts w:ascii="Arial" w:cs="Arial" w:eastAsia="Arial" w:hAnsi="Arial"/>
                <w:sz w:val="18"/>
                <w:szCs w:val="18"/>
                <w:color w:val="auto"/>
              </w:rPr>
              <w:t>(b)</w:t>
            </w:r>
          </w:p>
        </w:tc>
      </w:tr>
      <w:tr>
        <w:trPr>
          <w:trHeight w:val="218"/>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780" w:type="dxa"/>
            <w:vAlign w:val="bottom"/>
            <w:shd w:val="clear" w:color="auto" w:fill="CCEEFF"/>
          </w:tcPr>
          <w:p>
            <w:pPr>
              <w:spacing w:after="0"/>
              <w:rPr>
                <w:sz w:val="18"/>
                <w:szCs w:val="18"/>
                <w:color w:val="auto"/>
              </w:rPr>
            </w:pPr>
          </w:p>
        </w:tc>
      </w:t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rPr>
              <w:t>Net of tax</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7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1,475</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7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“interest expense” on the condensed consolidated statements of operations.</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3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and (ii) Edgewater’s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vehicles that the Company is deemed to control, but does not own.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tables summarize the changes in ownership interests in Lazard Group held by Lazard Ltd and LAZ-MD Holdings during the six month periods ended June 30,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2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Lazard Ltd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gridSpan w:val="4"/>
          </w:tcPr>
          <w:p>
            <w:pPr>
              <w:ind w:left="340"/>
              <w:spacing w:after="0"/>
              <w:rPr>
                <w:sz w:val="20"/>
                <w:szCs w:val="20"/>
                <w:color w:val="auto"/>
              </w:rPr>
            </w:pPr>
            <w:r>
              <w:rPr>
                <w:rFonts w:ascii="Arial" w:cs="Arial" w:eastAsia="Arial" w:hAnsi="Arial"/>
                <w:sz w:val="14"/>
                <w:szCs w:val="14"/>
                <w:b w:val="1"/>
                <w:bCs w:val="1"/>
                <w:color w:val="auto"/>
              </w:rPr>
              <w:t>LAZ-MD Holdings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Common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Membership</w:t>
            </w:r>
          </w:p>
        </w:tc>
        <w:tc>
          <w:tcPr>
            <w:tcW w:w="64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3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50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Interests</w:t>
            </w:r>
          </w:p>
        </w:tc>
        <w:tc>
          <w:tcPr>
            <w:tcW w:w="40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Ownership</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January 1, 2012</w:t>
            </w: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vMerge w:val="continue"/>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123,009,311</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6,756,779</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Activity January 1 to June 30, 2012:</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186,701</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(186,701)</w:t>
            </w: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123,196,012</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94.9%</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6,570,078</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660" w:type="dxa"/>
            <w:vAlign w:val="bottom"/>
            <w:gridSpan w:val="2"/>
          </w:tcPr>
          <w:p>
            <w:pPr>
              <w:spacing w:after="0"/>
              <w:rPr>
                <w:sz w:val="20"/>
                <w:szCs w:val="20"/>
                <w:color w:val="auto"/>
              </w:rPr>
            </w:pPr>
            <w:r>
              <w:rPr>
                <w:rFonts w:ascii="Arial" w:cs="Arial" w:eastAsia="Arial" w:hAnsi="Arial"/>
                <w:sz w:val="18"/>
                <w:szCs w:val="18"/>
                <w:color w:val="auto"/>
              </w:rPr>
              <w:t>Balance, January 1, 2013</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128,216,423</w:t>
            </w:r>
          </w:p>
        </w:tc>
        <w:tc>
          <w:tcPr>
            <w:tcW w:w="3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98.8%</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1,549,667</w:t>
            </w:r>
          </w:p>
        </w:tc>
        <w:tc>
          <w:tcPr>
            <w:tcW w:w="4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Activity January 1 to June 30, 2013:</w:t>
            </w:r>
          </w:p>
        </w:tc>
        <w:tc>
          <w:tcPr>
            <w:tcW w:w="9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Exchanges for Class A common stock</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839,658</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(839,658)</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Balance, June 30, 2013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129,056,081</w:t>
            </w:r>
          </w:p>
        </w:tc>
        <w:tc>
          <w:tcPr>
            <w:tcW w:w="36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99.5%</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710,009</w:t>
            </w:r>
          </w:p>
        </w:tc>
        <w:tc>
          <w:tcPr>
            <w:tcW w:w="4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six month periods ended June 30, 2013 and 2012 did not materially impact Lazard Ltd’s stockholders’ equity.</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2013 and 2012 and noncontrolling interests as of June 30, 2013 and December 31, 2012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8"/>
          </w:tcPr>
          <w:p>
            <w:pPr>
              <w:jc w:val="right"/>
              <w:spacing w:after="0"/>
              <w:rPr>
                <w:sz w:val="20"/>
                <w:szCs w:val="20"/>
                <w:color w:val="auto"/>
              </w:rPr>
            </w:pPr>
            <w:r>
              <w:rPr>
                <w:rFonts w:ascii="Arial" w:cs="Arial" w:eastAsia="Arial" w:hAnsi="Arial"/>
                <w:sz w:val="14"/>
                <w:szCs w:val="14"/>
                <w:b w:val="1"/>
                <w:bCs w:val="1"/>
                <w:color w:val="auto"/>
              </w:rPr>
              <w:t>Net Income (Loss) Attributable To</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0"/>
              </w:rPr>
              <w:t>Noncontrolling Interests</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6"/>
          </w:tcPr>
          <w:p>
            <w:pPr>
              <w:jc w:val="right"/>
              <w:ind w:right="520"/>
              <w:spacing w:after="0" w:line="129"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5"/>
          </w:tcPr>
          <w:p>
            <w:pPr>
              <w:jc w:val="right"/>
              <w:ind w:right="316"/>
              <w:spacing w:after="0" w:line="129" w:lineRule="exact"/>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82"/>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83"/>
              </w:rPr>
              <w:t>2013</w:t>
            </w:r>
          </w:p>
        </w:tc>
        <w:tc>
          <w:tcPr>
            <w:tcW w:w="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3"/>
              </w:rPr>
              <w:t>2012</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2,653</w:t>
            </w: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LAZ-MD Holdings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00" w:type="dxa"/>
            <w:vAlign w:val="bottom"/>
            <w:vMerge w:val="continue"/>
          </w:tcPr>
          <w:p>
            <w:pPr>
              <w:spacing w:after="0"/>
              <w:rPr>
                <w:sz w:val="19"/>
                <w:szCs w:val="19"/>
                <w:color w:val="auto"/>
              </w:rPr>
            </w:pPr>
          </w:p>
        </w:tc>
        <w:tc>
          <w:tcPr>
            <w:tcW w:w="3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568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3,341</w:t>
            </w: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2,857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9"/>
          </w:tcPr>
          <w:p>
            <w:pPr>
              <w:ind w:left="380"/>
              <w:spacing w:after="0"/>
              <w:rPr>
                <w:sz w:val="20"/>
                <w:szCs w:val="20"/>
                <w:color w:val="auto"/>
              </w:rPr>
            </w:pPr>
            <w:r>
              <w:rPr>
                <w:rFonts w:ascii="Arial" w:cs="Arial" w:eastAsia="Arial" w:hAnsi="Arial"/>
                <w:sz w:val="14"/>
                <w:szCs w:val="14"/>
                <w:b w:val="1"/>
                <w:bCs w:val="1"/>
                <w:color w:val="auto"/>
              </w:rPr>
              <w:t>Noncontrolling Interests As Of</w:t>
            </w: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00" w:type="dxa"/>
            <w:vAlign w:val="bottom"/>
            <w:tcBorders>
              <w:bottom w:val="single" w:sz="8" w:color="CCEEFF"/>
            </w:tcBorders>
          </w:tcPr>
          <w:p>
            <w:pPr>
              <w:spacing w:after="0"/>
              <w:rPr>
                <w:sz w:val="15"/>
                <w:szCs w:val="15"/>
                <w:color w:val="auto"/>
              </w:rPr>
            </w:pPr>
          </w:p>
        </w:tc>
        <w:tc>
          <w:tcPr>
            <w:tcW w:w="3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$71,020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LAZ-MD Holdings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2,248</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74,127</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260" w:type="dxa"/>
            <w:vAlign w:val="bottom"/>
            <w:vMerge w:val="restart"/>
          </w:tcPr>
          <w:p>
            <w:pPr>
              <w:jc w:val="right"/>
              <w:ind w:right="87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Dividend Declared, July 2013</w:t>
      </w:r>
      <w:r>
        <w:rPr>
          <w:rFonts w:ascii="Arial" w:cs="Arial" w:eastAsia="Arial" w:hAnsi="Arial"/>
          <w:sz w:val="18"/>
          <w:szCs w:val="18"/>
          <w:color w:val="auto"/>
        </w:rPr>
        <w:t>—On July 24, 2013, the Board of Directors of Lazard Ltd declared a quarterly dividend of $0.25 per share on its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payable on August 23, 2013, to stockholders of record on August 6, 2013.</w:t>
      </w:r>
    </w:p>
    <w:p>
      <w:pPr>
        <w:spacing w:after="0" w:line="25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six month periods ended June 30, 2013 and 2012,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condensed consolidated statements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18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5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7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RSUs (a)</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$52,147</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$63,428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82"/>
              </w:rPr>
              <w:t>$ 117,089</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$145,319</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2,433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580" w:type="dxa"/>
            <w:vAlign w:val="bottom"/>
          </w:tcPr>
          <w:p>
            <w:pPr>
              <w:jc w:val="right"/>
              <w:spacing w:after="0"/>
              <w:rPr>
                <w:sz w:val="20"/>
                <w:szCs w:val="20"/>
                <w:color w:val="auto"/>
              </w:rPr>
            </w:pPr>
            <w:r>
              <w:rPr>
                <w:rFonts w:ascii="Arial" w:cs="Arial" w:eastAsia="Arial" w:hAnsi="Arial"/>
                <w:sz w:val="18"/>
                <w:szCs w:val="18"/>
                <w:color w:val="auto"/>
              </w:rPr>
              <w:t>1,824</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1,704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7,085</w:t>
            </w:r>
          </w:p>
        </w:tc>
        <w:tc>
          <w:tcPr>
            <w:tcW w:w="660" w:type="dxa"/>
            <w:vAlign w:val="bottom"/>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8"/>
                <w:szCs w:val="18"/>
                <w:color w:val="auto"/>
              </w:rPr>
            </w:pPr>
          </w:p>
        </w:tc>
      </w:tr>
      <w:tr>
        <w:trPr>
          <w:trHeight w:val="230"/>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4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4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4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r>
      <w:tr>
        <w:trPr>
          <w:trHeight w:val="222"/>
        </w:trPr>
        <w:tc>
          <w:tcPr>
            <w:tcW w:w="752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57,369</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66,350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128,081</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152,486</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4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during the three month and six month periods ended June 30, 2013, $4,644 and $9,099, respectively, relating to the Cost Saving Initiatives (see Note 14 of Notes to Condensed Consolidated Financial Statements).</w:t>
      </w: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during the three month and six month periods ended June 30, 2013, $14 and $247, respectively, relating to the Cost Saving Initiatives.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For purposes of calculating diluted net income per share, RSU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ordinary quarterly dividends paid on Class A common stock during such period. During the six month periods ended June 30, 2013 and 2012, issuances of RSUs pertaining to such dividend participation rights and respective charges to “retained earnings”, net of estimated forfeitures (with corresponding credits to “additional paid-in-capital”),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9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94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9480" w:type="dxa"/>
            <w:vAlign w:val="bottom"/>
          </w:tcPr>
          <w:p>
            <w:pPr>
              <w:spacing w:after="0"/>
              <w:rPr>
                <w:sz w:val="12"/>
                <w:szCs w:val="12"/>
                <w:color w:val="auto"/>
              </w:rPr>
            </w:pPr>
          </w:p>
        </w:tc>
        <w:tc>
          <w:tcPr>
            <w:tcW w:w="72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1220" w:type="dxa"/>
            <w:vAlign w:val="bottom"/>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2012</w:t>
            </w:r>
          </w:p>
        </w:tc>
      </w:tr>
      <w:tr>
        <w:trPr>
          <w:trHeight w:val="210"/>
        </w:trPr>
        <w:tc>
          <w:tcPr>
            <w:tcW w:w="9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131,669</w:t>
            </w: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310,756</w:t>
            </w: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720" w:type="dxa"/>
            <w:vAlign w:val="bottom"/>
          </w:tcPr>
          <w:p>
            <w:pPr>
              <w:jc w:val="right"/>
              <w:spacing w:after="0"/>
              <w:rPr>
                <w:sz w:val="20"/>
                <w:szCs w:val="20"/>
                <w:color w:val="auto"/>
              </w:rPr>
            </w:pPr>
            <w:r>
              <w:rPr>
                <w:rFonts w:ascii="Arial" w:cs="Arial" w:eastAsia="Arial" w:hAnsi="Arial"/>
                <w:sz w:val="18"/>
                <w:szCs w:val="18"/>
                <w:color w:val="auto"/>
              </w:rPr>
              <w:t>$  4,062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  7,277</w:t>
            </w:r>
          </w:p>
        </w:tc>
      </w:tr>
    </w:tbl>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Non-executive members of the Board of Directors receive approximately 55% of their annual compensation for service on the Board of Directors and its committees in the form of DSUs, which resulted in 39,315 and 49,735 DSUs granted during the six month periods ended June 30, 2013 and 2012,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 and resulted in nominal cash payments for the six month periods ended June 30, 2013 and 2012.</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May 9, 2006, the Board of Directors adopted the Directors’ Fee Deferral Unit Plan, which allows the Company’s Non-Executive Directors to elect to receive additional DSUs in lieu of some or all of their cash fees. The number of DSUs that shall be granted to a Non-Executive Director pursuant to this election will equal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value of cash fees that the applicable Non-Executive Director has elected to forego pursuant to such election, divided by the market value of a share of Class A common stock on the date on which the foregone cash fees would otherwise have been paid. During the six month periods ended June 30, 2013 and 2012, 3,916 and 5,489 DSUs, respectively, had been granted pursuant to such Plan.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2013 and 2012:</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140" w:type="dxa"/>
            <w:vAlign w:val="bottom"/>
            <w:gridSpan w:val="4"/>
          </w:tcPr>
          <w:p>
            <w:pPr>
              <w:jc w:val="center"/>
              <w:ind w:left="17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21,481,131</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204,496</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Granted (including 131,669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4,689,312</w:t>
            </w:r>
          </w:p>
        </w:tc>
        <w:tc>
          <w:tcPr>
            <w:tcW w:w="3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36.95</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43,231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(223,346)</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(8,589,999)</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34.99</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17,357,098</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247,727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shd w:val="clear" w:color="auto" w:fill="CCEEFF"/>
          </w:tcPr>
          <w:p>
            <w:pPr>
              <w:spacing w:after="0"/>
              <w:rPr>
                <w:sz w:val="18"/>
                <w:szCs w:val="18"/>
                <w:color w:val="auto"/>
              </w:rPr>
            </w:pPr>
          </w:p>
        </w:tc>
      </w:tr>
      <w:tr>
        <w:trPr>
          <w:trHeight w:val="20"/>
        </w:trPr>
        <w:tc>
          <w:tcPr>
            <w:tcW w:w="62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220" w:type="dxa"/>
            <w:vAlign w:val="bottom"/>
            <w:gridSpan w:val="2"/>
          </w:tcPr>
          <w:p>
            <w:pPr>
              <w:spacing w:after="0"/>
              <w:rPr>
                <w:sz w:val="20"/>
                <w:szCs w:val="20"/>
                <w:color w:val="auto"/>
              </w:rPr>
            </w:pPr>
            <w:r>
              <w:rPr>
                <w:rFonts w:ascii="Arial" w:cs="Arial" w:eastAsia="Arial" w:hAnsi="Arial"/>
                <w:sz w:val="18"/>
                <w:szCs w:val="18"/>
                <w:color w:val="auto"/>
              </w:rPr>
              <w:t>Balance, January 1, 2012</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20,751,829</w:t>
            </w:r>
          </w:p>
        </w:tc>
        <w:tc>
          <w:tcPr>
            <w:tcW w:w="32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36.84</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140,660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310,756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7,847,541</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(311,601)</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35.46</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(3,631,932)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Balance, June 30, 2012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24,655,837</w:t>
            </w:r>
          </w:p>
        </w:tc>
        <w:tc>
          <w:tcPr>
            <w:tcW w:w="320" w:type="dxa"/>
            <w:vAlign w:val="bottom"/>
          </w:tcPr>
          <w:p>
            <w:pPr>
              <w:spacing w:after="0"/>
              <w:rPr>
                <w:sz w:val="19"/>
                <w:szCs w:val="19"/>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34.32</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195,884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connection with RSUs which vested during the six month periods ended June 30, 2013 and 2012, the Company satisfied its minimum statutory tax withholding requirements in lieu of issuing 3,309,900 and 967,828 shares of Class A common stock in the respective six month periods. Accordingly, 5,280,099 and 2,664,104 shares of Class A common stock held by the Company were delivered during the six month periods ended June 30, 2013 and 2012, respectively.</w:t>
      </w:r>
    </w:p>
    <w:p>
      <w:pPr>
        <w:spacing w:after="0" w:line="8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During the fourth quarter of 2012, 958,213 RSUs were modified through forward purchase agreements into liability awards. Such liability awards were settled on March 1, 2013 for $28,612. During the six month period ended June 30, 2013, compensation expense of $1,690 was recorded for such liability awards.</w:t>
      </w:r>
    </w:p>
    <w:p>
      <w:pPr>
        <w:spacing w:after="0" w:line="6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June 30, 2013, unrecognized RSU compensation expense, adjusted for estimated forfeitures, was approximately $236,000, with such unrecognized compensation expense expected to be recognized over a weighted average period of approximately 1.5 years subsequent to June 30, 2013.</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2013 and 2012:</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1,972,609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368,736</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(35,183)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(1,727,121)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579,041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80" w:type="dxa"/>
            <w:vAlign w:val="bottom"/>
            <w:shd w:val="clear" w:color="auto" w:fill="CCEEFF"/>
          </w:tcPr>
          <w:p>
            <w:pPr>
              <w:spacing w:after="0"/>
              <w:rPr>
                <w:sz w:val="18"/>
                <w:szCs w:val="18"/>
                <w:color w:val="auto"/>
              </w:rPr>
            </w:pPr>
          </w:p>
        </w:tc>
      </w:tr>
      <w:tr>
        <w:trPr>
          <w:trHeight w:val="20"/>
        </w:trPr>
        <w:tc>
          <w:tcPr>
            <w:tcW w:w="70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020" w:type="dxa"/>
            <w:vAlign w:val="bottom"/>
            <w:gridSpan w:val="2"/>
          </w:tcPr>
          <w:p>
            <w:pPr>
              <w:spacing w:after="0"/>
              <w:rPr>
                <w:sz w:val="20"/>
                <w:szCs w:val="20"/>
                <w:color w:val="auto"/>
              </w:rPr>
            </w:pPr>
            <w:r>
              <w:rPr>
                <w:rFonts w:ascii="Arial" w:cs="Arial" w:eastAsia="Arial" w:hAnsi="Arial"/>
                <w:sz w:val="18"/>
                <w:szCs w:val="18"/>
                <w:color w:val="auto"/>
              </w:rPr>
              <w:t>Balance, January 1, 2012</w:t>
            </w:r>
          </w:p>
        </w:tc>
        <w:tc>
          <w:tcPr>
            <w:tcW w:w="820" w:type="dxa"/>
            <w:vAlign w:val="bottom"/>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Granted/Exchanged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577,323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(18,921)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(131,743)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80" w:type="dxa"/>
            <w:vAlign w:val="bottom"/>
            <w:shd w:val="clear" w:color="auto" w:fill="CCEEFF"/>
          </w:tcPr>
          <w:p>
            <w:pPr>
              <w:spacing w:after="0"/>
              <w:rPr>
                <w:sz w:val="18"/>
                <w:szCs w:val="18"/>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Balance, June 30, 2012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521,991</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six month periods ended June 30, 2013 and 2012, the Company satisfied its minimum statutory tax withholding requirements in lieu of delivering 17,915 and 28,129 shares of Class A common stock during the respective six month periods. Accordingly, 1,709,206 and 103,614 shares of Class A common stock held by the Company were delivered during the six month periods ended June 30, 2013 and 2012, respectively.</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June 30, 2013, unrecognized restricted stock expense was approximately $11,000, with such expense to be recognized over a weighted average period of approximately 1.7 years subsequent to June 30, 2013.</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During the six month period ended June 30, 2013, the Company granted 448,128 PRSUs. The 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the three-year period beginning on January 1, 2012 and ending on December 31,</w:t>
      </w:r>
    </w:p>
    <w:p>
      <w:pPr>
        <w:spacing w:after="0" w:line="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2014. The target number of shares of Class A common stock subject to each PRSU is one; however, based on the achievement of the performance criteria, the number of shares of Class A common stock that may be received in connection with each PRSU can range from zero to three times the target number. The PRSUs granted in 2013 will vest 33% in March 2015 and 67% in March 2016,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generally include dividend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of $36.11 per share. As of June 30, 2013, the total estimated unrecognized compensation expense for PRSUs granted in 2013 was approximately $14,000, and the Company expects to amortize such expense over a weighted-average period of approximately 1.9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Commencing in February 2011, the Company granted Lazard Fund Interests to eligible employees.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six month periods ended June 30, 2013 and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33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Granted</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72,217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72,217</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33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(19,107)</w:t>
            </w:r>
          </w:p>
        </w:tc>
        <w:tc>
          <w:tcPr>
            <w:tcW w:w="0" w:type="dxa"/>
            <w:vAlign w:val="bottom"/>
          </w:tcPr>
          <w:p>
            <w:pPr>
              <w:spacing w:after="0"/>
              <w:rPr>
                <w:sz w:val="1"/>
                <w:szCs w:val="1"/>
                <w:color w:val="auto"/>
              </w:rPr>
            </w:pPr>
          </w:p>
        </w:tc>
      </w:tr>
      <w:tr>
        <w:trPr>
          <w:trHeight w:val="229"/>
        </w:trPr>
        <w:tc>
          <w:tcPr>
            <w:tcW w:w="458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3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(30,226)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3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458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Balance, June 30, 2013</w:t>
            </w:r>
          </w:p>
        </w:tc>
        <w:tc>
          <w:tcPr>
            <w:tcW w:w="3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346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88,355</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151,225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33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17,782</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Granted</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64,631</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64,631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33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(8,641)</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3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(16,985)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Decrease in fair value of underlying investments</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3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6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80" w:type="dxa"/>
            <w:vAlign w:val="bottom"/>
          </w:tcPr>
          <w:p>
            <w:pPr>
              <w:spacing w:after="0"/>
              <w:rPr>
                <w:sz w:val="20"/>
                <w:szCs w:val="20"/>
                <w:color w:val="auto"/>
              </w:rPr>
            </w:pPr>
            <w:r>
              <w:rPr>
                <w:rFonts w:ascii="Arial" w:cs="Arial" w:eastAsia="Arial" w:hAnsi="Arial"/>
                <w:sz w:val="18"/>
                <w:szCs w:val="18"/>
                <w:color w:val="auto"/>
              </w:rPr>
              <w:t>Balance, June 30, 2012</w:t>
            </w:r>
          </w:p>
        </w:tc>
        <w:tc>
          <w:tcPr>
            <w:tcW w:w="346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65,399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85,641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340" w:type="dxa"/>
            <w:vAlign w:val="bottom"/>
            <w:vMerge w:val="restart"/>
          </w:tcPr>
          <w:p>
            <w:pPr>
              <w:jc w:val="right"/>
              <w:ind w:right="2492"/>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1.9 years subsequent to June 30, 2013.</w:t>
      </w:r>
    </w:p>
    <w:p>
      <w:pPr>
        <w:spacing w:after="0" w:line="132"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following is a summary of the impact of Lazard Fund Interests and other similar deferred compensation arrangements on “compensation and benefits” expense within the accompanying condensed consolidated statements of operations for the three month and six month periods ended June 30, 2013 and 2012: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Compensation expense:</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gridSpan w:val="2"/>
          </w:tcPr>
          <w:p>
            <w:pPr>
              <w:ind w:left="440"/>
              <w:spacing w:after="0"/>
              <w:rPr>
                <w:sz w:val="20"/>
                <w:szCs w:val="20"/>
                <w:color w:val="auto"/>
              </w:rPr>
            </w:pPr>
            <w:r>
              <w:rPr>
                <w:rFonts w:ascii="Arial" w:cs="Arial" w:eastAsia="Arial" w:hAnsi="Arial"/>
                <w:sz w:val="18"/>
                <w:szCs w:val="18"/>
                <w:color w:val="auto"/>
              </w:rPr>
              <w:t>Amortization, net of forfeitures (a)</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$19,052</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10,800</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$32,101</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$16,985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 in fair value of underlying investments</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(3,477)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(2,856)</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gridSpan w:val="3"/>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15,575</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7,944</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32,349</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16,896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during the three month and six month periods ended June 30, 2013, $1,748 and $2,665, respectively, relating to the Cost Saving Initiatives.</w:t>
      </w:r>
    </w:p>
    <w:p>
      <w:pPr>
        <w:spacing w:after="0" w:line="31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did not make a contribution to the U.S. pension plans during the six month period ended June 30, 2013.</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agreed to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amounts in the account security arrangement at June 30, 2013 and December 31, 2012 of approximately $15,600 and $16,500, respectively, have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been recorded in “cash deposited with clearing organizations and other segregated cash” on the accompanying condensed consolidated statements of financial condition. Income on the account security arrangement accretes to the Company and is recorded in interest income.</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the six month period ended June 30, 2013, the Company contributed 1 million British pounds ($1,543 at June 30, 2013 exchange rates) to these U.K. pension plans, and no contributions were required to be made to other non-U.S. pension plans.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related to the Company’s post-retirement plans for the three month and six month periods ended June 30,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83"/>
              </w:rPr>
              <w:t>Pension Plans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Medical Plan</w:t>
            </w:r>
          </w:p>
        </w:tc>
      </w:tr>
      <w:tr>
        <w:trPr>
          <w:trHeight w:val="142"/>
        </w:trPr>
        <w:tc>
          <w:tcPr>
            <w:tcW w:w="5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11"/>
          </w:tcPr>
          <w:p>
            <w:pPr>
              <w:jc w:val="right"/>
              <w:ind w:right="320"/>
              <w:spacing w:after="0" w:line="142" w:lineRule="exact"/>
              <w:rPr>
                <w:sz w:val="20"/>
                <w:szCs w:val="20"/>
                <w:color w:val="auto"/>
              </w:rPr>
            </w:pPr>
            <w:r>
              <w:rPr>
                <w:rFonts w:ascii="Arial" w:cs="Arial" w:eastAsia="Arial" w:hAnsi="Arial"/>
                <w:sz w:val="14"/>
                <w:szCs w:val="14"/>
                <w:b w:val="1"/>
                <w:bCs w:val="1"/>
                <w:color w:val="auto"/>
                <w:w w:val="87"/>
              </w:rPr>
              <w:t>Three Months Ended June 30,</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2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center"/>
              <w:ind w:left="75"/>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8"/>
                <w:szCs w:val="18"/>
                <w:color w:val="auto"/>
              </w:rPr>
              <w:t>$ 17</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$ 19</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6,689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6,885</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(6,585)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(6,622)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Settlement loss (a)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benefit cost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2,025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2,422</w:t>
            </w: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$ 61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$ 71</w:t>
            </w:r>
          </w:p>
        </w:tc>
        <w:tc>
          <w:tcPr>
            <w:tcW w:w="100" w:type="dxa"/>
            <w:vAlign w:val="bottom"/>
            <w:shd w:val="clear" w:color="auto" w:fill="CCEEFF"/>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7"/>
          </w:tcPr>
          <w:p>
            <w:pPr>
              <w:ind w:left="20"/>
              <w:spacing w:after="0"/>
              <w:rPr>
                <w:sz w:val="20"/>
                <w:szCs w:val="20"/>
                <w:color w:val="auto"/>
              </w:rPr>
            </w:pPr>
            <w:r>
              <w:rPr>
                <w:rFonts w:ascii="Arial" w:cs="Arial" w:eastAsia="Arial" w:hAnsi="Arial"/>
                <w:sz w:val="14"/>
                <w:szCs w:val="14"/>
                <w:b w:val="1"/>
                <w:bCs w:val="1"/>
                <w:color w:val="auto"/>
                <w:w w:val="87"/>
              </w:rPr>
              <w:t>Pension Plans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Medical Plan</w:t>
            </w:r>
          </w:p>
        </w:tc>
      </w:tr>
      <w:tr>
        <w:trPr>
          <w:trHeight w:val="142"/>
        </w:trPr>
        <w:tc>
          <w:tcPr>
            <w:tcW w:w="5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gridSpan w:val="12"/>
          </w:tcPr>
          <w:p>
            <w:pPr>
              <w:jc w:val="right"/>
              <w:ind w:right="540"/>
              <w:spacing w:after="0" w:line="142" w:lineRule="exact"/>
              <w:rPr>
                <w:sz w:val="20"/>
                <w:szCs w:val="20"/>
                <w:color w:val="auto"/>
              </w:rPr>
            </w:pPr>
            <w:r>
              <w:rPr>
                <w:rFonts w:ascii="Arial" w:cs="Arial" w:eastAsia="Arial" w:hAnsi="Arial"/>
                <w:sz w:val="14"/>
                <w:szCs w:val="14"/>
                <w:b w:val="1"/>
                <w:bCs w:val="1"/>
                <w:color w:val="auto"/>
                <w:w w:val="87"/>
              </w:rPr>
              <w:t>Six Months Ended June 30,</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center"/>
              <w:ind w:right="18"/>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2"/>
                <w:szCs w:val="12"/>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2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$ 27</w:t>
            </w: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$ 30</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13,442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13,787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52"/>
              <w:spacing w:after="0"/>
              <w:rPr>
                <w:sz w:val="20"/>
                <w:szCs w:val="20"/>
                <w:color w:val="auto"/>
              </w:rPr>
            </w:pPr>
            <w:r>
              <w:rPr>
                <w:rFonts w:ascii="Arial" w:cs="Arial" w:eastAsia="Arial" w:hAnsi="Arial"/>
                <w:sz w:val="18"/>
                <w:szCs w:val="18"/>
                <w:color w:val="auto"/>
                <w:w w:val="86"/>
              </w:rPr>
              <w:t>(13,382)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(13,294)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1,406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Settlement loss (a)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9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benefit cost</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118</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135</w:t>
            </w:r>
          </w:p>
        </w:tc>
        <w:tc>
          <w:tcPr>
            <w:tcW w:w="100" w:type="dxa"/>
            <w:vAlign w:val="bottom"/>
            <w:shd w:val="clear" w:color="auto" w:fill="CCEEFF"/>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8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the three month period ended June 30, 2012, the Company’s pension plans in the U.S. made lump sum benefit payments in excess of the plans’ annual service and interest costs, which, under U.S. GAAP, requires that the plans’ obligations and assets be remeasured. The remeasurement of the plans resulted in the recognition of actuarial losses totaling $1,935 recorded in “other comprehensive income (loss), net of tax” (“OCI”), which, combined with a settlement loss of $886 recognized in “compensation and benefits” expense, resulted in a net charge to OCI of $1,049.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October 2012, the Company announced cost saving initiatives (the “Cost Saving Initiatives”) relating to the Company’s operations. These initiatives include streamlining our corporate structure and consolidating support functions; realigning our investments into areas with potential for the greatest long-term return; the settlement of certain contractual obligations; occupancy cost reduction; and creating greater flexibility to retain and attract the best people and invest in new growth areas.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Cost Saving Initiatives, the Company incurred pre-tax implementation expense, by segment, as reflected in the tables below:</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Advisory</w:t>
            </w:r>
          </w:p>
        </w:tc>
        <w:tc>
          <w:tcPr>
            <w:tcW w:w="60" w:type="dxa"/>
            <w:vAlign w:val="bottom"/>
          </w:tcPr>
          <w:p>
            <w:pPr>
              <w:spacing w:after="0"/>
              <w:rPr>
                <w:sz w:val="14"/>
                <w:szCs w:val="14"/>
                <w:color w:val="auto"/>
              </w:rPr>
            </w:pPr>
          </w:p>
        </w:tc>
        <w:tc>
          <w:tcPr>
            <w:tcW w:w="11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6"/>
              </w:rPr>
              <w:t>Management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 Period Ended June 30, 2013: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880" w:type="dxa"/>
            <w:vAlign w:val="bottom"/>
            <w:gridSpan w:val="5"/>
          </w:tcPr>
          <w:p>
            <w:pPr>
              <w:jc w:val="right"/>
              <w:ind w:right="180"/>
              <w:spacing w:after="0"/>
              <w:rPr>
                <w:sz w:val="20"/>
                <w:szCs w:val="20"/>
                <w:color w:val="auto"/>
              </w:rPr>
            </w:pPr>
            <w:r>
              <w:rPr>
                <w:rFonts w:ascii="Arial" w:cs="Arial" w:eastAsia="Arial" w:hAnsi="Arial"/>
                <w:sz w:val="18"/>
                <w:szCs w:val="18"/>
                <w:color w:val="auto"/>
              </w:rPr>
              <w:t>$25,352</w:t>
            </w:r>
          </w:p>
        </w:tc>
        <w:tc>
          <w:tcPr>
            <w:tcW w:w="4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5"/>
          </w:tcPr>
          <w:p>
            <w:pPr>
              <w:jc w:val="right"/>
              <w:ind w:right="600"/>
              <w:spacing w:after="0"/>
              <w:rPr>
                <w:sz w:val="20"/>
                <w:szCs w:val="20"/>
                <w:color w:val="auto"/>
              </w:rPr>
            </w:pPr>
            <w:r>
              <w:rPr>
                <w:rFonts w:ascii="Arial" w:cs="Arial" w:eastAsia="Arial" w:hAnsi="Arial"/>
                <w:sz w:val="18"/>
                <w:szCs w:val="18"/>
                <w:color w:val="auto"/>
              </w:rPr>
              <w:t>$  1,376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$26,728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right w:val="single" w:sz="8" w:color="CCEEFF"/>
            </w:tcBorders>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11,241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vMerge w:val="continue"/>
          </w:tcPr>
          <w:p>
            <w:pPr>
              <w:spacing w:after="0"/>
              <w:rPr>
                <w:sz w:val="19"/>
                <w:szCs w:val="19"/>
                <w:color w:val="auto"/>
              </w:rPr>
            </w:pPr>
          </w:p>
        </w:tc>
        <w:tc>
          <w:tcPr>
            <w:tcW w:w="880" w:type="dxa"/>
            <w:vAlign w:val="bottom"/>
            <w:gridSpan w:val="5"/>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25,764</w:t>
            </w:r>
          </w:p>
        </w:tc>
        <w:tc>
          <w:tcPr>
            <w:tcW w:w="4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5"/>
          </w:tcPr>
          <w:p>
            <w:pPr>
              <w:jc w:val="right"/>
              <w:ind w:right="600"/>
              <w:spacing w:after="0"/>
              <w:rPr>
                <w:sz w:val="20"/>
                <w:szCs w:val="20"/>
                <w:color w:val="auto"/>
              </w:rPr>
            </w:pPr>
            <w:r>
              <w:rPr>
                <w:rFonts w:ascii="Arial" w:cs="Arial" w:eastAsia="Arial" w:hAnsi="Arial"/>
                <w:sz w:val="18"/>
                <w:szCs w:val="18"/>
                <w:color w:val="auto"/>
              </w:rPr>
              <w:t>$ 12,617</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38,381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700" w:type="dxa"/>
            <w:vAlign w:val="bottom"/>
          </w:tcPr>
          <w:p>
            <w:pPr>
              <w:spacing w:after="0"/>
              <w:rPr>
                <w:sz w:val="18"/>
                <w:szCs w:val="18"/>
                <w:color w:val="auto"/>
              </w:rPr>
            </w:pPr>
          </w:p>
        </w:tc>
        <w:tc>
          <w:tcPr>
            <w:tcW w:w="1320" w:type="dxa"/>
            <w:vAlign w:val="bottom"/>
            <w:gridSpan w:val="6"/>
          </w:tcPr>
          <w:p>
            <w:pPr>
              <w:ind w:left="20"/>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1320" w:type="dxa"/>
            <w:vAlign w:val="bottom"/>
            <w:gridSpan w:val="6"/>
          </w:tcPr>
          <w:p>
            <w:pPr>
              <w:ind w:left="20"/>
              <w:spacing w:after="0"/>
              <w:rPr>
                <w:sz w:val="20"/>
                <w:szCs w:val="20"/>
                <w:color w:val="auto"/>
              </w:rPr>
            </w:pPr>
            <w:r>
              <w:rPr>
                <w:rFonts w:ascii="Arial" w:cs="Arial" w:eastAsia="Arial" w:hAnsi="Arial"/>
                <w:sz w:val="14"/>
                <w:szCs w:val="14"/>
                <w:b w:val="1"/>
                <w:bCs w:val="1"/>
                <w:color w:val="auto"/>
              </w:rPr>
              <w:t>Advisory</w:t>
            </w:r>
          </w:p>
        </w:tc>
        <w:tc>
          <w:tcPr>
            <w:tcW w:w="1180" w:type="dxa"/>
            <w:vAlign w:val="bottom"/>
            <w:gridSpan w:val="6"/>
          </w:tcPr>
          <w:p>
            <w:pPr>
              <w:ind w:left="20"/>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 Period Ended June 30, 2013:</w:t>
            </w: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$45,746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5,417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47,779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$ 16,689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140"/>
              <w:spacing w:after="0"/>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Advisory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Cumulative Through June 30, 2013: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$121,879</w:t>
            </w:r>
          </w:p>
        </w:tc>
        <w:tc>
          <w:tcPr>
            <w:tcW w:w="44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12,292</w:t>
            </w:r>
          </w:p>
        </w:tc>
        <w:tc>
          <w:tcPr>
            <w:tcW w:w="1540" w:type="dxa"/>
            <w:vAlign w:val="bottom"/>
            <w:gridSpan w:val="5"/>
          </w:tcPr>
          <w:p>
            <w:pPr>
              <w:jc w:val="right"/>
              <w:ind w:right="600"/>
              <w:spacing w:after="0"/>
              <w:rPr>
                <w:sz w:val="20"/>
                <w:szCs w:val="20"/>
                <w:color w:val="auto"/>
              </w:rPr>
            </w:pPr>
            <w:r>
              <w:rPr>
                <w:rFonts w:ascii="Arial" w:cs="Arial" w:eastAsia="Arial" w:hAnsi="Arial"/>
                <w:sz w:val="18"/>
                <w:szCs w:val="18"/>
                <w:color w:val="auto"/>
              </w:rPr>
              <w:t>$ 17,215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5"/>
              </w:rPr>
              <w:t>$151,386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right w:val="single" w:sz="8" w:color="CCEEFF"/>
            </w:tcBorders>
            <w:gridSpan w:val="2"/>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60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$ 125,311</w:t>
            </w:r>
          </w:p>
        </w:tc>
        <w:tc>
          <w:tcPr>
            <w:tcW w:w="440" w:type="dxa"/>
            <w:vAlign w:val="bottom"/>
          </w:tcPr>
          <w:p>
            <w:pPr>
              <w:spacing w:after="0"/>
              <w:rPr>
                <w:sz w:val="19"/>
                <w:szCs w:val="19"/>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13,024</w:t>
            </w:r>
          </w:p>
        </w:tc>
        <w:tc>
          <w:tcPr>
            <w:tcW w:w="1540" w:type="dxa"/>
            <w:vAlign w:val="bottom"/>
            <w:gridSpan w:val="5"/>
          </w:tcPr>
          <w:p>
            <w:pPr>
              <w:jc w:val="right"/>
              <w:ind w:right="600"/>
              <w:spacing w:after="0"/>
              <w:rPr>
                <w:sz w:val="20"/>
                <w:szCs w:val="20"/>
                <w:color w:val="auto"/>
              </w:rPr>
            </w:pPr>
            <w:r>
              <w:rPr>
                <w:rFonts w:ascii="Arial" w:cs="Arial" w:eastAsia="Arial" w:hAnsi="Arial"/>
                <w:sz w:val="18"/>
                <w:szCs w:val="18"/>
                <w:color w:val="auto"/>
              </w:rPr>
              <w:t>$ 28,944</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167,279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Expenses associated with the implementation of the Cost Saving Initiatives were completed during the second quarter of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related to the obligations pursuant to the Cost Saving Initiatives during the six month period ended June 30, 2013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Accrued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6"/>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Benefits</w:t>
            </w:r>
          </w:p>
        </w:tc>
        <w:tc>
          <w:tcPr>
            <w:tcW w:w="2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2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New charges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51,399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13,304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64,703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Non-cash charges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(12,007)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(3,022)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(15,029)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(1,162)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(41,193)</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Balance, June 30, 2013</w:t>
            </w:r>
          </w:p>
        </w:tc>
        <w:tc>
          <w:tcPr>
            <w:tcW w:w="2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40" w:type="dxa"/>
            <w:vAlign w:val="bottom"/>
            <w:vMerge w:val="continue"/>
          </w:tcPr>
          <w:p>
            <w:pPr>
              <w:spacing w:after="0"/>
              <w:rPr>
                <w:sz w:val="19"/>
                <w:szCs w:val="19"/>
                <w:color w:val="auto"/>
              </w:rPr>
            </w:pPr>
          </w:p>
        </w:tc>
        <w:tc>
          <w:tcPr>
            <w:tcW w:w="3020" w:type="dxa"/>
            <w:vAlign w:val="bottom"/>
            <w:gridSpan w:val="2"/>
          </w:tcPr>
          <w:p>
            <w:pPr>
              <w:ind w:left="29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45,489</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10,834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$ 56,323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900" w:type="dxa"/>
            <w:vAlign w:val="bottom"/>
            <w:vMerge w:val="restart"/>
          </w:tcPr>
          <w:p>
            <w:pPr>
              <w:jc w:val="right"/>
              <w:ind w:right="1172"/>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2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20"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The Company recorded income tax provisions of $9,017 and $12,965 for the three month and six month periods ended June 30, 2013, respectively, and $10,371 and $19,138 for the three month and six month periods ended June 30, 2012, respectively, representing effective tax rates of 22.0%, 20.7%, 23.3% and 23.2%, respectively. The difference between the U.S. federal statutory rate of 35.0% and the effective tax rates reflected above principally relates to (i) Lazard Group primarily operating as a limited liability company in the U.S., (ii) taxes payable to foreign jurisdictions that are not offset against U.S. income taxes, (iii) foreign source income not subject to U.S. income taxes (including interest on intercompany financings), (iv) Lazard Group’s income from U.S. operations attributable to noncontrolling interests, and (v) U.S. state and local taxes (primarily UBT), which are incremental to the U.S. federal statutory tax rate.</w:t>
      </w:r>
    </w:p>
    <w:p>
      <w:pPr>
        <w:spacing w:after="0" w:line="10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redemption of historical partner interests in connection with the Company’s separation and recapitalization that occurred in May 2005 and subsequent exchanges of LAZ-MD Holdings exchangeable interests for shares of Class A common stock have resulted, and future exchanges of LAZ-MD Holdings exchangeable interests for shares of Class A common stock may result, in increases in the tax basis of the tangible and intangible assets of Lazard Group. The tax receivable agreement dated as of May 10, 2005 with LFCM Holdings LLC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Based on the financial results for the applicable annual periods, there is no provision for such payments in the six month periods ended June 30, 2013 and 2012. If any provision is required pursuant to the tax receivable agreement, such amount would be fully offset by a reduction in the Company’s income tax expense.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three month and six month periods ended June 30, 2013 and 2012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plus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such shares associated with shares of Class A common stock issuable on a non-contingent basis.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as in the basic net income per share calculation described above, plus,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applicable and dilutive, (i) changes in net income attributable to noncontrolling interests resulting from assumed Class A common stock issuances in connection with share-based incentive compensation and, on an “as-if-exchanged” basis, amounts applicable to LAZ-MD Holdings exchangeable interests and (ii) income tax related to (i) above.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as in the basic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calculation described above, plus, to the extent dilutive, the incremental number of shares of Class A common stock to settle share-based incentive compensation and LAZ-MD Holdings exchangeable interests, using the “treasury stock” method or the “as-if-exchanged” basis, as applicable.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six month periods ended June 30, 2013 and 2012 are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2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776"/>
              <w:spacing w:after="0"/>
              <w:rPr>
                <w:sz w:val="20"/>
                <w:szCs w:val="20"/>
                <w:color w:val="auto"/>
              </w:rPr>
            </w:pPr>
            <w:r>
              <w:rPr>
                <w:rFonts w:ascii="Arial" w:cs="Arial" w:eastAsia="Arial" w:hAnsi="Arial"/>
                <w:sz w:val="14"/>
                <w:szCs w:val="14"/>
                <w:b w:val="1"/>
                <w:bCs w:val="1"/>
                <w:color w:val="auto"/>
                <w:w w:val="85"/>
              </w:rPr>
              <w:t>June 30,</w:t>
            </w:r>
          </w:p>
        </w:tc>
        <w:tc>
          <w:tcPr>
            <w:tcW w:w="9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736"/>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46,713</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87"/>
              </w:rPr>
              <w:t>Add (deduct) - adjustment associated with Class A common stock issuable on a</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non-contingent basis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w:t>
            </w: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30,823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46,713</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Adjustments to income relating to interest expense and changes in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9"/>
              </w:rPr>
              <w:t>income attributable to noncontrolling interests resulting from assumed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Class A common stock issuances in connection with share-based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incentive compensation and exchangeable interests, net of tax</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$31,642</w:t>
            </w:r>
          </w:p>
        </w:tc>
        <w:tc>
          <w:tcPr>
            <w:tcW w:w="48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$32,509</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$47,184</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5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number of shares of Class A common stock outstanding</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121,028,696</w:t>
            </w: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117,478,380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118,975,340</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118,079,120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Add - adjustment for shares of Class A common stock issuable on a non-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contingent basis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731,286</w:t>
            </w:r>
          </w:p>
        </w:tc>
        <w:tc>
          <w:tcPr>
            <w:tcW w:w="480" w:type="dxa"/>
            <w:vAlign w:val="bottom"/>
          </w:tcPr>
          <w:p>
            <w:pPr>
              <w:spacing w:after="0"/>
              <w:rPr>
                <w:sz w:val="20"/>
                <w:szCs w:val="20"/>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756,940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758,753</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653,311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number of shares of Class A common stock outstanding -</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121,759,982</w:t>
            </w: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118,235,320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119,734,093</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118,732,431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Weighted average number of incremental shares of Class A common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issuable from share-based incentive compensation and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exchangeable interests</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10,704,314</w:t>
            </w: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16,401,615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12,905,835</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16,883,126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20" w:type="dxa"/>
            <w:vAlign w:val="bottom"/>
            <w:gridSpan w:val="2"/>
          </w:tcPr>
          <w:p>
            <w:pPr>
              <w:spacing w:after="0"/>
              <w:rPr>
                <w:sz w:val="20"/>
                <w:szCs w:val="20"/>
                <w:color w:val="auto"/>
              </w:rPr>
            </w:pPr>
            <w:r>
              <w:rPr>
                <w:rFonts w:ascii="Arial" w:cs="Arial" w:eastAsia="Arial" w:hAnsi="Arial"/>
                <w:sz w:val="18"/>
                <w:szCs w:val="18"/>
                <w:color w:val="auto"/>
                <w:w w:val="92"/>
              </w:rPr>
              <w:t>Weighted average number of shares of Class A common stock outstanding -</w:t>
            </w: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132,464,296</w:t>
            </w:r>
          </w:p>
        </w:tc>
        <w:tc>
          <w:tcPr>
            <w:tcW w:w="480" w:type="dxa"/>
            <w:vAlign w:val="bottom"/>
          </w:tcPr>
          <w:p>
            <w:pPr>
              <w:spacing w:after="0"/>
              <w:rPr>
                <w:sz w:val="19"/>
                <w:szCs w:val="19"/>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134,636,935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132,639,928</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135,615,557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attributable to Lazard Ltd per share of Class A common stock:</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$0.26</w:t>
            </w:r>
          </w:p>
        </w:tc>
        <w:tc>
          <w:tcPr>
            <w:tcW w:w="48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$0.39</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vMerge w:val="restart"/>
          </w:tcPr>
          <w:p>
            <w:pPr>
              <w:jc w:val="right"/>
              <w:ind w:right="132"/>
              <w:spacing w:after="0"/>
              <w:rPr>
                <w:sz w:val="20"/>
                <w:szCs w:val="20"/>
                <w:color w:val="auto"/>
              </w:rPr>
            </w:pPr>
            <w:r>
              <w:rPr>
                <w:rFonts w:ascii="Arial" w:cs="Arial" w:eastAsia="Arial" w:hAnsi="Arial"/>
                <w:sz w:val="18"/>
                <w:szCs w:val="18"/>
                <w:color w:val="auto"/>
                <w:w w:val="79"/>
              </w:rPr>
              <w:t>37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8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LFCM Holdings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14,232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20,529</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8"/>
                <w:szCs w:val="18"/>
                <w:color w:val="auto"/>
              </w:rPr>
            </w:pPr>
          </w:p>
        </w:tc>
      </w:tr>
      <w:tr>
        <w:trPr>
          <w:trHeight w:val="222"/>
        </w:trPr>
        <w:tc>
          <w:tcPr>
            <w:tcW w:w="836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15,242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23,801</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LFCM Holdings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4,749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r>
      <w:tr>
        <w:trPr>
          <w:trHeight w:val="222"/>
        </w:trPr>
        <w:tc>
          <w:tcPr>
            <w:tcW w:w="836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4,759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2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For the three month and six month periods ended June 30, 2013, amounts recorded by Lazard Group relating to the administrative services agreement amounted to $300 and $932, respectively, and net referral fees for underwriting, private placement, M&amp;A and restructuring transactions under the business alliance agreement amounted to $(970) and $(470), respectively. For the three month and six month periods ended June 30, 2012, amounts recorded by Lazard Group relating to the administrative services agreement amounted to $702 and $1,515, respectively, and net referral fees for underwriting, private placement, M&amp;A and restructuring transactions under the business alliance agreement amounted to $3,552 and $4,366,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Receivables from LFCM Holdings and its subsidiaries as of June 30, 2013 and December 31, 2012 include $8,568 and $14,299, respectively, related to administrative and support services and other receivables, which include sublease income and reimbursement of expenses incurred on behalf of LFCM Holdings, and $5,664 and $6,230, respectively, related to referral fees for underwriting and private placement transactions. Payables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LFCM Holdings and its subsidiaries at June 30, 2013 and December 31, 2012 include $4,749 and $2,943, respectively, primarily relating to referral fees for Financial Advisory transactions.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Other receivables and payables at June 30, 2013 and December 31, 2012 primarily relate to referral fees for M&amp;A transactions with MBA Lazard Holdings S.A. and its affiliates, an Argentina-based group in which the Company has a 50% ownership interest, and, at December 31, 2012, a related party loan.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Lazard Group provides certain administrative and support services to LAZ-MD Holdings through an administrative services agreement, with such services generally to be provided until December 31, 2014 unless terminated earlier because of a change in control of either party. Lazard Group charges LAZ-MD Holdings for these services based on Lazard Group’s cost allocation methodology and, for the three month and six month periods ended June 30, 2013, such charges amounted to $250 and $500, respectively. For the three month and six month periods ended June 30, 2012, such charges amounted to $187 and $375, respectively.</w:t>
      </w:r>
    </w:p>
    <w:p>
      <w:pPr>
        <w:spacing w:after="0" w:line="26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June 30, 2013, LFNY’s regulatory net capital was $128,583, which exceeded the minimum requirement by $124,897.</w:t>
      </w:r>
    </w:p>
    <w:p>
      <w:pPr>
        <w:spacing w:after="0" w:line="11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which replaced the Financial Services Authority as the U.K. Subsidiaries’ regulator effective April 1, 2013. At June 30, 2013, the aggregate regulatory net capital of the U.K. Subsidiaries was $74,781, which exceeded the minimum requirement by $54,858.</w:t>
      </w:r>
    </w:p>
    <w:p>
      <w:pPr>
        <w:spacing w:after="0" w:line="143"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June 30, 2013, the consolidated regulatory net capital of CFLF was $185,983, which exceeded the minimum requirement set for regulatory capital levels by $154,183.</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2013, for those subsidiaries with regulatory capital requirements, their aggregate net capital was $103,267, which exceeded the minimum required capital by $76,657.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2013, each of these subsidiaries individually was in compliance with its regulatory capital requirements.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which we continue to examine, LFB, as a European credit institution, is required to be supervised on a consolidated basis by another regulatory body, either in the U.S., by the Board of Governors of the Federal Reserve, or in the European Union. The Dodd-Frank Act and the rules and regulations that may be adopted thereunder (including regulations that have not yet been proposed) could affect us in other ways. We continue to monitor the possible effect of the implementation of alternatives available to us.</w:t>
      </w:r>
    </w:p>
    <w:p>
      <w:pPr>
        <w:spacing w:after="0" w:line="24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2013 and 2012 was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2013(a)</w:t>
            </w: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1"/>
              </w:rPr>
              <w:t>2013(a)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640" w:type="dxa"/>
            <w:vAlign w:val="bottom"/>
            <w:tcBorders>
              <w:top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263,307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242,624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431,769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519,820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40" w:type="dxa"/>
            <w:vAlign w:val="bottom"/>
          </w:tcPr>
          <w:p>
            <w:pPr>
              <w:ind w:left="126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239,766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231,200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456,674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481,097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(24,905)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38,723</w:t>
            </w:r>
          </w:p>
        </w:tc>
        <w:tc>
          <w:tcPr>
            <w:tcW w:w="0" w:type="dxa"/>
            <w:vAlign w:val="bottom"/>
          </w:tcPr>
          <w:p>
            <w:pPr>
              <w:spacing w:after="0"/>
              <w:rPr>
                <w:sz w:val="1"/>
                <w:szCs w:val="1"/>
                <w:color w:val="auto"/>
              </w:rPr>
            </w:pPr>
          </w:p>
        </w:tc>
      </w:tr>
      <w:tr>
        <w:trPr>
          <w:trHeight w:val="20"/>
        </w:trPr>
        <w:tc>
          <w:tcPr>
            <w:tcW w:w="2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80" w:type="dxa"/>
            <w:vAlign w:val="bottom"/>
            <w:gridSpan w:val="3"/>
            <w:vMerge w:val="continue"/>
          </w:tcPr>
          <w:p>
            <w:pPr>
              <w:spacing w:after="0"/>
              <w:rPr>
                <w:sz w:val="24"/>
                <w:szCs w:val="24"/>
                <w:color w:val="auto"/>
              </w:rPr>
            </w:pPr>
          </w:p>
        </w:tc>
        <w:tc>
          <w:tcPr>
            <w:tcW w:w="4640" w:type="dxa"/>
            <w:vAlign w:val="bottom"/>
          </w:tcPr>
          <w:p>
            <w:pPr>
              <w:ind w:left="126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245,499</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211,053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489,524</w:t>
            </w:r>
          </w:p>
        </w:tc>
        <w:tc>
          <w:tcPr>
            <w:tcW w:w="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425,580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187,554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156,619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342,631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317,120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40" w:type="dxa"/>
            <w:vAlign w:val="bottom"/>
          </w:tcPr>
          <w:p>
            <w:pPr>
              <w:ind w:left="126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57,945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54,434</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146,893</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108,460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6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(16,767)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(28,985)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40" w:type="dxa"/>
            <w:vAlign w:val="bottom"/>
          </w:tcPr>
          <w:p>
            <w:pPr>
              <w:ind w:left="126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22,147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(40,548)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(21,325)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(59,453)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(64,827)</w:t>
            </w:r>
          </w:p>
        </w:tc>
        <w:tc>
          <w:tcPr>
            <w:tcW w:w="0" w:type="dxa"/>
            <w:vAlign w:val="bottom"/>
          </w:tcPr>
          <w:p>
            <w:pPr>
              <w:spacing w:after="0"/>
              <w:rPr>
                <w:sz w:val="1"/>
                <w:szCs w:val="1"/>
                <w:color w:val="auto"/>
              </w:rPr>
            </w:pPr>
          </w:p>
        </w:tc>
      </w:tr>
      <w:tr>
        <w:trPr>
          <w:trHeight w:val="20"/>
        </w:trPr>
        <w:tc>
          <w:tcPr>
            <w:tcW w:w="2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80" w:type="dxa"/>
            <w:vAlign w:val="bottom"/>
            <w:gridSpan w:val="3"/>
            <w:vMerge w:val="continue"/>
          </w:tcPr>
          <w:p>
            <w:pPr>
              <w:spacing w:after="0"/>
              <w:rPr>
                <w:sz w:val="24"/>
                <w:szCs w:val="24"/>
                <w:color w:val="auto"/>
              </w:rPr>
            </w:pPr>
          </w:p>
        </w:tc>
        <w:tc>
          <w:tcPr>
            <w:tcW w:w="4640" w:type="dxa"/>
            <w:vAlign w:val="bottom"/>
          </w:tcPr>
          <w:p>
            <w:pPr>
              <w:ind w:left="126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490,405</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436,910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892,308</w:t>
            </w:r>
          </w:p>
        </w:tc>
        <w:tc>
          <w:tcPr>
            <w:tcW w:w="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922,949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449,467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392,377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829,773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840,593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40" w:type="dxa"/>
            <w:vAlign w:val="bottom"/>
          </w:tcPr>
          <w:p>
            <w:pPr>
              <w:ind w:left="126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40,938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44,533</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62,535</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14 of Notes to Condensed Consolidated Financial Statements for information regarding the Cost Saving Initiatives, and the impact on each of the Company’s business segments during the three month and six month periods ended June 30, 2013.</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June 30,</w:t>
            </w:r>
          </w:p>
        </w:tc>
        <w:tc>
          <w:tcPr>
            <w:tcW w:w="118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722,702</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793,007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539,662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4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1,658,865</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1,627,209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2,921,229</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2,986,893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80" w:type="dxa"/>
            <w:vAlign w:val="bottom"/>
            <w:vMerge w:val="restart"/>
          </w:tcPr>
          <w:p>
            <w:pPr>
              <w:jc w:val="right"/>
              <w:ind w:right="2612"/>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2012 (the “Form 10-K”). All references to “2013”, “2012”, “second quarter”, “first half” or “the period” refer to, as the context requires, the three month and six month periods ended June 30, 2013 and June 30,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decline in overall mergers and acquisitions (“M&amp;A”) activity, our share of the M&amp;A market or our assets under management (“AUM”),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risks and uncertainties are not exhaustive. Other sections of the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13"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and its subsidiaries (collectively referred to as “LAM”).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Our websites and the information contained therein or connected thereto shall not be deemed to be incorporated into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40 cities in key business and financial centers across 26 countries throughout Europe, North America,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operate in cyclical businesses across multiple geographies, industries and asset classes. In recent years, we have expanded our geographic reach, bolstered our industry expertise and continued to build in growth areas.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6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5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2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54%</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w:t>
            </w:r>
          </w:p>
        </w:tc>
        <w:tc>
          <w:tcPr>
            <w:tcW w:w="12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Asset Management</w:t>
            </w: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720" w:type="dxa"/>
            <w:vAlign w:val="bottom"/>
          </w:tcPr>
          <w:p>
            <w:pPr>
              <w:spacing w:after="0"/>
              <w:rPr>
                <w:sz w:val="18"/>
                <w:szCs w:val="18"/>
                <w:color w:val="auto"/>
              </w:rPr>
            </w:pP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55</w:t>
            </w: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280" w:type="dxa"/>
            <w:vAlign w:val="bottom"/>
            <w:gridSpan w:val="2"/>
          </w:tcPr>
          <w:p>
            <w:pPr>
              <w:jc w:val="right"/>
              <w:ind w:right="512"/>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51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260" w:firstLine="8"/>
        <w:spacing w:after="0" w:line="281" w:lineRule="auto"/>
        <w:tabs>
          <w:tab w:leader="none" w:pos="2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10 of Notes to Condensed Consolidated Financial Statements), (ii) Lazard Australia Corporate Opportunities Fund 2 (“COF2”), a Lazard-managed Australian private equity fund targeting Australasian mid-market investments,</w:t>
      </w:r>
    </w:p>
    <w:p>
      <w:pPr>
        <w:spacing w:after="0" w:line="1" w:lineRule="exact"/>
        <w:rPr>
          <w:rFonts w:ascii="Arial" w:cs="Arial" w:eastAsia="Arial" w:hAnsi="Arial"/>
          <w:sz w:val="16"/>
          <w:szCs w:val="16"/>
          <w:color w:val="auto"/>
        </w:rPr>
      </w:pPr>
    </w:p>
    <w:p>
      <w:pPr>
        <w:ind w:firstLine="8"/>
        <w:spacing w:after="0" w:line="292" w:lineRule="auto"/>
        <w:tabs>
          <w:tab w:leader="none" w:pos="30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mezzanine fund, which invests in mezzanine debt of a diversified selection of small-to mid-cap European companies and (iv) a private equity fund targeting significant noncontrolling-stake investments in established private companies.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Economic and global financial market conditions can materially affect our financial performance. As described above, our principal sources of revenue are derived from activities in our Financial Advisory and Asset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Equity market indices at June 30, 2013 increased in the U.S. when compared to such indices at June 30, 2012, December 31, 2012 and March 31, 2013. Outside the U.S., equity market indices at June 30, 2013 generally increased as compared to June 30, 2012, but decreased when compared to December 31, 2012 and March 31, 2013. On an industry-wide basis, during the first half of 2013, the value of completed M&amp;A transactions increased while the number of completed transactions decreased as compared to the corresponding prior year period. Global restructuring activity, as measured by the value and number of corporate defaults, increased in the first half of 2013 as compared to the same period last year, but remains low relative to historical levels.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mid-2013, interest rates remain low relative to historical levels and corporate cash balances remain high. Global macroeconomic conditions appear to be improving but remain uncertain, especially with respect to Europe. The breadth of our businesses has mitigated the impact of the European financial crisis. Although completed European M&amp;A activity declined in the first half of 2013 and contributed to the revenue decrease in our Financial Advisory business, we believe other advisory opportunities, including opportunities for our Sovereign Advisory and Capital Structure businesses, may offset the slowdown. In our Asset Management business, most of LAM’s European clients are invested with LAM primarily outside of Europe. Many of those who are invested in Europe are invested in European fixed income, which has not had a significant impact on our Asset Management business. Nonetheless, the business situation in Europe remains challenging. Despite volatility in emerging markets during the second quarter of 2013, we have experienced positive flows in our Emerging Markets debt and equity platforms.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We also remain focused on expense management, and in October 2012 we announced a number of cost saving initiatives (the “cost saving initiatives”) relating to our operations. See “Cost Saving Initiatives” below and Note 14 of Notes to Condensed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20" w:hanging="345"/>
        <w:spacing w:after="0" w:line="289" w:lineRule="auto"/>
        <w:tabs>
          <w:tab w:leader="none" w:pos="92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will likely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particular in Europe, with our Sovereign Advisory, Restructuring and Capital Structure businesses. In addition, we believe our businesses throughout the emerging markets, Japan and Australia position us for growth in these markets, while strengthening and distinguishing our relationships with clients in developed economies. We recently integrated our Brazilian operations based in São Paulo. We also established the Lazard Africa initiative, to leverage our sovereign and corporate expertise in this rapidly growing region, for our clients in both developed and developing countries.</w:t>
      </w:r>
    </w:p>
    <w:p>
      <w:pPr>
        <w:spacing w:after="0" w:line="37" w:lineRule="exact"/>
        <w:rPr>
          <w:rFonts w:ascii="Arial" w:cs="Arial" w:eastAsia="Arial" w:hAnsi="Arial"/>
          <w:sz w:val="16"/>
          <w:szCs w:val="16"/>
          <w:color w:val="auto"/>
        </w:rPr>
      </w:pPr>
    </w:p>
    <w:p>
      <w:pPr>
        <w:ind w:left="920" w:hanging="345"/>
        <w:spacing w:after="0" w:line="294" w:lineRule="auto"/>
        <w:tabs>
          <w:tab w:leader="none" w:pos="92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Generally, we have seen increased investor demand across regions and investment platforms. In the short to intermediate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and Singapore. We are continually developing and seeding new investment strategies that extend our existing platforms. Recent examples of growth initiatives include the following investment strategies: Emerging Markets Debt, Core Emerging Markets Equity, Emerging Markets Small Cap Equity, Real Estate, Managed Volatility Strategies and Asian Equities.</w:t>
      </w:r>
    </w:p>
    <w:p>
      <w:pPr>
        <w:spacing w:after="0" w:line="1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and earnings growth and stockholder returns, the prudent management of our costs and expenses, the efficient use of our assets and the return of capital to our stockholders.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reflected in the following table, which sets forth global industry statistics for the second quarter and first half of 2013 and 2012, the value and number of completed and announced M&amp;A transactions in the 2013 periods generally decreased compared to the corresponding periods in 2012.</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2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jc w:val="right"/>
              <w:ind w:right="221"/>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w w:val="83"/>
              </w:rPr>
              <w:t>2013</w:t>
            </w:r>
          </w:p>
        </w:tc>
        <w:tc>
          <w:tcPr>
            <w:tcW w:w="420" w:type="dxa"/>
            <w:vAlign w:val="bottom"/>
          </w:tcPr>
          <w:p>
            <w:pPr>
              <w:spacing w:after="0"/>
              <w:rPr>
                <w:sz w:val="14"/>
                <w:szCs w:val="14"/>
                <w:color w:val="auto"/>
              </w:rPr>
            </w:pPr>
          </w:p>
        </w:tc>
        <w:tc>
          <w:tcPr>
            <w:tcW w:w="660" w:type="dxa"/>
            <w:vAlign w:val="bottom"/>
          </w:tcPr>
          <w:p>
            <w:pPr>
              <w:jc w:val="right"/>
              <w:ind w:right="299"/>
              <w:spacing w:after="0"/>
              <w:rPr>
                <w:sz w:val="20"/>
                <w:szCs w:val="20"/>
                <w:color w:val="auto"/>
              </w:rPr>
            </w:pPr>
            <w:r>
              <w:rPr>
                <w:rFonts w:ascii="Arial" w:cs="Arial" w:eastAsia="Arial" w:hAnsi="Arial"/>
                <w:sz w:val="14"/>
                <w:szCs w:val="14"/>
                <w:b w:val="1"/>
                <w:bCs w:val="1"/>
                <w:color w:val="auto"/>
                <w:w w:val="83"/>
              </w:rPr>
              <w:t>2012</w:t>
            </w: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Incr / (Decr)</w:t>
            </w:r>
          </w:p>
        </w:tc>
        <w:tc>
          <w:tcPr>
            <w:tcW w:w="100" w:type="dxa"/>
            <w:vAlign w:val="bottom"/>
          </w:tcPr>
          <w:p>
            <w:pPr>
              <w:spacing w:after="0"/>
              <w:rPr>
                <w:sz w:val="14"/>
                <w:szCs w:val="14"/>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2013</w:t>
            </w:r>
          </w:p>
        </w:tc>
        <w:tc>
          <w:tcPr>
            <w:tcW w:w="380" w:type="dxa"/>
            <w:vAlign w:val="bottom"/>
          </w:tcPr>
          <w:p>
            <w:pPr>
              <w:spacing w:after="0"/>
              <w:rPr>
                <w:sz w:val="14"/>
                <w:szCs w:val="14"/>
                <w:color w:val="auto"/>
              </w:rPr>
            </w:pPr>
          </w:p>
        </w:tc>
        <w:tc>
          <w:tcPr>
            <w:tcW w:w="860" w:type="dxa"/>
            <w:vAlign w:val="bottom"/>
          </w:tcPr>
          <w:p>
            <w:pPr>
              <w:jc w:val="right"/>
              <w:ind w:right="439"/>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Incr / (Decr)</w:t>
            </w:r>
          </w:p>
        </w:tc>
      </w:tr>
      <w:tr>
        <w:trPr>
          <w:trHeight w:val="142"/>
        </w:trPr>
        <w:tc>
          <w:tcPr>
            <w:tcW w:w="3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4"/>
          </w:tcPr>
          <w:p>
            <w:pPr>
              <w:jc w:val="right"/>
              <w:ind w:right="436"/>
              <w:spacing w:after="0" w:line="142" w:lineRule="exact"/>
              <w:rPr>
                <w:sz w:val="20"/>
                <w:szCs w:val="20"/>
                <w:color w:val="auto"/>
              </w:rPr>
            </w:pPr>
            <w:r>
              <w:rPr>
                <w:rFonts w:ascii="Arial" w:cs="Arial" w:eastAsia="Arial" w:hAnsi="Arial"/>
                <w:sz w:val="14"/>
                <w:szCs w:val="14"/>
                <w:b w:val="1"/>
                <w:bCs w:val="1"/>
                <w:color w:val="auto"/>
              </w:rPr>
              <w:t>($ in billions)</w:t>
            </w: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52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9"/>
              <w:spacing w:after="0"/>
              <w:rPr>
                <w:sz w:val="20"/>
                <w:szCs w:val="20"/>
                <w:color w:val="auto"/>
              </w:rPr>
            </w:pPr>
            <w:r>
              <w:rPr>
                <w:rFonts w:ascii="Arial" w:cs="Arial" w:eastAsia="Arial" w:hAnsi="Arial"/>
                <w:sz w:val="18"/>
                <w:szCs w:val="18"/>
                <w:color w:val="auto"/>
              </w:rPr>
              <w:t>567</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6"/>
              <w:spacing w:after="0"/>
              <w:rPr>
                <w:sz w:val="20"/>
                <w:szCs w:val="20"/>
                <w:color w:val="auto"/>
              </w:rPr>
            </w:pPr>
            <w:r>
              <w:rPr>
                <w:rFonts w:ascii="Arial" w:cs="Arial" w:eastAsia="Arial" w:hAnsi="Arial"/>
                <w:sz w:val="18"/>
                <w:szCs w:val="18"/>
                <w:color w:val="auto"/>
              </w:rPr>
              <w:t>1,016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9"/>
              <w:spacing w:after="0"/>
              <w:rPr>
                <w:sz w:val="20"/>
                <w:szCs w:val="20"/>
                <w:color w:val="auto"/>
              </w:rPr>
            </w:pPr>
            <w:r>
              <w:rPr>
                <w:rFonts w:ascii="Arial" w:cs="Arial" w:eastAsia="Arial" w:hAnsi="Arial"/>
                <w:sz w:val="18"/>
                <w:szCs w:val="18"/>
                <w:color w:val="auto"/>
              </w:rPr>
              <w:t>970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5,924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84"/>
              </w:rPr>
              <w:t>7,380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3"/>
              </w:rPr>
              <w:t>12,640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87"/>
              </w:rPr>
              <w:t>15,030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640</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983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1,114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22"/>
        </w:trPr>
        <w:tc>
          <w:tcPr>
            <w:tcW w:w="352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8,180</w:t>
            </w:r>
          </w:p>
        </w:tc>
        <w:tc>
          <w:tcPr>
            <w:tcW w:w="420" w:type="dxa"/>
            <w:vAlign w:val="bottom"/>
          </w:tcPr>
          <w:p>
            <w:pPr>
              <w:spacing w:after="0"/>
              <w:rPr>
                <w:sz w:val="19"/>
                <w:szCs w:val="19"/>
                <w:color w:val="auto"/>
              </w:rPr>
            </w:pPr>
          </w:p>
        </w:tc>
        <w:tc>
          <w:tcPr>
            <w:tcW w:w="660" w:type="dxa"/>
            <w:vAlign w:val="bottom"/>
          </w:tcPr>
          <w:p>
            <w:pPr>
              <w:jc w:val="right"/>
              <w:ind w:right="179"/>
              <w:spacing w:after="0"/>
              <w:rPr>
                <w:sz w:val="20"/>
                <w:szCs w:val="20"/>
                <w:color w:val="auto"/>
              </w:rPr>
            </w:pPr>
            <w:r>
              <w:rPr>
                <w:rFonts w:ascii="Arial" w:cs="Arial" w:eastAsia="Arial" w:hAnsi="Arial"/>
                <w:sz w:val="18"/>
                <w:szCs w:val="18"/>
                <w:color w:val="auto"/>
                <w:w w:val="84"/>
              </w:rPr>
              <w:t>9,659</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Arial" w:cs="Arial" w:eastAsia="Arial" w:hAnsi="Arial"/>
                <w:sz w:val="18"/>
                <w:szCs w:val="18"/>
                <w:color w:val="auto"/>
                <w:w w:val="83"/>
              </w:rPr>
              <w:t>17,015</w:t>
            </w:r>
          </w:p>
        </w:tc>
        <w:tc>
          <w:tcPr>
            <w:tcW w:w="38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8"/>
                <w:szCs w:val="18"/>
                <w:color w:val="auto"/>
                <w:w w:val="87"/>
              </w:rPr>
              <w:t>19,202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Source:Thomson Reuters as of July 8, 2013.</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Global restructuring activity during the first half of 2013, as measured by the value of debt defaults, increased from the corresponding period in 2012, with the number of issuers defaulting increasing to 40 in the first half of 2013, according to Moody’s Investors Service, Inc., as compared to 33 in the corresponding period of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comparison of major equity market indices at June 30, 2013, against such indices at March 31, 2013, December 31, 2012 and June 30, 2012,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6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Percentage Changes</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4"/>
                <w:szCs w:val="14"/>
                <w:b w:val="1"/>
                <w:bCs w:val="1"/>
                <w:color w:val="auto"/>
              </w:rPr>
              <w:t>June 30, 2013 vs.</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440" w:type="dxa"/>
            <w:vAlign w:val="bottom"/>
          </w:tcPr>
          <w:p>
            <w:pPr>
              <w:spacing w:after="0"/>
              <w:rPr>
                <w:sz w:val="11"/>
                <w:szCs w:val="11"/>
                <w:color w:val="auto"/>
              </w:rPr>
            </w:pPr>
          </w:p>
        </w:tc>
        <w:tc>
          <w:tcPr>
            <w:tcW w:w="1100" w:type="dxa"/>
            <w:vAlign w:val="bottom"/>
            <w:gridSpan w:val="2"/>
          </w:tcPr>
          <w:p>
            <w:pPr>
              <w:jc w:val="center"/>
              <w:ind w:right="392"/>
              <w:spacing w:after="0" w:line="129" w:lineRule="exact"/>
              <w:rPr>
                <w:sz w:val="20"/>
                <w:szCs w:val="20"/>
                <w:color w:val="auto"/>
              </w:rPr>
            </w:pPr>
            <w:r>
              <w:rPr>
                <w:rFonts w:ascii="Arial" w:cs="Arial" w:eastAsia="Arial" w:hAnsi="Arial"/>
                <w:sz w:val="14"/>
                <w:szCs w:val="14"/>
                <w:b w:val="1"/>
                <w:bCs w:val="1"/>
                <w:color w:val="auto"/>
                <w:w w:val="89"/>
              </w:rPr>
              <w:t>March 31,</w:t>
            </w:r>
          </w:p>
        </w:tc>
        <w:tc>
          <w:tcPr>
            <w:tcW w:w="520" w:type="dxa"/>
            <w:vAlign w:val="bottom"/>
          </w:tcPr>
          <w:p>
            <w:pPr>
              <w:spacing w:after="0"/>
              <w:rPr>
                <w:sz w:val="11"/>
                <w:szCs w:val="11"/>
                <w:color w:val="auto"/>
              </w:rPr>
            </w:pPr>
          </w:p>
        </w:tc>
        <w:tc>
          <w:tcPr>
            <w:tcW w:w="1840" w:type="dxa"/>
            <w:vAlign w:val="bottom"/>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1"/>
                <w:szCs w:val="11"/>
                <w:color w:val="auto"/>
              </w:rPr>
            </w:pPr>
          </w:p>
        </w:tc>
      </w:tr>
      <w:tr>
        <w:trPr>
          <w:trHeight w:val="161"/>
        </w:trPr>
        <w:tc>
          <w:tcPr>
            <w:tcW w:w="54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2012</w:t>
            </w:r>
          </w:p>
        </w:tc>
        <w:tc>
          <w:tcPr>
            <w:tcW w:w="10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6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Euro Stoxx</w:t>
            </w:r>
          </w:p>
        </w:tc>
        <w:tc>
          <w:tcPr>
            <w:tcW w:w="1100" w:type="dxa"/>
            <w:vAlign w:val="bottom"/>
            <w:gridSpan w:val="2"/>
          </w:tcPr>
          <w:p>
            <w:pPr>
              <w:jc w:val="right"/>
              <w:ind w:right="212"/>
              <w:spacing w:after="0"/>
              <w:rPr>
                <w:sz w:val="20"/>
                <w:szCs w:val="20"/>
                <w:color w:val="auto"/>
              </w:rPr>
            </w:pPr>
            <w:r>
              <w:rPr>
                <w:rFonts w:ascii="Arial" w:cs="Arial" w:eastAsia="Arial" w:hAnsi="Arial"/>
                <w:sz w:val="18"/>
                <w:szCs w:val="18"/>
                <w:color w:val="auto"/>
              </w:rPr>
              <w:t>(1)%</w:t>
            </w:r>
          </w:p>
        </w:tc>
        <w:tc>
          <w:tcPr>
            <w:tcW w:w="2360" w:type="dxa"/>
            <w:vAlign w:val="bottom"/>
            <w:gridSpan w:val="3"/>
          </w:tcPr>
          <w:p>
            <w:pPr>
              <w:jc w:val="right"/>
              <w:ind w:right="82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11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(9)%</w:t>
            </w:r>
          </w:p>
        </w:tc>
        <w:tc>
          <w:tcPr>
            <w:tcW w:w="23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S&amp;P 500</w:t>
            </w:r>
          </w:p>
        </w:tc>
        <w:tc>
          <w:tcPr>
            <w:tcW w:w="1100" w:type="dxa"/>
            <w:vAlign w:val="bottom"/>
            <w:gridSpan w:val="2"/>
          </w:tcPr>
          <w:p>
            <w:pPr>
              <w:jc w:val="right"/>
              <w:ind w:right="272"/>
              <w:spacing w:after="0"/>
              <w:rPr>
                <w:sz w:val="20"/>
                <w:szCs w:val="20"/>
                <w:color w:val="auto"/>
              </w:rPr>
            </w:pPr>
            <w:r>
              <w:rPr>
                <w:rFonts w:ascii="Arial" w:cs="Arial" w:eastAsia="Arial" w:hAnsi="Arial"/>
                <w:sz w:val="18"/>
                <w:szCs w:val="18"/>
                <w:color w:val="auto"/>
              </w:rPr>
              <w:t>2%</w:t>
            </w:r>
          </w:p>
        </w:tc>
        <w:tc>
          <w:tcPr>
            <w:tcW w:w="2360" w:type="dxa"/>
            <w:vAlign w:val="bottom"/>
            <w:gridSpan w:val="3"/>
          </w:tcPr>
          <w:p>
            <w:pPr>
              <w:jc w:val="right"/>
              <w:ind w:right="88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bl>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 Management business when comparing periodic results. A substantial portion of our AUM is invested in equities, and market movements reflected in the changes in Lazard’s AUM during the period generally correspond to the changes in global equity market indices. Our AUM at June 30, 2013 decreased 2% versus AUM at December 31, 2012 primarily due to net outflows, and our average AUM for the first half of 2013 increased 14% as compared to our average AUM for the corresponding period of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October 2012, we announced cost saving initiatives which, at that time, were expected to result in approximately $125 million in annual savings from our compensation and non-compensation cost base. We currently expect total annual savings related to the cost saving initiatives to be approximately $160 million, which will be partially offset by investment in our business.</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Approximately $120 million of the expected annual savings relate to compensation expense associated with our headcount, and approximately $40 million to non-compensation expense. We anticipate that more than two-thirds of these savings will be realized in 2013, with the full impact of all the savings reflected in our 2014 results.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Expenses associated with implementation of the cost saving initiatives were completed in the second quarter of 2013 and have been reflected in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financial results. These implementation expenses were approximately: $38 million in the second quarter of 2013; $26 million in the first quarter of 2013;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$103 million in the fourth quarter of 2012, for a total of approximately $167 million. Approximately 75% of the implementation expenses are expected to be paid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cash.</w:t>
      </w:r>
    </w:p>
    <w:p>
      <w:pPr>
        <w:spacing w:after="0" w:line="165"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the settlement of certain contractual obligations; occupancy cost reduction; and creating greater flexibility to retain and attract the best people and invest in new growth areas.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of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majority of Lazard’s Financial Advisory net revenue historically has been earned from the successful completion of M&amp;A transactions, strategic advisory matters, restructuring and capital structure advisory services,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 funds, such as hedge funds and private equity funds, and lower fees earned on fixed income and cash management products.</w:t>
      </w:r>
    </w:p>
    <w:p>
      <w:pPr>
        <w:spacing w:after="0" w:line="12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in LAM equity and fixed income funds, principal investments in equities and alternative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funds and “equity method” investments, net hedging activities, as well as gains and losses on investments held in connection with Lazard Fund Interests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Although Corporate segment net revenue during the first half of 2013 represented (3)% of Lazard’s net revenue, total assets in the Corporate segment represented 57% of Lazard’s consolidated total assets as of June 30, 2013, which are attributable to investments in government bonds and money market funds, fixed income funds, alternative investment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Lazard Fund Interests awards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2013, 2012 and 2011 related to the 2012, 2011 and 2010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59.4% for the year ended December 31, 2012. While we have implemented initiatives, including the cost saving initiatives announced in October 2012 (see “Cost Saving Initiatives” above),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changes in the mix of revenues from our businesses or various other factors could prevent us from attaining this goal.</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the 2012 and 2013 periods, the relevant portions of the expense relating to the first quarter 2012 staff reductions and the implementation of the cost saving initiatives. Amortization of intangible assets relates primarily to the acquisition of Edgewater.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foreign taxes from non-U.S. entities and to New York City Unincorporated Business Tax (“UBT”) attributable to Lazard’s operations apportioned to New York City.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and the amount attributable to LAZ-MD Holdings’ ownership interest in the net income of Lazard Group. See Note 11 of Notes to Condensed Consolidated Financial Statements for information regarding the Company’s noncontrolling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 in thousands)</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490,405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436,910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892,308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922,949</w:t>
            </w:r>
          </w:p>
        </w:tc>
        <w:tc>
          <w:tcPr>
            <w:tcW w:w="0" w:type="dxa"/>
            <w:vAlign w:val="bottom"/>
          </w:tcPr>
          <w:p>
            <w:pPr>
              <w:spacing w:after="0"/>
              <w:rPr>
                <w:sz w:val="1"/>
                <w:szCs w:val="1"/>
                <w:color w:val="auto"/>
              </w:rPr>
            </w:pPr>
          </w:p>
        </w:tc>
      </w:tr>
      <w:tr>
        <w:trPr>
          <w:trHeight w:val="330"/>
        </w:trPr>
        <w:tc>
          <w:tcPr>
            <w:tcW w:w="5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331,131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283,392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608,870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621,709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117,332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106,425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219,022</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215,206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449,467</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392,377</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829,773</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840,593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44,533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10,371</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12,965</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34,162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30,821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56,373</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86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8"/>
              </w:rPr>
              <w:t>Three Months Ended</w:t>
            </w:r>
          </w:p>
        </w:tc>
        <w:tc>
          <w:tcPr>
            <w:tcW w:w="22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2"/>
          </w:tcPr>
          <w:p>
            <w:pPr>
              <w:ind w:left="860"/>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0" w:type="dxa"/>
            <w:vAlign w:val="bottom"/>
            <w:gridSpan w:val="4"/>
          </w:tcPr>
          <w:p>
            <w:pPr>
              <w:jc w:val="right"/>
              <w:ind w:right="700"/>
              <w:spacing w:after="0" w:line="142" w:lineRule="exact"/>
              <w:rPr>
                <w:sz w:val="20"/>
                <w:szCs w:val="20"/>
                <w:color w:val="auto"/>
              </w:rPr>
            </w:pPr>
            <w:r>
              <w:rPr>
                <w:rFonts w:ascii="Arial" w:cs="Arial" w:eastAsia="Arial" w:hAnsi="Arial"/>
                <w:sz w:val="14"/>
                <w:szCs w:val="14"/>
                <w:b w:val="1"/>
                <w:bCs w:val="1"/>
                <w:color w:val="auto"/>
              </w:rPr>
              <w:t>($ in thousands)</w:t>
            </w: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$490,405</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$436,910</w:t>
            </w:r>
          </w:p>
        </w:tc>
        <w:tc>
          <w:tcPr>
            <w:tcW w:w="7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$892,308</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$922,949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Other interest expense (a)</w:t>
            </w:r>
          </w:p>
        </w:tc>
        <w:tc>
          <w:tcPr>
            <w:tcW w:w="680" w:type="dxa"/>
            <w:vAlign w:val="bottom"/>
          </w:tcPr>
          <w:p>
            <w:pPr>
              <w:jc w:val="right"/>
              <w:spacing w:after="0"/>
              <w:rPr>
                <w:sz w:val="20"/>
                <w:szCs w:val="20"/>
                <w:color w:val="auto"/>
              </w:rPr>
            </w:pPr>
            <w:r>
              <w:rPr>
                <w:rFonts w:ascii="Arial" w:cs="Arial" w:eastAsia="Arial" w:hAnsi="Arial"/>
                <w:sz w:val="18"/>
                <w:szCs w:val="18"/>
                <w:color w:val="auto"/>
              </w:rPr>
              <w:t>19,937</w:t>
            </w: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19,952</w:t>
            </w:r>
          </w:p>
        </w:tc>
        <w:tc>
          <w:tcPr>
            <w:tcW w:w="7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39,785</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39,868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w:t>
            </w:r>
          </w:p>
        </w:tc>
        <w:tc>
          <w:tcPr>
            <w:tcW w:w="20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(4,509)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(6,780)</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pertaining to Lazard Fund Interests (c)</w:t>
            </w:r>
          </w:p>
        </w:tc>
        <w:tc>
          <w:tcPr>
            <w:tcW w:w="68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2,856</w:t>
            </w:r>
          </w:p>
        </w:tc>
        <w:tc>
          <w:tcPr>
            <w:tcW w:w="7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$ 511,361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455,209</w:t>
            </w: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925,065</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953,958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is not considered to be a cost directly related to the revenue of our business.</w:t>
      </w:r>
    </w:p>
    <w:p>
      <w:pPr>
        <w:ind w:left="460" w:right="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jc w:val="both"/>
        <w:ind w:left="460" w:right="660" w:hanging="452"/>
        <w:spacing w:after="0" w:line="361"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 expense, are excluded.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3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40" w:type="dxa"/>
            <w:vAlign w:val="bottom"/>
            <w:gridSpan w:val="5"/>
          </w:tcPr>
          <w:p>
            <w:pPr>
              <w:jc w:val="right"/>
              <w:ind w:right="103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$331,131</w:t>
            </w:r>
          </w:p>
        </w:tc>
        <w:tc>
          <w:tcPr>
            <w:tcW w:w="5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$283,392</w:t>
            </w:r>
          </w:p>
        </w:tc>
        <w:tc>
          <w:tcPr>
            <w:tcW w:w="90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$608,870</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$621,709</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260" w:type="dxa"/>
            <w:vAlign w:val="bottom"/>
            <w:gridSpan w:val="2"/>
          </w:tcPr>
          <w:p>
            <w:pPr>
              <w:jc w:val="right"/>
              <w:ind w:right="452"/>
              <w:spacing w:after="0"/>
              <w:rPr>
                <w:sz w:val="20"/>
                <w:szCs w:val="20"/>
                <w:color w:val="auto"/>
              </w:rPr>
            </w:pPr>
            <w:r>
              <w:rPr>
                <w:rFonts w:ascii="Arial" w:cs="Arial" w:eastAsia="Arial" w:hAnsi="Arial"/>
                <w:sz w:val="18"/>
                <w:szCs w:val="18"/>
                <w:color w:val="auto"/>
              </w:rPr>
              <w:t>(1,063)</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(1,010)</w:t>
            </w:r>
          </w:p>
        </w:tc>
        <w:tc>
          <w:tcPr>
            <w:tcW w:w="1500" w:type="dxa"/>
            <w:vAlign w:val="bottom"/>
            <w:gridSpan w:val="3"/>
          </w:tcPr>
          <w:p>
            <w:pPr>
              <w:jc w:val="right"/>
              <w:ind w:right="472"/>
              <w:spacing w:after="0"/>
              <w:rPr>
                <w:sz w:val="20"/>
                <w:szCs w:val="20"/>
                <w:color w:val="auto"/>
              </w:rPr>
            </w:pPr>
            <w:r>
              <w:rPr>
                <w:rFonts w:ascii="Arial" w:cs="Arial" w:eastAsia="Arial" w:hAnsi="Arial"/>
                <w:sz w:val="18"/>
                <w:szCs w:val="18"/>
                <w:color w:val="auto"/>
              </w:rPr>
              <w:t>(2,184)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credits pertaining to Lazard Fund Interests (b)</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2,856</w:t>
            </w:r>
          </w:p>
        </w:tc>
        <w:tc>
          <w:tcPr>
            <w:tcW w:w="15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(248)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Costs related to staff reductions (c)</w:t>
            </w:r>
          </w:p>
        </w:tc>
        <w:tc>
          <w:tcPr>
            <w:tcW w:w="126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(21,754)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(c)</w:t>
            </w:r>
          </w:p>
        </w:tc>
        <w:tc>
          <w:tcPr>
            <w:tcW w:w="12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(26,728)</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(51,399)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306,817</w:t>
            </w: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285,238</w:t>
            </w:r>
          </w:p>
        </w:tc>
        <w:tc>
          <w:tcPr>
            <w:tcW w:w="360" w:type="dxa"/>
            <w:vAlign w:val="bottom"/>
          </w:tcPr>
          <w:p>
            <w:pPr>
              <w:spacing w:after="0"/>
              <w:rPr>
                <w:sz w:val="19"/>
                <w:szCs w:val="19"/>
                <w:color w:val="auto"/>
              </w:rPr>
            </w:pPr>
          </w:p>
        </w:tc>
        <w:tc>
          <w:tcPr>
            <w:tcW w:w="900" w:type="dxa"/>
            <w:vAlign w:val="bottom"/>
            <w:gridSpan w:val="2"/>
          </w:tcPr>
          <w:p>
            <w:pPr>
              <w:jc w:val="center"/>
              <w:ind w:left="15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555,039</w:t>
            </w:r>
          </w:p>
        </w:tc>
        <w:tc>
          <w:tcPr>
            <w:tcW w:w="6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597,954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2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60.0%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w:t>
            </w:r>
          </w:p>
        </w:tc>
        <w:tc>
          <w:tcPr>
            <w:tcW w:w="15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60.0%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5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20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changes in the fair value of the underlying investments, which are excluded from operating revenue.</w:t>
      </w:r>
    </w:p>
    <w:p>
      <w:pPr>
        <w:spacing w:after="0" w:line="1" w:lineRule="exact"/>
        <w:rPr>
          <w:rFonts w:ascii="Arial" w:cs="Arial" w:eastAsia="Arial" w:hAnsi="Arial"/>
          <w:sz w:val="18"/>
          <w:szCs w:val="18"/>
          <w:color w:val="auto"/>
        </w:rPr>
      </w:pPr>
    </w:p>
    <w:p>
      <w:pPr>
        <w:ind w:left="460" w:right="400" w:hanging="452"/>
        <w:spacing w:after="0" w:line="30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expenses related to the first quarter 2012 staff reductions and the cost saving initiatives announced by the Company in the fourth quarter of 2012 for (i) severance costs and benefit payments; (ii) the acceleration of unrecognized amortization expense of deferred incentive compensation previously granted to individuals whose employment was being terminated and (iii) the settlement of certain contractual obligations.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3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40" w:type="dxa"/>
            <w:vAlign w:val="bottom"/>
            <w:gridSpan w:val="5"/>
          </w:tcPr>
          <w:p>
            <w:pPr>
              <w:jc w:val="right"/>
              <w:ind w:right="103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$ 117,332</w:t>
            </w:r>
          </w:p>
        </w:tc>
        <w:tc>
          <w:tcPr>
            <w:tcW w:w="5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$106,425</w:t>
            </w:r>
          </w:p>
        </w:tc>
        <w:tc>
          <w:tcPr>
            <w:tcW w:w="90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$219,022</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$215,206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260" w:type="dxa"/>
            <w:vAlign w:val="bottom"/>
            <w:gridSpan w:val="2"/>
          </w:tcPr>
          <w:p>
            <w:pPr>
              <w:jc w:val="right"/>
              <w:ind w:right="452"/>
              <w:spacing w:after="0"/>
              <w:rPr>
                <w:sz w:val="20"/>
                <w:szCs w:val="20"/>
                <w:color w:val="auto"/>
              </w:rPr>
            </w:pPr>
            <w:r>
              <w:rPr>
                <w:rFonts w:ascii="Arial" w:cs="Arial" w:eastAsia="Arial" w:hAnsi="Arial"/>
                <w:sz w:val="18"/>
                <w:szCs w:val="18"/>
                <w:color w:val="auto"/>
              </w:rPr>
              <w:t>(681)</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(658)</w:t>
            </w:r>
          </w:p>
        </w:tc>
        <w:tc>
          <w:tcPr>
            <w:tcW w:w="1500" w:type="dxa"/>
            <w:vAlign w:val="bottom"/>
            <w:gridSpan w:val="3"/>
          </w:tcPr>
          <w:p>
            <w:pPr>
              <w:jc w:val="right"/>
              <w:ind w:right="472"/>
              <w:spacing w:after="0"/>
              <w:rPr>
                <w:sz w:val="20"/>
                <w:szCs w:val="20"/>
                <w:color w:val="auto"/>
              </w:rPr>
            </w:pPr>
            <w:r>
              <w:rPr>
                <w:rFonts w:ascii="Arial" w:cs="Arial" w:eastAsia="Arial" w:hAnsi="Arial"/>
                <w:sz w:val="18"/>
                <w:szCs w:val="18"/>
                <w:color w:val="auto"/>
              </w:rPr>
              <w:t>(1,139)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Costs related to staff reductions (b)</w:t>
            </w:r>
          </w:p>
        </w:tc>
        <w:tc>
          <w:tcPr>
            <w:tcW w:w="12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(b)</w:t>
            </w:r>
          </w:p>
        </w:tc>
        <w:tc>
          <w:tcPr>
            <w:tcW w:w="1260" w:type="dxa"/>
            <w:vAlign w:val="bottom"/>
            <w:gridSpan w:val="2"/>
          </w:tcPr>
          <w:p>
            <w:pPr>
              <w:jc w:val="right"/>
              <w:ind w:right="452"/>
              <w:spacing w:after="0"/>
              <w:rPr>
                <w:sz w:val="20"/>
                <w:szCs w:val="20"/>
                <w:color w:val="auto"/>
              </w:rPr>
            </w:pPr>
            <w:r>
              <w:rPr>
                <w:rFonts w:ascii="Arial" w:cs="Arial" w:eastAsia="Arial" w:hAnsi="Arial"/>
                <w:sz w:val="18"/>
                <w:szCs w:val="18"/>
                <w:color w:val="auto"/>
              </w:rPr>
              <w:t>(11,653)</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472"/>
              <w:spacing w:after="0"/>
              <w:rPr>
                <w:sz w:val="20"/>
                <w:szCs w:val="20"/>
                <w:color w:val="auto"/>
              </w:rPr>
            </w:pPr>
            <w:r>
              <w:rPr>
                <w:rFonts w:ascii="Arial" w:cs="Arial" w:eastAsia="Arial" w:hAnsi="Arial"/>
                <w:sz w:val="18"/>
                <w:szCs w:val="18"/>
                <w:color w:val="auto"/>
              </w:rPr>
              <w:t>(13,304)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104,998</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105,767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204,579</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$ 211,002</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260" w:type="dxa"/>
            <w:vAlign w:val="bottom"/>
            <w:gridSpan w:val="2"/>
          </w:tcPr>
          <w:p>
            <w:pPr>
              <w:jc w:val="right"/>
              <w:ind w:right="372"/>
              <w:spacing w:after="0"/>
              <w:rPr>
                <w:sz w:val="20"/>
                <w:szCs w:val="20"/>
                <w:color w:val="auto"/>
              </w:rPr>
            </w:pPr>
            <w:r>
              <w:rPr>
                <w:rFonts w:ascii="Arial" w:cs="Arial" w:eastAsia="Arial" w:hAnsi="Arial"/>
                <w:sz w:val="18"/>
                <w:szCs w:val="18"/>
                <w:color w:val="auto"/>
              </w:rPr>
              <w:t>20.5%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1500" w:type="dxa"/>
            <w:vAlign w:val="bottom"/>
            <w:gridSpan w:val="3"/>
          </w:tcPr>
          <w:p>
            <w:pPr>
              <w:jc w:val="right"/>
              <w:ind w:right="372"/>
              <w:spacing w:after="0"/>
              <w:rPr>
                <w:sz w:val="20"/>
                <w:szCs w:val="20"/>
                <w:color w:val="auto"/>
              </w:rPr>
            </w:pPr>
            <w:r>
              <w:rPr>
                <w:rFonts w:ascii="Arial" w:cs="Arial" w:eastAsia="Arial" w:hAnsi="Arial"/>
                <w:sz w:val="18"/>
                <w:szCs w:val="18"/>
                <w:color w:val="auto"/>
              </w:rPr>
              <w:t>22.1%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40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Non-compensation costs associated with the first quarter 2012 staff reductions and the cost saving initiatives are excluded to enhance comparability of adjusted non-compensation expense between present, historical and future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12"/>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12"/>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9"/>
          </w:tcPr>
          <w:p>
            <w:pPr>
              <w:jc w:val="right"/>
              <w:ind w:right="10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5"/>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10"/>
          </w:tcPr>
          <w:p>
            <w:pPr>
              <w:jc w:val="right"/>
              <w:ind w:right="712"/>
              <w:spacing w:after="0" w:line="142" w:lineRule="exact"/>
              <w:rPr>
                <w:sz w:val="20"/>
                <w:szCs w:val="20"/>
                <w:color w:val="auto"/>
              </w:rPr>
            </w:pPr>
            <w:r>
              <w:rPr>
                <w:rFonts w:ascii="Arial" w:cs="Arial" w:eastAsia="Arial" w:hAnsi="Arial"/>
                <w:sz w:val="14"/>
                <w:szCs w:val="14"/>
                <w:b w:val="1"/>
                <w:bCs w:val="1"/>
                <w:color w:val="auto"/>
                <w:w w:val="97"/>
              </w:rPr>
              <w:t>($ in thousands)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Operating revenue</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72"/>
              <w:spacing w:after="0"/>
              <w:rPr>
                <w:sz w:val="20"/>
                <w:szCs w:val="20"/>
                <w:color w:val="auto"/>
              </w:rPr>
            </w:pPr>
            <w:r>
              <w:rPr>
                <w:rFonts w:ascii="Arial" w:cs="Arial" w:eastAsia="Arial" w:hAnsi="Arial"/>
                <w:sz w:val="18"/>
                <w:szCs w:val="18"/>
                <w:color w:val="auto"/>
                <w:w w:val="95"/>
              </w:rPr>
              <w:t>511,361</w:t>
            </w:r>
          </w:p>
        </w:tc>
        <w:tc>
          <w:tcPr>
            <w:tcW w:w="20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2"/>
              </w:rPr>
              <w:t>455,209</w:t>
            </w:r>
          </w:p>
        </w:tc>
        <w:tc>
          <w:tcPr>
            <w:tcW w:w="70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w w:val="87"/>
              </w:rPr>
              <w:t>$ 925,065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6"/>
          </w:tcPr>
          <w:p>
            <w:pPr>
              <w:jc w:val="right"/>
              <w:ind w:right="60"/>
              <w:spacing w:after="0"/>
              <w:rPr>
                <w:sz w:val="20"/>
                <w:szCs w:val="20"/>
                <w:color w:val="auto"/>
              </w:rPr>
            </w:pPr>
            <w:r>
              <w:rPr>
                <w:rFonts w:ascii="Arial" w:cs="Arial" w:eastAsia="Arial" w:hAnsi="Arial"/>
                <w:sz w:val="18"/>
                <w:szCs w:val="18"/>
                <w:color w:val="auto"/>
              </w:rPr>
              <w:t>$ 953,958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112"/>
              <w:spacing w:after="0"/>
              <w:rPr>
                <w:sz w:val="20"/>
                <w:szCs w:val="20"/>
                <w:color w:val="auto"/>
              </w:rPr>
            </w:pPr>
            <w:r>
              <w:rPr>
                <w:rFonts w:ascii="Arial" w:cs="Arial" w:eastAsia="Arial" w:hAnsi="Arial"/>
                <w:sz w:val="18"/>
                <w:szCs w:val="18"/>
                <w:color w:val="auto"/>
                <w:w w:val="88"/>
              </w:rPr>
              <w:t>(306,817)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5"/>
          </w:tcPr>
          <w:p>
            <w:pPr>
              <w:jc w:val="right"/>
              <w:ind w:right="572"/>
              <w:spacing w:after="0"/>
              <w:rPr>
                <w:sz w:val="20"/>
                <w:szCs w:val="20"/>
                <w:color w:val="auto"/>
              </w:rPr>
            </w:pPr>
            <w:r>
              <w:rPr>
                <w:rFonts w:ascii="Arial" w:cs="Arial" w:eastAsia="Arial" w:hAnsi="Arial"/>
                <w:sz w:val="18"/>
                <w:szCs w:val="18"/>
                <w:color w:val="auto"/>
                <w:w w:val="85"/>
              </w:rPr>
              <w:t>(285,238)</w:t>
            </w:r>
          </w:p>
        </w:tc>
        <w:tc>
          <w:tcPr>
            <w:tcW w:w="800" w:type="dxa"/>
            <w:vAlign w:val="bottom"/>
            <w:gridSpan w:val="6"/>
          </w:tcPr>
          <w:p>
            <w:pPr>
              <w:jc w:val="right"/>
              <w:ind w:right="20"/>
              <w:spacing w:after="0"/>
              <w:rPr>
                <w:sz w:val="20"/>
                <w:szCs w:val="20"/>
                <w:color w:val="auto"/>
              </w:rPr>
            </w:pPr>
            <w:r>
              <w:rPr>
                <w:rFonts w:ascii="Arial" w:cs="Arial" w:eastAsia="Arial" w:hAnsi="Arial"/>
                <w:sz w:val="18"/>
                <w:szCs w:val="18"/>
                <w:color w:val="auto"/>
                <w:w w:val="98"/>
              </w:rPr>
              <w:t>(555,039)</w:t>
            </w:r>
          </w:p>
        </w:tc>
        <w:tc>
          <w:tcPr>
            <w:tcW w:w="80" w:type="dxa"/>
            <w:vAlign w:val="bottom"/>
          </w:tcPr>
          <w:p>
            <w:pPr>
              <w:spacing w:after="0"/>
              <w:rPr>
                <w:sz w:val="18"/>
                <w:szCs w:val="18"/>
                <w:color w:val="auto"/>
              </w:rPr>
            </w:pPr>
          </w:p>
        </w:tc>
        <w:tc>
          <w:tcPr>
            <w:tcW w:w="1380" w:type="dxa"/>
            <w:vAlign w:val="bottom"/>
            <w:gridSpan w:val="7"/>
          </w:tcPr>
          <w:p>
            <w:pPr>
              <w:jc w:val="right"/>
              <w:ind w:right="80"/>
              <w:spacing w:after="0"/>
              <w:rPr>
                <w:sz w:val="20"/>
                <w:szCs w:val="20"/>
                <w:color w:val="auto"/>
              </w:rPr>
            </w:pPr>
            <w:r>
              <w:rPr>
                <w:rFonts w:ascii="Arial" w:cs="Arial" w:eastAsia="Arial" w:hAnsi="Arial"/>
                <w:sz w:val="18"/>
                <w:szCs w:val="18"/>
                <w:color w:val="auto"/>
              </w:rPr>
              <w:t>(597,954)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w w:val="88"/>
              </w:rPr>
              <w:t>(104,998)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5"/>
            <w:shd w:val="clear" w:color="auto" w:fill="CCEEFF"/>
          </w:tcPr>
          <w:p>
            <w:pPr>
              <w:jc w:val="right"/>
              <w:ind w:right="572"/>
              <w:spacing w:after="0"/>
              <w:rPr>
                <w:sz w:val="20"/>
                <w:szCs w:val="20"/>
                <w:color w:val="auto"/>
              </w:rPr>
            </w:pPr>
            <w:r>
              <w:rPr>
                <w:rFonts w:ascii="Arial" w:cs="Arial" w:eastAsia="Arial" w:hAnsi="Arial"/>
                <w:sz w:val="18"/>
                <w:szCs w:val="18"/>
                <w:color w:val="auto"/>
                <w:w w:val="85"/>
              </w:rPr>
              <w:t>(105,767)</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8"/>
              </w:rPr>
              <w:t>(204,579)</w:t>
            </w:r>
          </w:p>
        </w:tc>
        <w:tc>
          <w:tcPr>
            <w:tcW w:w="80" w:type="dxa"/>
            <w:vAlign w:val="bottom"/>
            <w:shd w:val="clear" w:color="auto" w:fill="CCEEFF"/>
          </w:tcPr>
          <w:p>
            <w:pPr>
              <w:spacing w:after="0"/>
              <w:rPr>
                <w:sz w:val="18"/>
                <w:szCs w:val="18"/>
                <w:color w:val="auto"/>
              </w:rPr>
            </w:pPr>
          </w:p>
        </w:tc>
        <w:tc>
          <w:tcPr>
            <w:tcW w:w="13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(211,002)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Earnings from operations</w:t>
            </w:r>
          </w:p>
        </w:tc>
        <w:tc>
          <w:tcPr>
            <w:tcW w:w="2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gridSpan w:val="3"/>
            <w:vMerge w:val="continue"/>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72"/>
              <w:spacing w:after="0"/>
              <w:rPr>
                <w:sz w:val="20"/>
                <w:szCs w:val="20"/>
                <w:color w:val="auto"/>
              </w:rPr>
            </w:pPr>
            <w:r>
              <w:rPr>
                <w:rFonts w:ascii="Arial" w:cs="Arial" w:eastAsia="Arial" w:hAnsi="Arial"/>
                <w:sz w:val="18"/>
                <w:szCs w:val="18"/>
                <w:color w:val="auto"/>
              </w:rPr>
              <w:t>99,546</w:t>
            </w:r>
          </w:p>
        </w:tc>
        <w:tc>
          <w:tcPr>
            <w:tcW w:w="200" w:type="dxa"/>
            <w:vAlign w:val="bottom"/>
          </w:tcPr>
          <w:p>
            <w:pPr>
              <w:spacing w:after="0"/>
              <w:rPr>
                <w:sz w:val="19"/>
                <w:szCs w:val="19"/>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64,204</w:t>
            </w:r>
          </w:p>
        </w:tc>
        <w:tc>
          <w:tcPr>
            <w:tcW w:w="70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w w:val="87"/>
              </w:rPr>
              <w:t>$ 165,447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6"/>
          </w:tcPr>
          <w:p>
            <w:pPr>
              <w:jc w:val="right"/>
              <w:ind w:right="60"/>
              <w:spacing w:after="0"/>
              <w:rPr>
                <w:sz w:val="20"/>
                <w:szCs w:val="20"/>
                <w:color w:val="auto"/>
              </w:rPr>
            </w:pPr>
            <w:r>
              <w:rPr>
                <w:rFonts w:ascii="Arial" w:cs="Arial" w:eastAsia="Arial" w:hAnsi="Arial"/>
                <w:sz w:val="18"/>
                <w:szCs w:val="18"/>
                <w:color w:val="auto"/>
              </w:rPr>
              <w:t>$ 145,002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5"/>
            <w:shd w:val="clear" w:color="auto" w:fill="CCEEFF"/>
          </w:tcPr>
          <w:p>
            <w:pPr>
              <w:jc w:val="right"/>
              <w:ind w:right="472"/>
              <w:spacing w:after="0"/>
              <w:rPr>
                <w:sz w:val="20"/>
                <w:szCs w:val="20"/>
                <w:color w:val="auto"/>
              </w:rPr>
            </w:pPr>
            <w:r>
              <w:rPr>
                <w:rFonts w:ascii="Arial" w:cs="Arial" w:eastAsia="Arial" w:hAnsi="Arial"/>
                <w:sz w:val="18"/>
                <w:szCs w:val="18"/>
                <w:color w:val="auto"/>
              </w:rPr>
              <w:t>14.1%</w:t>
            </w:r>
          </w:p>
        </w:tc>
        <w:tc>
          <w:tcPr>
            <w:tcW w:w="8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3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ind w:left="460"/>
              <w:spacing w:after="0"/>
              <w:rPr>
                <w:sz w:val="20"/>
                <w:szCs w:val="20"/>
                <w:color w:val="auto"/>
              </w:rPr>
            </w:pPr>
            <w:r>
              <w:rPr>
                <w:rFonts w:ascii="Arial" w:cs="Arial" w:eastAsia="Arial" w:hAnsi="Arial"/>
                <w:sz w:val="18"/>
                <w:szCs w:val="18"/>
                <w:color w:val="auto"/>
                <w:w w:val="89"/>
              </w:rPr>
              <w:t>Certain additional key ratios and headcount information are set forth below:</w:t>
            </w: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8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9"/>
          </w:tcPr>
          <w:p>
            <w:pPr>
              <w:jc w:val="right"/>
              <w:ind w:right="20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11"/>
          </w:tcPr>
          <w:p>
            <w:pPr>
              <w:jc w:val="right"/>
              <w:ind w:right="6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6"/>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820" w:type="dxa"/>
            <w:vAlign w:val="bottom"/>
            <w:gridSpan w:val="3"/>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820" w:type="dxa"/>
            <w:vAlign w:val="bottom"/>
            <w:gridSpan w:val="3"/>
          </w:tcPr>
          <w:p>
            <w:pPr>
              <w:ind w:left="220"/>
              <w:spacing w:after="0"/>
              <w:rPr>
                <w:sz w:val="20"/>
                <w:szCs w:val="20"/>
                <w:color w:val="auto"/>
              </w:rPr>
            </w:pPr>
            <w:r>
              <w:rPr>
                <w:rFonts w:ascii="Arial" w:cs="Arial" w:eastAsia="Arial" w:hAnsi="Arial"/>
                <w:sz w:val="18"/>
                <w:szCs w:val="18"/>
                <w:color w:val="auto"/>
              </w:rPr>
              <w:t>Money management fees</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gridSpan w:val="5"/>
          </w:tcPr>
          <w:p>
            <w:pPr>
              <w:jc w:val="right"/>
              <w:ind w:right="132"/>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7"/>
          </w:tcPr>
          <w:p>
            <w:pPr>
              <w:jc w:val="right"/>
              <w:ind w:right="8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38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gridSpan w:val="5"/>
          </w:tcPr>
          <w:p>
            <w:pPr>
              <w:jc w:val="right"/>
              <w:ind w:right="13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7"/>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ind w:left="440"/>
              <w:spacing w:after="0"/>
              <w:rPr>
                <w:sz w:val="20"/>
                <w:szCs w:val="20"/>
                <w:color w:val="auto"/>
              </w:rPr>
            </w:pPr>
            <w:r>
              <w:rPr>
                <w:rFonts w:ascii="Arial" w:cs="Arial" w:eastAsia="Arial" w:hAnsi="Arial"/>
                <w:sz w:val="18"/>
                <w:szCs w:val="18"/>
                <w:color w:val="auto"/>
              </w:rPr>
              <w:t>Net Revenue</w:t>
            </w:r>
          </w:p>
        </w:tc>
        <w:tc>
          <w:tcPr>
            <w:tcW w:w="20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5"/>
              </w:rPr>
              <w:t>100%</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8"/>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6"/>
              </w:rPr>
              <w:t>As Of</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9"/>
          </w:tcPr>
          <w:p>
            <w:pPr>
              <w:jc w:val="right"/>
              <w:ind w:right="972"/>
              <w:spacing w:after="0" w:line="129"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1"/>
                <w:szCs w:val="11"/>
                <w:color w:val="auto"/>
              </w:rPr>
            </w:pPr>
          </w:p>
        </w:tc>
        <w:tc>
          <w:tcPr>
            <w:tcW w:w="800" w:type="dxa"/>
            <w:vAlign w:val="bottom"/>
            <w:gridSpan w:val="6"/>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5"/>
          </w:tcPr>
          <w:p>
            <w:pPr>
              <w:jc w:val="right"/>
              <w:ind w:right="40"/>
              <w:spacing w:after="0" w:line="12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1"/>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Headcount:</w:t>
            </w:r>
          </w:p>
        </w:tc>
        <w:tc>
          <w:tcPr>
            <w:tcW w:w="40" w:type="dxa"/>
            <w:vAlign w:val="bottom"/>
          </w:tcPr>
          <w:p>
            <w:pPr>
              <w:spacing w:after="0"/>
              <w:rPr>
                <w:sz w:val="14"/>
                <w:szCs w:val="14"/>
                <w:color w:val="auto"/>
              </w:rPr>
            </w:pPr>
          </w:p>
        </w:tc>
        <w:tc>
          <w:tcPr>
            <w:tcW w:w="5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1"/>
              </w:rPr>
              <w:t>2013(a)</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780" w:type="dxa"/>
            <w:vAlign w:val="bottom"/>
            <w:gridSpan w:val="2"/>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gridSpan w:val="3"/>
          </w:tcPr>
          <w:p>
            <w:pPr>
              <w:ind w:left="220"/>
              <w:spacing w:after="0"/>
              <w:rPr>
                <w:sz w:val="20"/>
                <w:szCs w:val="20"/>
                <w:color w:val="auto"/>
              </w:rPr>
            </w:pPr>
            <w:r>
              <w:rPr>
                <w:rFonts w:ascii="Arial" w:cs="Arial" w:eastAsia="Arial" w:hAnsi="Arial"/>
                <w:sz w:val="18"/>
                <w:szCs w:val="18"/>
                <w:color w:val="auto"/>
              </w:rPr>
              <w:t>Managing Directors: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144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820" w:type="dxa"/>
            <w:vAlign w:val="bottom"/>
            <w:gridSpan w:val="3"/>
          </w:tcPr>
          <w:p>
            <w:pPr>
              <w:ind w:left="440"/>
              <w:spacing w:after="0"/>
              <w:rPr>
                <w:sz w:val="20"/>
                <w:szCs w:val="20"/>
                <w:color w:val="auto"/>
              </w:rPr>
            </w:pPr>
            <w:r>
              <w:rPr>
                <w:rFonts w:ascii="Arial" w:cs="Arial" w:eastAsia="Arial" w:hAnsi="Arial"/>
                <w:sz w:val="18"/>
                <w:szCs w:val="18"/>
                <w:color w:val="auto"/>
              </w:rPr>
              <w:t>Asset Management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440" w:type="dxa"/>
            <w:vAlign w:val="bottom"/>
            <w:gridSpan w:val="8"/>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44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820" w:type="dxa"/>
            <w:vAlign w:val="bottom"/>
            <w:gridSpan w:val="3"/>
          </w:tcPr>
          <w:p>
            <w:pPr>
              <w:ind w:left="220"/>
              <w:spacing w:after="0"/>
              <w:rPr>
                <w:sz w:val="20"/>
                <w:szCs w:val="20"/>
                <w:color w:val="auto"/>
              </w:rPr>
            </w:pPr>
            <w:r>
              <w:rPr>
                <w:rFonts w:ascii="Arial" w:cs="Arial" w:eastAsia="Arial" w:hAnsi="Arial"/>
                <w:sz w:val="18"/>
                <w:szCs w:val="18"/>
                <w:color w:val="auto"/>
              </w:rPr>
              <w:t>Other Employees: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1,072</w:t>
            </w:r>
          </w:p>
        </w:tc>
        <w:tc>
          <w:tcPr>
            <w:tcW w:w="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144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5820" w:type="dxa"/>
            <w:vAlign w:val="bottom"/>
            <w:gridSpan w:val="3"/>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1,105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93"/>
              </w:rPr>
              <w:t>1,132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gridSpan w:val="3"/>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1,165</w:t>
            </w:r>
          </w:p>
        </w:tc>
        <w:tc>
          <w:tcPr>
            <w:tcW w:w="80" w:type="dxa"/>
            <w:vAlign w:val="bottom"/>
          </w:tcPr>
          <w:p>
            <w:pPr>
              <w:spacing w:after="0"/>
              <w:rPr>
                <w:sz w:val="18"/>
                <w:szCs w:val="18"/>
                <w:color w:val="auto"/>
              </w:rPr>
            </w:pPr>
          </w:p>
        </w:tc>
        <w:tc>
          <w:tcPr>
            <w:tcW w:w="960" w:type="dxa"/>
            <w:vAlign w:val="bottom"/>
            <w:gridSpan w:val="4"/>
          </w:tcPr>
          <w:p>
            <w:pPr>
              <w:spacing w:after="0"/>
              <w:rPr>
                <w:sz w:val="18"/>
                <w:szCs w:val="18"/>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w w:val="88"/>
              </w:rPr>
              <w:t>1,199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2,404</w:t>
            </w:r>
          </w:p>
        </w:tc>
        <w:tc>
          <w:tcPr>
            <w:tcW w:w="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2,466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3"/>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2,513</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4"/>
            <w:shd w:val="clear" w:color="auto" w:fill="CCEEFF"/>
          </w:tcPr>
          <w:p>
            <w:pPr>
              <w:spacing w:after="0"/>
              <w:rPr>
                <w:sz w:val="18"/>
                <w:szCs w:val="18"/>
                <w:color w:val="auto"/>
              </w:rPr>
            </w:pPr>
          </w:p>
        </w:tc>
        <w:tc>
          <w:tcPr>
            <w:tcW w:w="4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8"/>
              </w:rPr>
              <w:t>2,547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40" w:hanging="452"/>
        <w:spacing w:after="0" w:line="370"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As of June 30, 2013, a significant portion of the headcount reductions relating to the cost saving initiatives has been completed, with the remainder expected later in 2013. Such reductions may be partially offset by additional investments and, in the case of managing directors, promotions.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versus June 30, 2012</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both the 2013 and 2012 periods of $31 million. The changes in the Company’s operating results during these periods are described below.</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revenue in the 2013 period increased $53 million, or 12%, with operating revenue increasing $56 million, or 12%, as compared to the 2012 period. Fee revenue from investment banking and other advisory activities increased $20 million, or 8%, primarily due to increases in M&amp;A and Other Advisory fees, partially offset by a decline in Restructuring revenue. The increase in M&amp;A and Other Advisory fee revenue was primarily due to an increase in average fees paid in respect of transactions involving fees greater than $1 million. The decline in Restructuring revenue reflected a relatively low level of corporate defaults. Money management fees, including incentive fees, increased $33 million, or 17%, primarily reflecting a $17 billion, or 11%, increase in average AUM as compared to the 2012 period. In the aggregate, interest income, other revenue and interest expense remained substantially unchanged as compared to the 2012 period.</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Compensation and benefits expense in the 2013 period increased $48 million, or 17%, compared to the 2012 period, and included a $27 million charge related to the cost saving initiatives. Excluding such charge, compensation and benefits expense increased $21 million, or 7%. Factors contributing to the increase included higher compensation costs driven by the increase in operating revenue, partially offset by lower headcount related to the cost saving initiatives and reduced amortization expense in the 2013 period associated with deferred incentive compensation awards related to 2008 deferred incentive compensation (the “2008 grant”). The 2008 grant, which had a comparatively longer, four year vesting period, affected amortization expense for the full year of 2012 but was fully vested as of March 1, 2013.</w:t>
      </w:r>
    </w:p>
    <w:p>
      <w:pPr>
        <w:spacing w:after="0" w:line="14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$307 million in the 2013 period, an increase of $22 million, or 8%, when compared to $285 million in the 2012 period. The ratio of adjusted compensation and benefits expense to operating revenue was 60.0% for the 2013 period, as compared to 62.7% for the 2012 period. The second quarter 2013 ratio of adjusted compensation and benefits expense to operating revenue assumes, based on current market conditions, a ratio of awarded compensation and benefits expense to operating revenue of approximately 58.5% for the full year of 2013, as compared to 59.4% for the full year of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Non-compensation expense in the 2013 period increased $11 million, or 10%, as compared to the 2012 period. Non-compensation expense in the 2013 period included a charge of $11 million related to the cost saving initiatives. When excluding such charge, as well as non-compensation costs relating to noncontrolling interests, adjusted non-compensation expense in the 2013 period was substantially unchanged. Decreases in (i) marketing and business development expense associated with lower expenses for travel, (ii) technology expense for market data and telecommunications and (iii) professional fees, all primarily attributable to the cost saving initiatives, were offset by deal-related costs, which were higher in the second quarter of 2013 as a result of transactions that closed in this period and by increased mutual fund servicing fees primarily related to the increase in AUM. The ratio of adjusted non-compensation expense to operating revenue was 20.5% in the 2013 period versus 23.2% in the 2012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by $2 million as compared to the 2012 period.</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Operating income in the 2013 period (including the aggregate $38 million charge described above relating to the cost saving initiatives) decreased $4 million, or 8%, as compared to operating income in the 2012 period. Operating income, as a percentage of net revenue, was 8.3%, as compared to 10.2% in the 2012 period.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Earnings from operations increased $35 million, or 55%, when compared to the 2012 period, and, as a percentage of operating revenue, was 19.5% in the 2013 period, as compared to 14.1% in the 2012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provision for income taxes decreased $1 million, or 13%, when compared to the 2012 period, and reflected an effective tax rate of 22.0%, as compared to 23.3% for the 2012 period. The decrease in the effective tax rate is primarily reflective of the change in the geographic mix of earnings.</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Net income attributable to noncontrolling interests decreased $3 million in the 2013 period due to a lower level of income attributable to noncontrolling interests and a decrease in the level of noncontrolling ownership interest.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versus June 30, 2012</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the 2013 period of $47 million, as compared to net income of $56 million in the 2012 period. The changes in the Company’s operating results during these periods are described below.</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revenue in the 2013 period decreased $31 million, or 3%, with operating revenue decreasing $29 million, or 3%, as compared to the 2012 period. Fee revenue from investment banking and other advisory activities decreased $86 million, or 17%, primarily due to decreases in M&amp;A and Other Advisory fees and Restructuring revenue. The decrease in M&amp;A and Other Advisory fee revenue was primarily due to lower average fees per transaction in the 2013 period as compared to the 2012 period, resulting from significant fees earned in the 2012 period related to our sovereign advisory and middle market businesses. The decline in Restructuring revenue reflected higher first-half 2012 revenue, which was driven by the closings of several large assignments in that period, and a relatively low level of corporate defaults. Money management fees, including incentive fees, increased $60 million, or 15%, principally reflecting a $20 billion, or 14%, increase in average AUM as compared to the 2012 period. In the aggregate, interest income, other revenue and interest expense reflected a decrease in net revenue of $5 million as compared to the 2012 period. Such decrease was primarily due to lower investment income in the 2013 period.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Compensation and benefits expense in the 2013 period decreased $13 million, or 2%, compared to the 2012 period, and included a $51 million charge related to the cost saving initiatives, as compared to a $22 million charge in the 2012 period related to the staff reductions. Excluding such charges, compensation and benefits expense decreased $42 million, or 7%, driven by the decline in operating revenue, lower headcount related to the cost saving initiatives and reduced amortization expense related to the 2008 grant.</w:t>
      </w:r>
    </w:p>
    <w:p>
      <w:pPr>
        <w:spacing w:after="0" w:line="143"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$555 million in the 2013 period, a decrease of $43 million, or 7%, when compared to $598 million in the 2012 period. The ratio of adjusted compensation and benefits expense to operating revenue was 60.0% for the 2013 period, as compared to 62.7% for the 2012 period. The first half</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2013 ratio of adjusted compensation and benefits expense to operating revenue assumes, based on current market conditions, a ratio of awarded compensation and benefits expense to operating revenue of approximately 58.5% for the full year of 2013, as compared to 59.4% for the full year of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currently expect that amortization of deferred incentive compensation awards, which primarily results from compensation awards related to 2010, 2011 and 2012 deferred compensation, will approximate $304 million for the full year of 2013, a decrease of $31 million as compared to $335 million for the year ended December 31, 2012. The expected reduction is primarily related to the 2008 grant. The 2008 grant had a comparatively longer, four-year vesting period and, together with compensation awards related to 2009, 2010 and 2011 deferred compensation, affected amortization expense for the full year of 2012. The 2008 grant was fully vested on March 1, 2013.</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Non-compensation expense in the 2013 period increased $4 million, or 2%, as compared to the 2012 period and included a charge of $13 million related to the cost saving initiatives, as compared to a charge of $3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associated with the staff reductions in the first half of 2012. When excluding such charges, as well as non-compensation costs relating to noncontrolling interests, adjusted non-compensation expense in the 2013 period decreased $6 million, or 3%, as compared to the 2012 period, due to decreases in (i) marketing and business development expense associated with lower expenses for travel and other business development (ii) technology expense for telecommunications and (iii) professional fees, all primarily attributable to the cost saving initiatives. Other contributing factors were reduced deal-related costs, which were higher in the first half of 2012 as a result of transactions that closed in that period. Such decreases were partially offset by increased investments in technology, higher occupancy costs related to the amended lease and build-out of our Rockefeller Center facility and mutual fund servicing fees primarily related to the increase in AUM. The ratio of adjusted non-compensation expense to operating revenue was 22.1% in both the 2013 and the 2012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$2 million, as compared to the 2012 period.</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Operating income in the 2013 period (including the aggregate $64 million charge described above relating to the cost saving initiatives) decreased $20 million, or 24%, as compared to operating income in the 2012 period (including the $25 million charge in 2012 described above relating to the staff reductions). Operating income, as a percentage of net revenue, was 7.0%, as compared to 8.9% in the 2012 period.</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Earnings from operations increased $20 million, or 14%, when compared to the 2012 period, and, as a percentage of operating revenue, was 17.9% in the 2013 period, as compared to 15.2% in the 2012 period.</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provision for income taxes decreased $6 million, or 32%, when compared to the 2012 period, and reflected an effective tax rate of 20.7%, as compared to 23.2% for the 2012 period. The decrease in the effective tax rate is primarily reflective of the change in the geographic mix of earnings.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income attributable to noncontrolling interests decreased $4 million in the 2013 period due to a lower level of income attributable to noncontrolling interests and a decrease in the level of noncontrolling ownership interest.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jc w:val="right"/>
              <w:ind w:right="1192"/>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6"/>
              </w:rPr>
              <w:t>218,488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195,383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$339,244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387,994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21,583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17,174</w:t>
            </w:r>
          </w:p>
        </w:tc>
        <w:tc>
          <w:tcPr>
            <w:tcW w:w="680" w:type="dxa"/>
            <w:vAlign w:val="bottom"/>
          </w:tcPr>
          <w:p>
            <w:pPr>
              <w:jc w:val="right"/>
              <w:spacing w:after="0"/>
              <w:rPr>
                <w:sz w:val="20"/>
                <w:szCs w:val="20"/>
                <w:color w:val="auto"/>
              </w:rPr>
            </w:pPr>
            <w:r>
              <w:rPr>
                <w:rFonts w:ascii="Arial" w:cs="Arial" w:eastAsia="Arial" w:hAnsi="Arial"/>
                <w:sz w:val="18"/>
                <w:szCs w:val="18"/>
                <w:color w:val="auto"/>
              </w:rPr>
              <w:t>36,269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31,544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240,071</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212,557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375,513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419,538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23,236</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30,067</w:t>
            </w:r>
          </w:p>
        </w:tc>
        <w:tc>
          <w:tcPr>
            <w:tcW w:w="680" w:type="dxa"/>
            <w:vAlign w:val="bottom"/>
          </w:tcPr>
          <w:p>
            <w:pPr>
              <w:jc w:val="right"/>
              <w:spacing w:after="0"/>
              <w:rPr>
                <w:sz w:val="20"/>
                <w:szCs w:val="20"/>
                <w:color w:val="auto"/>
              </w:rPr>
            </w:pPr>
            <w:r>
              <w:rPr>
                <w:rFonts w:ascii="Arial" w:cs="Arial" w:eastAsia="Arial" w:hAnsi="Arial"/>
                <w:sz w:val="18"/>
                <w:szCs w:val="18"/>
                <w:color w:val="auto"/>
              </w:rPr>
              <w:t>56,256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100,282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263,307</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242,624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431,769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519,820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239,766</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231,200</w:t>
            </w:r>
          </w:p>
        </w:tc>
        <w:tc>
          <w:tcPr>
            <w:tcW w:w="680" w:type="dxa"/>
            <w:vAlign w:val="bottom"/>
          </w:tcPr>
          <w:p>
            <w:pPr>
              <w:jc w:val="right"/>
              <w:spacing w:after="0"/>
              <w:rPr>
                <w:sz w:val="20"/>
                <w:szCs w:val="20"/>
                <w:color w:val="auto"/>
              </w:rPr>
            </w:pPr>
            <w:r>
              <w:rPr>
                <w:rFonts w:ascii="Arial" w:cs="Arial" w:eastAsia="Arial" w:hAnsi="Arial"/>
                <w:sz w:val="18"/>
                <w:szCs w:val="18"/>
                <w:color w:val="auto"/>
              </w:rPr>
              <w:t>456,674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481,097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23,541</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11,424</w:t>
            </w:r>
          </w:p>
        </w:tc>
        <w:tc>
          <w:tcPr>
            <w:tcW w:w="14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87"/>
              </w:rPr>
              <w:t>$ (24,905)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38,723</w:t>
            </w: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1400" w:type="dxa"/>
            <w:vAlign w:val="bottom"/>
            <w:gridSpan w:val="2"/>
          </w:tcPr>
          <w:p>
            <w:pPr>
              <w:jc w:val="right"/>
              <w:ind w:right="45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00" w:hanging="452"/>
        <w:spacing w:after="0" w:line="370"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2013 includes $25,764 and $47,779 for the three month and six month periods, respectively, associated with the implementation of the cost saving initiatives. All periods include indirect support costs (including compensation and benefits expense and other operating expenses related thereto).</w:t>
      </w:r>
    </w:p>
    <w:p>
      <w:pPr>
        <w:spacing w:after="0" w:line="6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volume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the industry statistics for global M&amp;A transactions described above reflect a 5% increase in the value of completed transactions in the first half of 2013 as compared to the corresponding 2012 period, which was driven primarily by a number of relatively high value transactions in the 2013 period, while the number of completed transactions in the 2013 period decreased 16% as compared to the 2012 period. Our M&amp;A and Other Advisory revenue (which includes Sovereign and Capital Structure Advisory revenue) decreased 13% in the 2013 period as compared to the 2012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8"/>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12"/>
                <w:szCs w:val="12"/>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78"/>
              </w:rPr>
              <w:t>56</w:t>
            </w:r>
          </w:p>
        </w:tc>
        <w:tc>
          <w:tcPr>
            <w:tcW w:w="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46</w:t>
            </w:r>
          </w:p>
        </w:tc>
        <w:tc>
          <w:tcPr>
            <w:tcW w:w="160" w:type="dxa"/>
            <w:vAlign w:val="bottom"/>
          </w:tcPr>
          <w:p>
            <w:pPr>
              <w:spacing w:after="0"/>
              <w:rPr>
                <w:sz w:val="18"/>
                <w:szCs w:val="18"/>
                <w:color w:val="auto"/>
              </w:rPr>
            </w:pPr>
          </w:p>
        </w:tc>
        <w:tc>
          <w:tcPr>
            <w:tcW w:w="2000" w:type="dxa"/>
            <w:vAlign w:val="bottom"/>
            <w:gridSpan w:val="3"/>
          </w:tcPr>
          <w:p>
            <w:pPr>
              <w:ind w:left="1020"/>
              <w:spacing w:after="0"/>
              <w:rPr>
                <w:sz w:val="20"/>
                <w:szCs w:val="20"/>
                <w:color w:val="auto"/>
              </w:rPr>
            </w:pPr>
            <w:r>
              <w:rPr>
                <w:rFonts w:ascii="Arial" w:cs="Arial" w:eastAsia="Arial" w:hAnsi="Arial"/>
                <w:sz w:val="18"/>
                <w:szCs w:val="18"/>
                <w:color w:val="auto"/>
              </w:rPr>
              <w:t>44</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3"/>
              </w:rPr>
              <w:t>39%</w:t>
            </w:r>
          </w:p>
        </w:tc>
        <w:tc>
          <w:tcPr>
            <w:tcW w:w="20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44%</w:t>
            </w:r>
          </w:p>
        </w:tc>
        <w:tc>
          <w:tcPr>
            <w:tcW w:w="13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13</w:t>
            </w:r>
          </w:p>
        </w:tc>
        <w:tc>
          <w:tcPr>
            <w:tcW w:w="160" w:type="dxa"/>
            <w:vAlign w:val="bottom"/>
          </w:tcPr>
          <w:p>
            <w:pPr>
              <w:spacing w:after="0"/>
              <w:rPr>
                <w:sz w:val="19"/>
                <w:szCs w:val="19"/>
                <w:color w:val="auto"/>
              </w:rPr>
            </w:pPr>
          </w:p>
        </w:tc>
        <w:tc>
          <w:tcPr>
            <w:tcW w:w="2000" w:type="dxa"/>
            <w:vAlign w:val="bottom"/>
            <w:gridSpan w:val="3"/>
          </w:tcPr>
          <w:p>
            <w:pPr>
              <w:ind w:left="1020"/>
              <w:spacing w:after="0"/>
              <w:rPr>
                <w:sz w:val="20"/>
                <w:szCs w:val="20"/>
                <w:color w:val="auto"/>
              </w:rPr>
            </w:pPr>
            <w:r>
              <w:rPr>
                <w:rFonts w:ascii="Arial" w:cs="Arial" w:eastAsia="Arial" w:hAnsi="Arial"/>
                <w:sz w:val="18"/>
                <w:szCs w:val="18"/>
                <w:color w:val="auto"/>
              </w:rPr>
              <w:t>16</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Reuters as of July 9,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versus June 30, 2012</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and Other Advisory and Capital Raising businesses, increased $28 million, or 13%, and Restructuring revenue decreased $7 million, or 23%, as compared to the 2012 period.</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M&amp;A and Other Advisory revenue increased $23 million, or 12%, and Capital Raising revenue increased by $5 million, or 26%, as compared to the 2012 period. The increase in M&amp;A and Other Advisory revenue was primarily due to an increase in the average fees paid in respect of transactions involving fees greater than $1 million. Our major clients, which in the aggregate represented a significant portion of our M&amp;A and Other Advisory revenue for the second quarter of 2013, included 3G Capital and Berkshire Hathaway, Anheuser-Busch InBev, CreXus Investment, Eurasian Natural Resources PLC, LNR Property, NV Energy, Permian Mud Service, Pireaus Bank, Qatar Holding and Utex Industries.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timing of which may not correspond to industry announced defaults. The decline in Restructuring revenue was generally in line with a relatively low level of corporate restructuring activity. Clients, which in the aggregate represented a significant portion of our Restructuring revenue in the 2013 period, included Consolis, Financial Guaranty Insurance, Official Committee of Unsecured Creditors of Ambac Financial Group and Oman Investment Fund.</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Operating expenses increased $9 million, or 4%, as compared to the 2012 period, and included a $26 million charge in the 2013 period related to the cost saving initiatives. Excluding such charge, operating expenses decreased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$17 million, or 7%. The primary contributors to the decrease were lower compensation and benefits expense due to headcount reductions related to the cost saving initiatives, a reduction in amortization expense associated with deferred compensation awards and decreased travel and communications expense related to the cost saving initiatives, partially offset by higher deal-related costs as a result of transactions that closed in the 2013 period as compared to the 2012 period.</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Financial Advisory operating income in the 2013 period was $24 million (including the impact of the $26 million charge related to the cost saving initiatives), an increase of $13 million as compared to operating income of $11 million in the 2012 period and, as a percentage of net revenue, was 8.9% as compared to 4.7% in the 2012 period. Excluding the impact of such charge in the 2013 period, operating income in the 2013 period was $50 million, an increase of $39 million, as compared to operating income in the 2012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versus June 30, 2012</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and Other Advisory and Capital Raising businesses, decreased $44 million, or 10%, and Restructuring revenue decreased $44 million, or 44%, as compared to the 2012 period.</w:t>
      </w:r>
    </w:p>
    <w:p>
      <w:pPr>
        <w:spacing w:after="0" w:line="13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M&amp;A and Other Advisory revenue decreased $49 million, or 13%, with Capital Raising revenue increasing $5 million, or 15%, as compared to the 2012 period. The decrease in M&amp;A and Other Advisory revenue was primarily due to lower average fees per transaction in the 2013 period as compared to the 2012 period, resulting from significant fees earned in the 2012 period related to our sovereign advisory and middle markets businesses.</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decline in Restructuring revenue reflected higher first-half revenue in 2012, which was driven by the closings of several large assignments, and a relatively low level of corporate defaults.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Operating expenses decreased $24 million, or 5%, as compared to the 2012 period, and included a $48 million charge in the 2013 period related to the cost saving initiatives. Excluding such charge, operating expenses decreased $72 million, or 15%. The primary contributors to the decrease were lower compensation and benefits expense due to lower operating revenue, headcount reductions related to the cost saving initiatives, a reduction in amortization expense associated with deferred compensation awards, decreased travel and communications expense related to the cost saving initiatives and lower deal-related costs as a result of transactions that closed in the 2013 period as compared to the 2012 period, partially offset by higher occupancy costs related to the amended lease and build-out of our Rockefeller Center facility.</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Financial Advisory operating loss in the 2013 period was $25 million (including the impact of the $48 million charge related to the cost saving initiatives), a decrease of $64 million as compared to operating income of $39 million in the 2012 period and, as a percentage of net revenue, was (5.8%) as compared to</w:t>
      </w:r>
    </w:p>
    <w:p>
      <w:pPr>
        <w:ind w:right="220"/>
        <w:spacing w:after="0" w:line="261" w:lineRule="auto"/>
        <w:rPr>
          <w:sz w:val="20"/>
          <w:szCs w:val="20"/>
          <w:color w:val="auto"/>
        </w:rPr>
      </w:pPr>
      <w:r>
        <w:rPr>
          <w:rFonts w:ascii="Arial" w:cs="Arial" w:eastAsia="Arial" w:hAnsi="Arial"/>
          <w:sz w:val="18"/>
          <w:szCs w:val="18"/>
          <w:color w:val="auto"/>
        </w:rPr>
        <w:t>7.4% in the 2012 period. Excluding the impact of such charge in the 2013 period, operating income was $23 million, a decrease of $16 million, as compared to operating income in the 2012 period.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9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b w:val="1"/>
                <w:bCs w:val="1"/>
                <w:color w:val="auto"/>
              </w:rPr>
              <w:t>Equity Platforms: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44,623</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31,509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36,247</w:t>
            </w:r>
          </w:p>
        </w:tc>
        <w:tc>
          <w:tcPr>
            <w:tcW w:w="100" w:type="dxa"/>
            <w:vAlign w:val="bottom"/>
          </w:tcPr>
          <w:p>
            <w:pPr>
              <w:spacing w:after="0"/>
              <w:rPr>
                <w:sz w:val="18"/>
                <w:szCs w:val="18"/>
                <w:color w:val="auto"/>
              </w:rPr>
            </w:pPr>
          </w:p>
        </w:tc>
      </w:tr>
      <w:tr>
        <w:trPr>
          <w:trHeight w:val="230"/>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28,807</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30,890</w:t>
            </w:r>
          </w:p>
        </w:tc>
        <w:tc>
          <w:tcPr>
            <w:tcW w:w="100" w:type="dxa"/>
            <w:vAlign w:val="bottom"/>
            <w:shd w:val="clear" w:color="auto" w:fill="CCEEFF"/>
          </w:tcPr>
          <w:p>
            <w:pPr>
              <w:spacing w:after="0"/>
              <w:rPr>
                <w:sz w:val="19"/>
                <w:szCs w:val="19"/>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30,879</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26,411</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134,341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138,171</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b w:val="1"/>
                <w:bCs w:val="1"/>
                <w:color w:val="auto"/>
              </w:rPr>
              <w:t>Fixed Income Platforms: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163,289</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167,060</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Average AUM for the 2013 and 2012 periods is set forth below. Average AUM is generally based on an average of quarterly ending balances for the respective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Six Months Ended June</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56"/>
        </w:trPr>
        <w:tc>
          <w:tcPr>
            <w:tcW w:w="7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$ 167,783</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$ 150,994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$ 169,370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$ 149,203</w:t>
            </w:r>
          </w:p>
        </w:tc>
      </w:tr>
      <w:tr>
        <w:trPr>
          <w:trHeight w:val="20"/>
        </w:trPr>
        <w:tc>
          <w:tcPr>
            <w:tcW w:w="7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Total AUM at June 30, 2013 decreased $4 billion, or 2%, as compared to total AUM of $167 billion at December 31, 2012, primarily due to net outflows. Average AUM for the three month and six month periods ended June 30, 2013 was 11% and 14% higher, respectively, than that for the corresponding periods in 2012. Within the equity platform, Emerging Markets and Global represented 26% and 19%, respectively, of total AUM at June 30, 2013, as compared to 27% and 22%, respectively, as of December 31, 2012.</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June 30, 2013,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clients, which are principally family offices and individuals, and was substantially unchanged from the corresponding percentages at December 31, 2012.</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June 30, 2013, AUM denominated in foreign currencies represented approximately 62% of our total AUM, substantially unchanged from the corresponding percentage at December 31, 2012. Foreign denominated AUM generally declines in value with the strengthening of the U.S. Dollar and increases in value as the U.S. Dollar weakens.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2013 and 2012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5"/>
          </w:tcPr>
          <w:p>
            <w:pPr>
              <w:jc w:val="right"/>
              <w:ind w:right="960"/>
              <w:spacing w:after="0" w:line="155" w:lineRule="exact"/>
              <w:rPr>
                <w:sz w:val="20"/>
                <w:szCs w:val="20"/>
                <w:color w:val="auto"/>
              </w:rPr>
            </w:pPr>
            <w:r>
              <w:rPr>
                <w:rFonts w:ascii="Arial" w:cs="Arial" w:eastAsia="Arial" w:hAnsi="Arial"/>
                <w:sz w:val="14"/>
                <w:szCs w:val="14"/>
                <w:b w:val="1"/>
                <w:bCs w:val="1"/>
                <w:color w:val="auto"/>
              </w:rPr>
              <w:t>($ in millions)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$171,965</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$156,708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$167,060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$141,039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(4,127)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1,137</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(5,122)</w:t>
            </w:r>
          </w:p>
        </w:tc>
        <w:tc>
          <w:tcPr>
            <w:tcW w:w="66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(4,549)</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AUM—End of Period</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163,289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148,439</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163,289</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148,439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33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inflows of $8,264 and $7,301 and outflows of $12,391 and $6,164 for the three month periods in 2013 and 2012, respectively, and inflows of $17,356 and $12,609 and outflows of $22,478 and $11,634 for the six month periods in 2013 and 2012, respectively.</w:t>
      </w:r>
    </w:p>
    <w:p>
      <w:pPr>
        <w:spacing w:after="0" w:line="85"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During the first half of 2013, most of the inflows were attributable to the Emerging Markets and Multi-Regional equity platforms and the Emerging Markets fixed income platform. Most of the outflows in the 2013 period were attributable to the Global and Local equity platforms.</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July 29, 2013, AUM was $169.3 billion, a $6.0 billion increase since June 30, 2013. The increase in AUM was due to market and foreign exchange appreciation of $5.1 billion and net inflows of $0.9 billion.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jc w:val="right"/>
              <w:ind w:right="103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217,700</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195,223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$437,692</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$395,083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24,643</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27,189</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245,499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211,053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489,524</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187,554</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156,619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342,631</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146,893</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108,460</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7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1500" w:type="dxa"/>
            <w:vAlign w:val="bottom"/>
            <w:gridSpan w:val="3"/>
          </w:tcPr>
          <w:p>
            <w:pPr>
              <w:jc w:val="right"/>
              <w:ind w:right="372"/>
              <w:spacing w:after="0"/>
              <w:rPr>
                <w:sz w:val="20"/>
                <w:szCs w:val="20"/>
                <w:color w:val="auto"/>
              </w:rPr>
            </w:pPr>
            <w:r>
              <w:rPr>
                <w:rFonts w:ascii="Arial" w:cs="Arial" w:eastAsia="Arial" w:hAnsi="Arial"/>
                <w:sz w:val="18"/>
                <w:szCs w:val="18"/>
                <w:color w:val="auto"/>
              </w:rPr>
              <w:t>30.0%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2013, includes $0 and $235 for the three month and six month periods, respectively, associated with the implementation of the cost saving initiatives. All periods include indirect support costs (including compensation and benefits expense and other operating expenses related thereto).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versus June 30, 2012</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Asset Management net revenue increased $34 million, or 16%, as compared to the 2012 period. Management fees increased $22 million, or 12%, as compared to the 2012 period, reflecting a $17 billion, or 11%, increase in average AUM. Incentive fees increased $12 million, or 328%, as compared to the 2012 period, primarily due to fees related to traditional investment products. Other revenue remained substantially unchanged.</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Operating expenses increased $31 million, or 20%, as compared to the 2012 period, primarily due to an increase in compensation and benefits expense and mutual fund servicing fees.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Asset Management operating income in the 2013 period was $58 million, an increase of $4 million, or 6%, compared to operating income of $54 million in the 2012 period and, as a percentage of net revenue, was 23.6%, compared to 25.8% in the 2012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versus June 30, 2012</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Asset Management net revenue increased $64 million, or 15%, as compared to the 2012 period. Management fees increased $43 million, or 11%, as compared to the 2012 period, reflecting a $20 billion, or 14%, increase in average AUM. Incentive fees increased $18 million, or 291%, as compared to the 2012 period, primarily due to fees related to traditional investment products. Other revenue increased $3 million, or 12%, as compared to the 2012 period, primarily due to higher commissions as a result of increased market activity.</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Operating expenses increased $26 million, or 8%, as compared to the 2012 period, primarily due to an increase in compensation and benefits expense and mutual fund servicing fees.</w:t>
      </w:r>
    </w:p>
    <w:p>
      <w:pPr>
        <w:spacing w:after="0" w:line="132"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Asset Management operating income in the 2013 period was $147 million, an increase of $38 million, or 35%, compared to operating income of $109 million in the 2012 period and, as a percentage of net revenue, was 30.0%, compared to 25.5% in the 2012 period.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 in thousands)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1,643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(20,310)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(20,320)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2"/>
              <w:spacing w:after="0"/>
              <w:rPr>
                <w:sz w:val="20"/>
                <w:szCs w:val="20"/>
                <w:color w:val="auto"/>
              </w:rPr>
            </w:pPr>
            <w:r>
              <w:rPr>
                <w:rFonts w:ascii="Arial" w:cs="Arial" w:eastAsia="Arial" w:hAnsi="Arial"/>
                <w:sz w:val="18"/>
                <w:szCs w:val="18"/>
                <w:color w:val="auto"/>
                <w:w w:val="86"/>
              </w:rPr>
              <w:t>(40,461)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(40,742)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(19,384)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(19,310)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(38,818)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(39,101)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983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2,543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9,833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16,650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(18,401)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(16,767)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(28,985)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22,147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4,558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w w:val="98"/>
              </w:rPr>
              <w:t>30,468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42,376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(40,548)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(21,325)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6"/>
              </w:rPr>
              <w:t>(59,453)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(64,827)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(i) in 2013, $12,617 and $16,689 for the three month and six month periods, respectively, associated with the implementation of the cost saving initiatives, and (ii) in the six month period of 2012, $24,659 relating to the staff reductions.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versus June 30,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was substantially unchanged as compared to the 2012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$2 million, or 61%, as compared to the 2012 period, primarily due to decreased net investment gains.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expenses in the 2013 period increased $17 million, as compared to the 2012 period, and included a charge of $12 million associated with the cost saving initiatives. Excluding the impact of such charge, operating expenses in the 2013 period increased $5 million, as compared to the 2012 period, primarily due to higher compensation and benefits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versus June 30,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was substantially unchanged as compared to the 2012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$7 million, or 41%, as compared to the 2012 period, primarily due to decreased net investment gains.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Operating expenses in the 2013 period decreased $12 million, or 28%, compared to the 2012 period, and included in the 2013 period a charge of $16 million associated with the cost saving initiatives, while the 2012 period included a charge of $25 million related to staff reductions. Excluding the impact of such charges, operating expenses in the 2013 period decreased $4 million, or 22%, as compared to the 2012 period, primarily due to lower compensation and benefits expense as a result of headcount reductions relating to the cost saving initiatives and lower amortization expense related to deferred compensation awards, partially offset by increased investments in technology.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M&amp;A, Other Advisory, and Asset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during the first half of 2013, the Company made cash payments, including severance payments, associated with the cost saving initiatives (see “Cost Saving Initiatives” above and Note 14 of Notes to Condensed Consolidated Financial Statements), with the remaining cash payments expected to be paid primarily during the second half of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right"/>
              <w:ind w:right="434"/>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185.4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(221.4)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30"/>
        </w:trPr>
        <w:tc>
          <w:tcPr>
            <w:tcW w:w="9480" w:type="dxa"/>
            <w:vAlign w:val="bottom"/>
            <w:gridSpan w:val="2"/>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(207.3)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(248.7)</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8"/>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850.2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601.5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4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185.4</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720" w:hanging="452"/>
        <w:spacing w:after="0" w:line="261"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settlements of vested restricted stock units (“RSUs”), Class A common stock dividends and distributions to noncontrolling interest 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Liquidity has also been impacted by cash payments, including severance payments, associated with the cost saving initiatives (see “Cost Saving Initiatives” above and Note 14 of Notes to Condensed Consolidated Financial Statements), with the remaining cash payments expected to be paid primarily during the second half of 2013.</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Lazard Group common membership interests and matters relating to liquidity and to compliance with regulatory net capital requirements. At June 30, 2013, Lazard had approximately $601 million of cash, with such amount including approximately $282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June 30, 2013, Lazard had approximately $262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$52 million (at June 30, 2013 exchange rates) and Edgewater of $55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June 30, 2013 and December 31, 2012.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w w:val="92"/>
              </w:rPr>
              <w:t>June 30,</w:t>
            </w:r>
          </w:p>
        </w:tc>
        <w:tc>
          <w:tcPr>
            <w:tcW w:w="8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2013</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 in millions)</w:t>
            </w: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2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40"/>
              <w:spacing w:after="0"/>
              <w:rPr>
                <w:sz w:val="20"/>
                <w:szCs w:val="20"/>
                <w:color w:val="auto"/>
              </w:rPr>
            </w:pPr>
            <w:r>
              <w:rPr>
                <w:rFonts w:ascii="Arial" w:cs="Arial" w:eastAsia="Arial" w:hAnsi="Arial"/>
                <w:sz w:val="18"/>
                <w:szCs w:val="18"/>
                <w:color w:val="auto"/>
              </w:rPr>
              <w:t>7.125%</w:t>
            </w:r>
          </w:p>
        </w:tc>
        <w:tc>
          <w:tcPr>
            <w:tcW w:w="3300" w:type="dxa"/>
            <w:vAlign w:val="bottom"/>
            <w:gridSpan w:val="2"/>
          </w:tcPr>
          <w:p>
            <w:pPr>
              <w:jc w:val="center"/>
              <w:ind w:left="2692"/>
              <w:spacing w:after="0"/>
              <w:rPr>
                <w:sz w:val="20"/>
                <w:szCs w:val="20"/>
                <w:color w:val="auto"/>
              </w:rPr>
            </w:pPr>
            <w:r>
              <w:rPr>
                <w:rFonts w:ascii="Arial" w:cs="Arial" w:eastAsia="Arial" w:hAnsi="Arial"/>
                <w:sz w:val="18"/>
                <w:szCs w:val="18"/>
                <w:color w:val="auto"/>
                <w:w w:val="89"/>
              </w:rPr>
              <w:t>2015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528.5</w:t>
            </w:r>
          </w:p>
        </w:tc>
        <w:tc>
          <w:tcPr>
            <w:tcW w:w="10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528.5</w:t>
            </w: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3300" w:type="dxa"/>
            <w:vAlign w:val="bottom"/>
            <w:gridSpan w:val="2"/>
            <w:shd w:val="clear" w:color="auto" w:fill="CCEEFF"/>
          </w:tcPr>
          <w:p>
            <w:pPr>
              <w:jc w:val="center"/>
              <w:ind w:left="2692"/>
              <w:spacing w:after="0"/>
              <w:rPr>
                <w:sz w:val="20"/>
                <w:szCs w:val="20"/>
                <w:color w:val="auto"/>
              </w:rPr>
            </w:pPr>
            <w:r>
              <w:rPr>
                <w:rFonts w:ascii="Arial" w:cs="Arial" w:eastAsia="Arial" w:hAnsi="Arial"/>
                <w:sz w:val="18"/>
                <w:szCs w:val="18"/>
                <w:color w:val="auto"/>
                <w:w w:val="89"/>
              </w:rPr>
              <w:t>2017</w:t>
            </w: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548.4</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2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1,076.9</w:t>
            </w:r>
          </w:p>
        </w:tc>
        <w:tc>
          <w:tcPr>
            <w:tcW w:w="10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1,076.9</w:t>
            </w: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780" w:type="dxa"/>
            <w:vAlign w:val="bottom"/>
            <w:vMerge w:val="restart"/>
          </w:tcPr>
          <w:p>
            <w:pPr>
              <w:jc w:val="right"/>
              <w:ind w:right="332"/>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2013, Lazard Group was in compliance with such ratios, with its Consolidated Leverage Ratio being 1.79 to 1.00 and its Consolidated Interest Coverage Ratio being 8.68 to 1.00. In any event, no amounts were outstanding under the Credit Facility as of June 30, 2013.</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June 30, 2013,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June 30, 2013, total stockholders’ equity was $592 million, as compared to $652 million at December 31, 2012, including $518 million and $570 million attributable to Lazard Ltd on the respective dates. The net activity in stockholders’ equity during the six month period ended June 30, 2013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Equity—January 1, 2013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r>
      <w:tr>
        <w:trPr>
          <w:trHeight w:val="283"/>
        </w:trPr>
        <w:tc>
          <w:tcPr>
            <w:tcW w:w="998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9980" w:type="dxa"/>
            <w:vAlign w:val="bottom"/>
            <w:gridSpan w:val="2"/>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of Class A common stock</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9980" w:type="dxa"/>
            <w:vAlign w:val="bottom"/>
            <w:gridSpan w:val="2"/>
          </w:tcPr>
          <w:p>
            <w:pPr>
              <w:ind w:left="440"/>
              <w:spacing w:after="0"/>
              <w:rPr>
                <w:sz w:val="20"/>
                <w:szCs w:val="20"/>
                <w:color w:val="auto"/>
              </w:rPr>
            </w:pPr>
            <w:r>
              <w:rPr>
                <w:rFonts w:ascii="Arial" w:cs="Arial" w:eastAsia="Arial" w:hAnsi="Arial"/>
                <w:sz w:val="18"/>
                <w:szCs w:val="18"/>
                <w:color w:val="auto"/>
              </w:rPr>
              <w:t>Delivery of Class A common stock in connection with share-based incentive compensation and related tax benefit of $1</w:t>
            </w: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(120)</w:t>
            </w:r>
          </w:p>
        </w:tc>
      </w:tr>
      <w:tr>
        <w:trPr>
          <w:trHeight w:val="216"/>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Class A common stock dividends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9980" w:type="dxa"/>
            <w:vAlign w:val="bottom"/>
            <w:gridSpan w:val="2"/>
          </w:tcPr>
          <w:p>
            <w:pPr>
              <w:ind w:left="440"/>
              <w:spacing w:after="0"/>
              <w:rPr>
                <w:sz w:val="20"/>
                <w:szCs w:val="20"/>
                <w:color w:val="auto"/>
              </w:rPr>
            </w:pPr>
            <w:r>
              <w:rPr>
                <w:rFonts w:ascii="Arial" w:cs="Arial" w:eastAsia="Arial" w:hAnsi="Arial"/>
                <w:sz w:val="18"/>
                <w:szCs w:val="18"/>
                <w:color w:val="auto"/>
              </w:rPr>
              <w:t>Distributions to noncontrolling interests, net</w:t>
            </w: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AOCI (including noncontrolling interests’ portion thereof)(a)</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22"/>
        </w:trPr>
        <w:tc>
          <w:tcPr>
            <w:tcW w:w="9980" w:type="dxa"/>
            <w:vAlign w:val="bottom"/>
            <w:gridSpan w:val="2"/>
          </w:tcPr>
          <w:p>
            <w:pPr>
              <w:spacing w:after="0"/>
              <w:rPr>
                <w:sz w:val="20"/>
                <w:szCs w:val="20"/>
                <w:color w:val="auto"/>
              </w:rPr>
            </w:pPr>
            <w:r>
              <w:rPr>
                <w:rFonts w:ascii="Arial" w:cs="Arial" w:eastAsia="Arial" w:hAnsi="Arial"/>
                <w:sz w:val="18"/>
                <w:szCs w:val="18"/>
                <w:color w:val="auto"/>
              </w:rPr>
              <w:t>Stockholders’ Equity—June 30, 2013</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40" w:type="dxa"/>
            <w:vAlign w:val="bottom"/>
            <w:tcBorders>
              <w:bottom w:val="single" w:sz="8" w:color="auto"/>
            </w:tcBorders>
            <w:shd w:val="clear" w:color="auto" w:fill="CCEEFF"/>
          </w:tcPr>
          <w:p>
            <w:pPr>
              <w:spacing w:after="0"/>
              <w:rPr>
                <w:sz w:val="8"/>
                <w:szCs w:val="8"/>
                <w:color w:val="auto"/>
              </w:rPr>
            </w:pPr>
          </w:p>
        </w:tc>
        <w:tc>
          <w:tcPr>
            <w:tcW w:w="90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r>
      <w:tr>
        <w:trPr>
          <w:trHeight w:val="250"/>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Includes:</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9980" w:type="dxa"/>
            <w:vAlign w:val="bottom"/>
            <w:gridSpan w:val="2"/>
          </w:tcPr>
          <w:p>
            <w:pPr>
              <w:ind w:left="440"/>
              <w:spacing w:after="0"/>
              <w:rPr>
                <w:sz w:val="20"/>
                <w:szCs w:val="20"/>
                <w:color w:val="auto"/>
              </w:rPr>
            </w:pPr>
            <w:r>
              <w:rPr>
                <w:rFonts w:ascii="Arial" w:cs="Arial" w:eastAsia="Arial" w:hAnsi="Arial"/>
                <w:sz w:val="18"/>
                <w:szCs w:val="18"/>
                <w:color w:val="auto"/>
              </w:rPr>
              <w:t>Net foreign currency translation adjustments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Employee benefit plans and other adjustments</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99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0"/>
        </w:trPr>
        <w:tc>
          <w:tcPr>
            <w:tcW w:w="9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February 2011, October 2011, April 2012 and October 2012 the Board of Directors of Lazard Ltd authorized the repurchase of up to $250 million, $125 million, $125 million and $200 million, respectively, in aggregate cost of Class A common stock and Lazard Group common membership interests through December 31, 2012, December 31, 2013, December 31, 2013 and December 31, 2014, respectively. The Company’s prior share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repurchase authorizations expired on December 31, 2009 and December 31, 2011, respectively. During the six month period ended June 30, 2013 the Company repurchased 1,434,657 shares of Class A common stock, at an aggregate cost of $50 million (no Lazard Group common membership interests were purchased during such six month period). Furthermore, in order to help offset the dilutive effect of our share-based incentive compensation plans, during a given year Lazard intends to repurchase at least as many shares as it expects to ultimately issue pursuant to such plans in respect of year-end incentive compensation attributable to the prior year</w:t>
      </w:r>
      <w:r>
        <w:rPr>
          <w:rFonts w:ascii="Arial" w:cs="Arial" w:eastAsia="Arial" w:hAnsi="Arial"/>
          <w:sz w:val="18"/>
          <w:szCs w:val="18"/>
          <w:i w:val="1"/>
          <w:iCs w:val="1"/>
          <w:color w:val="auto"/>
        </w:rPr>
        <w:t>.</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As of June 30, 2013, $104 million of the current share repurchase amount authorized as of such date remained available under the share repurchase program, all of which expires on December 31, 2014.</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Under the terms of the 2005 Plan and the 2008 Plan, upon the vesting of RSUs, performance-based restricted stock units (“PRSUs”) and delivery of restricted Class A common stock, shares of Class A common stock may be withheld by the Company to meet the minimum statutory tax withholding requirements. In that regard, during the six month period ended June 30, 2013, the Company withheld $120 million to satisfy its withholding tax obligations for certain employees on vested RSUs and delivery of restricted Class A common stock in lieu of issuing 3,327,815 shares of Class A common stock.</w:t>
      </w:r>
    </w:p>
    <w:p>
      <w:pPr>
        <w:spacing w:after="0" w:line="11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including by repurchasing outstanding shares of Class A common stock, paying dividends to stockholders and repurchasing its outstanding debt.</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See Note 11 and 12 of Notes to Condensed Consolidated Financial Statements for additional information regarding Lazard’s stockholders’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3-5 Years</w:t>
            </w:r>
          </w:p>
        </w:tc>
        <w:tc>
          <w:tcPr>
            <w:tcW w:w="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$ 1,302,410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75,218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$ 641,280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$ 585,912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Operating Leases (excluding $154,165 of sublease income)</w:t>
            </w:r>
          </w:p>
        </w:tc>
        <w:tc>
          <w:tcPr>
            <w:tcW w:w="2180" w:type="dxa"/>
            <w:vAlign w:val="bottom"/>
            <w:gridSpan w:val="3"/>
          </w:tcPr>
          <w:p>
            <w:pPr>
              <w:jc w:val="right"/>
              <w:ind w:right="20"/>
              <w:spacing w:after="0"/>
              <w:rPr>
                <w:sz w:val="20"/>
                <w:szCs w:val="20"/>
                <w:color w:val="auto"/>
              </w:rPr>
            </w:pPr>
            <w:r>
              <w:rPr>
                <w:rFonts w:ascii="Arial" w:cs="Arial" w:eastAsia="Arial" w:hAnsi="Arial"/>
                <w:sz w:val="18"/>
                <w:szCs w:val="18"/>
                <w:color w:val="auto"/>
              </w:rPr>
              <w:t>1,031,146</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81,742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150,360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134,959</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664,085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18,871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1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27,649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27,649</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1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$ 2,380,076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$ 187,729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$ 797,201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$ 731,061</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$ 664,085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 These amounts are generally due on demand and therefore are presented in the “less than 1 year” category.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5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table above excludes contingent obligations, as well as any possible payments for uncertain tax positions, and payments pursuant to the Company’s tax receivable agreement, given the inability to estimate the possible amounts and timing of any such payments. See Notes 10, 12, 13 and 15 of Notes to Condensed Consolidated Financial Statements regarding information in connection with commitments, incentive plans, employee benefit plans and income taxes,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Differences that are temporary in nature result in deferred tax assets and liabilities. Significant judgment is required in determining our provision for income taxes, our deferred tax assets and liabilities as discussed below, any valuation allowance recorded against our deferred tax assets and our unrecognized tax benefits.</w:t>
      </w:r>
    </w:p>
    <w:p>
      <w:pPr>
        <w:spacing w:after="0" w:line="12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 deferred tax asset is recognized if it is more likely than not (defined as a likelihood of greater than 50%) that a tax benefit will be accepted by a taxing authority. The measurement of deferred tax assets and liabilities is based upon currently enacted tax rates in the applicable jurisdictions. At December 31, 2012, on a consolidated basis, we recorded gross deferred tax assets of approximately $1.41 billion.</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In order to determine whether we apply a valuation allowance, we must assess whether it is more likely than not that such asset will be realized, taking into account all available information. The ultimate realization of a deferred tax asset for a particular entity depends, among other things, on the generation of taxable income by such entity in the applicable jurisdiction. Although we have been profitable on a consolidated basis for the three year periods ended December 31, 2012 and June 30, 2013, certain of our tax-paying entities have individually experienced minimal profits on a cumulative basis during such periods and losses in 2012, primarily due to permanent differences between net income and taxable income at such entities. Considering the recent operating results of such entities and the other factors listed below, we recorded a valuation allowance of approximately $1.24 billion on our deferred tax assets as of December 31, 2012 and have not changed our assessment regarding the level of valuation allowance as of June 30, 2013.</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assessment regarding whether a valuation allowance is required or should be adjusted also considers all available information, including the following:</w:t>
      </w:r>
    </w:p>
    <w:p>
      <w:pPr>
        <w:spacing w:after="0" w:line="125" w:lineRule="exact"/>
        <w:rPr>
          <w:sz w:val="20"/>
          <w:szCs w:val="20"/>
          <w:color w:val="auto"/>
        </w:rPr>
      </w:pPr>
    </w:p>
    <w:p>
      <w:pPr>
        <w:ind w:left="5620" w:right="4800" w:hanging="5045"/>
        <w:spacing w:after="0" w:line="525" w:lineRule="auto"/>
        <w:tabs>
          <w:tab w:leader="none" w:pos="893" w:val="left"/>
        </w:tabs>
        <w:numPr>
          <w:ilvl w:val="0"/>
          <w:numId w:val="59"/>
        </w:numPr>
        <w:rPr>
          <w:rFonts w:ascii="Arial" w:cs="Arial" w:eastAsia="Arial" w:hAnsi="Arial"/>
          <w:sz w:val="16"/>
          <w:szCs w:val="16"/>
          <w:color w:val="auto"/>
        </w:rPr>
      </w:pPr>
      <w:r>
        <w:rPr>
          <w:rFonts w:ascii="Arial" w:cs="Arial" w:eastAsia="Arial" w:hAnsi="Arial"/>
          <w:sz w:val="16"/>
          <w:szCs w:val="16"/>
          <w:color w:val="auto"/>
        </w:rPr>
        <w:t>nature, frequency and magnitude of any past losses and current operating results, 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significant evidence and will generally outweigh a projection of future taxable income.</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mentioned previously, certain of our tax-paying entities have individually experienced minimal profits on a cumulative basis over the past several years and losses in 2012. If these entities achieve sustainable levels of profitability in the future, we believe that the valuation allowance recorded against our deferred tax assets at such entities could be reduced significantly. If any significant valuation allowance reduction were to occur, we would likely have a negative effective tax rate in the period in which such reduction occurs. Included in our deferred tax assets as of December 31, 2012 are approximately $705 million related to certain basis step-ups and approximately $196 million of net operating losses generated by the amortization of such step-up assets. Under our tax receivable agreement, Lazard Group will retain 15% of the actual cash tax savings relating to such assets and will pay 85% of such savings to the owners of Lazard prior to the separation.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we would otherwise recognize upon a release of the valuation allowance.</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valuation allowance reduction were to occur, for subsequent periods, our effective tax rate, with all other factors being held constant, would increase and could be significantly higher than our effective tax rate in the period immediately preceding the reduction in the valuation allowance. In such a situation, an increase in our effective tax rate would not impact the amount of cash income taxes we would pay in those periods subsequent to the release of any valuation allowance.</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“Risk Factors” and Note 17 of Notes to Consolidated Financial Statements in our Form 10-K for additional information related to income taxes.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 primarily of debt and equity securities, and interests in alternative investment, debt, equity and private equity funds.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These investments are carried at either (a)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“accumulated other comprehensive income (loss), net of tax” (“AOCI”), to the extent designated as “available-for-sale” securities until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such time they are realized and reclassified to earnings, or (b) if designated as “held-to-maturity” securities, amortized cost on the consolidated statements of financial condition. Any declines in the fair value of “available-for-sale” and “held-to-maturity” securities that are determined to be other than temporary are charged to earnings. The Company holds no “available-for-sale” or “held-to-maturity” securities.</w:t>
      </w:r>
    </w:p>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7"/>
              </w:rPr>
              <w:t>June 30, 2013(a)</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0"/>
              </w:rPr>
              <w:t>December 31, 2012(a)</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7320" w:type="dxa"/>
            <w:vAlign w:val="bottom"/>
            <w:gridSpan w:val="2"/>
          </w:tcPr>
          <w:p>
            <w:pPr>
              <w:spacing w:after="0"/>
              <w:rPr>
                <w:sz w:val="20"/>
                <w:szCs w:val="20"/>
                <w:color w:val="auto"/>
              </w:rPr>
            </w:pPr>
            <w:r>
              <w:rPr>
                <w:rFonts w:ascii="Arial" w:cs="Arial" w:eastAsia="Arial" w:hAnsi="Arial"/>
                <w:sz w:val="18"/>
                <w:szCs w:val="18"/>
                <w:color w:val="auto"/>
                <w:w w:val="98"/>
              </w:rPr>
              <w:t>Equity securities (net of $3 and $3 of securities sold, not yet purchased, at June 30, 2013 and</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gridSpan w:val="2"/>
          </w:tcPr>
          <w:p>
            <w:pPr>
              <w:ind w:left="220"/>
              <w:spacing w:after="0"/>
              <w:rPr>
                <w:sz w:val="20"/>
                <w:szCs w:val="20"/>
                <w:color w:val="auto"/>
              </w:rPr>
            </w:pPr>
            <w:r>
              <w:rPr>
                <w:rFonts w:ascii="Arial" w:cs="Arial" w:eastAsia="Arial" w:hAnsi="Arial"/>
                <w:sz w:val="18"/>
                <w:szCs w:val="18"/>
                <w:color w:val="auto"/>
              </w:rPr>
              <w:t>December 31, 2012, respectively) (c)</w:t>
            </w: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740" w:type="dxa"/>
            <w:vAlign w:val="bottom"/>
          </w:tcPr>
          <w:p>
            <w:pPr>
              <w:spacing w:after="0"/>
              <w:rPr>
                <w:sz w:val="19"/>
                <w:szCs w:val="19"/>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investment funds (d)</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Debt funds (e)</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74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 (f)</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7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Private equity funds owned (g)</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(h)</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Net investments</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446</w:t>
            </w:r>
          </w:p>
        </w:tc>
        <w:tc>
          <w:tcPr>
            <w:tcW w:w="74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412</w:t>
            </w:r>
          </w:p>
        </w:tc>
        <w:tc>
          <w:tcPr>
            <w:tcW w:w="6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2,921</w:t>
            </w:r>
          </w:p>
        </w:tc>
        <w:tc>
          <w:tcPr>
            <w:tcW w:w="7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2,987</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6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5"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investments held in connection with Lazard Fund Interests and other similar deferred compensation arrangements, with an aggregate fair value of $160 million and $101 million at June 30, 2013 and December 31, 2012, respectively. The majority of the market risk associated with such investments is equally offset by the market risk associated with the derivative liability with respect to such awards.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61"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Equity securities primarily consist of seed investments invested in marketable equity securities of large-, mid- and small-cap domestic, international and global companies held within separately managed accounts related to our Asset Management business.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At June 30, 2013 and December 31, 2012, investments in marketable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7"/>
              </w:rPr>
              <w:t>June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400" w:type="dxa"/>
            <w:vAlign w:val="bottom"/>
            <w:gridSpan w:val="2"/>
          </w:tcPr>
          <w:p>
            <w:pPr>
              <w:jc w:val="right"/>
              <w:ind w:right="42"/>
              <w:spacing w:after="0" w:line="149" w:lineRule="exact"/>
              <w:rPr>
                <w:sz w:val="20"/>
                <w:szCs w:val="20"/>
                <w:color w:val="auto"/>
              </w:rPr>
            </w:pPr>
            <w:r>
              <w:rPr>
                <w:rFonts w:ascii="Arial" w:cs="Arial" w:eastAsia="Arial" w:hAnsi="Arial"/>
                <w:sz w:val="14"/>
                <w:szCs w:val="14"/>
                <w:b w:val="1"/>
                <w:bCs w:val="1"/>
                <w:color w:val="auto"/>
              </w:rPr>
              <w:t>30,</w:t>
            </w:r>
          </w:p>
        </w:tc>
        <w:tc>
          <w:tcPr>
            <w:tcW w:w="11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440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2013</w:t>
            </w:r>
          </w:p>
        </w:tc>
        <w:tc>
          <w:tcPr>
            <w:tcW w:w="118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39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5580" w:type="dxa"/>
            <w:vAlign w:val="bottom"/>
            <w:gridSpan w:val="3"/>
          </w:tcPr>
          <w:p>
            <w:pPr>
              <w:jc w:val="right"/>
              <w:ind w:right="104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55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80"/>
              <w:spacing w:after="0"/>
              <w:rPr>
                <w:sz w:val="20"/>
                <w:szCs w:val="20"/>
                <w:color w:val="auto"/>
              </w:rPr>
            </w:pPr>
            <w:r>
              <w:rPr>
                <w:rFonts w:ascii="Arial" w:cs="Arial" w:eastAsia="Arial" w:hAnsi="Arial"/>
                <w:sz w:val="18"/>
                <w:szCs w:val="18"/>
                <w:color w:val="auto"/>
              </w:rPr>
              <w:t>Energy</w:t>
            </w:r>
          </w:p>
        </w:tc>
        <w:tc>
          <w:tcPr>
            <w:tcW w:w="5580" w:type="dxa"/>
            <w:vAlign w:val="bottom"/>
            <w:gridSpan w:val="3"/>
          </w:tcPr>
          <w:p>
            <w:pPr>
              <w:jc w:val="right"/>
              <w:ind w:right="1180"/>
              <w:spacing w:after="0"/>
              <w:rPr>
                <w:sz w:val="20"/>
                <w:szCs w:val="20"/>
                <w:color w:val="auto"/>
              </w:rPr>
            </w:pPr>
            <w:r>
              <w:rPr>
                <w:rFonts w:ascii="Arial" w:cs="Arial" w:eastAsia="Arial" w:hAnsi="Arial"/>
                <w:sz w:val="18"/>
                <w:szCs w:val="18"/>
                <w:color w:val="auto"/>
              </w:rPr>
              <w:t>6</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55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80"/>
              <w:spacing w:after="0"/>
              <w:rPr>
                <w:sz w:val="20"/>
                <w:szCs w:val="20"/>
                <w:color w:val="auto"/>
              </w:rPr>
            </w:pPr>
            <w:r>
              <w:rPr>
                <w:rFonts w:ascii="Arial" w:cs="Arial" w:eastAsia="Arial" w:hAnsi="Arial"/>
                <w:sz w:val="18"/>
                <w:szCs w:val="18"/>
                <w:color w:val="auto"/>
              </w:rPr>
              <w:t>Basic materials</w:t>
            </w:r>
          </w:p>
        </w:tc>
        <w:tc>
          <w:tcPr>
            <w:tcW w:w="5580" w:type="dxa"/>
            <w:vAlign w:val="bottom"/>
            <w:gridSpan w:val="3"/>
          </w:tcPr>
          <w:p>
            <w:pPr>
              <w:jc w:val="right"/>
              <w:ind w:right="1180"/>
              <w:spacing w:after="0"/>
              <w:rPr>
                <w:sz w:val="20"/>
                <w:szCs w:val="20"/>
                <w:color w:val="auto"/>
              </w:rPr>
            </w:pPr>
            <w:r>
              <w:rPr>
                <w:rFonts w:ascii="Arial" w:cs="Arial" w:eastAsia="Arial" w:hAnsi="Arial"/>
                <w:sz w:val="18"/>
                <w:szCs w:val="18"/>
                <w:color w:val="auto"/>
              </w:rPr>
              <w:t>5</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tcPr>
          <w:p>
            <w:pPr>
              <w:ind w:left="1900"/>
              <w:spacing w:after="0"/>
              <w:rPr>
                <w:sz w:val="20"/>
                <w:szCs w:val="20"/>
                <w:color w:val="auto"/>
              </w:rPr>
            </w:pPr>
            <w:r>
              <w:rPr>
                <w:rFonts w:ascii="Arial" w:cs="Arial" w:eastAsia="Arial" w:hAnsi="Arial"/>
                <w:sz w:val="18"/>
                <w:szCs w:val="18"/>
                <w:color w:val="auto"/>
              </w:rPr>
              <w:t>Total</w:t>
            </w:r>
          </w:p>
        </w:tc>
        <w:tc>
          <w:tcPr>
            <w:tcW w:w="5580" w:type="dxa"/>
            <w:vAlign w:val="bottom"/>
            <w:gridSpan w:val="3"/>
          </w:tcPr>
          <w:p>
            <w:pPr>
              <w:jc w:val="right"/>
              <w:ind w:right="104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980" w:type="dxa"/>
            <w:vAlign w:val="bottom"/>
            <w:vMerge w:val="restart"/>
          </w:tcPr>
          <w:p>
            <w:pPr>
              <w:jc w:val="right"/>
              <w:ind w:right="2477"/>
              <w:spacing w:after="0"/>
              <w:rPr>
                <w:sz w:val="20"/>
                <w:szCs w:val="20"/>
                <w:color w:val="auto"/>
              </w:rPr>
            </w:pPr>
            <w:r>
              <w:rPr>
                <w:rFonts w:ascii="Arial" w:cs="Arial" w:eastAsia="Arial" w:hAnsi="Arial"/>
                <w:sz w:val="18"/>
                <w:szCs w:val="18"/>
                <w:color w:val="auto"/>
              </w:rPr>
              <w:t>71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diversified and may incorporate particular strategies; however, there are no investments in funds with a single sector strategy.</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relating to Lazard Fund Interests discussed above.</w:t>
      </w:r>
    </w:p>
    <w:p>
      <w:pPr>
        <w:spacing w:after="0" w:line="50"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Comprised primarily of investments in private equity funds that are generally not subject to short-term market fluctuation, but may subject Lazard to market or credit risk. Private equity investments primarily include (i) a mezzanine fund, which invests in mezzanine debt of a diversified selection of small-to mid-cap European companies; (ii) a fund targeting significant noncontrolling-stake investments in established private companies; (iii) Edgewater Growth Capital Partners III, L.P. a fund primarily making growth equity and buyout investments in middle market companies and (iv) COF 2, a Lazard-managed Australian fund targeting Australasian mid-market investments.</w:t>
      </w:r>
    </w:p>
    <w:p>
      <w:pPr>
        <w:spacing w:after="0" w:line="34"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At June 30, 2013 and December 31, 2012, $113 million and $116 million, respectively, of our total investments at a fair value of $446 million and $412 million, respectively, or 25% and 28%, respectively, were classified as Level 3 assets. Substantially all of our Level 3 investments at both dates are priced based on NAV or its equivalent. During the six month periods ended June 30, 2013 and 2012, gains of approximately $3 million and $12 million, respectively, were recognized in “revenue-other” on the consolidated statement of operations pertaining to Level 3 investments.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fluctuations in the fair value of positions held in our investment portfolios” in our Form 10-K.</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primarily consists of debt and equity instruments whose value is readily available based on quoted prices on a recognized exchange or prices provided by external pricing services. Accordingly, significant estimates and judgments are generally not involved in the calculation of the value of our AUM.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Lazard Group and entities in which it has a controlling interest. Lazard determines whether it has a controlling interest in an entity by first evaluating whether such entity is a voting interest entity or a variable interest entity (“VIE”) under U.S. GAAP.</w:t>
      </w:r>
    </w:p>
    <w:p>
      <w:pPr>
        <w:spacing w:after="0" w:line="4" w:lineRule="exact"/>
        <w:rPr>
          <w:sz w:val="20"/>
          <w:szCs w:val="20"/>
          <w:color w:val="auto"/>
        </w:rPr>
      </w:pPr>
    </w:p>
    <w:p>
      <w:pPr>
        <w:ind w:left="1480" w:hanging="446"/>
        <w:spacing w:after="0" w:line="256" w:lineRule="auto"/>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62" w:lineRule="exact"/>
        <w:rPr>
          <w:rFonts w:ascii="Arial" w:cs="Arial" w:eastAsia="Arial" w:hAnsi="Arial"/>
          <w:sz w:val="18"/>
          <w:szCs w:val="18"/>
          <w:color w:val="auto"/>
        </w:rPr>
      </w:pPr>
    </w:p>
    <w:p>
      <w:pPr>
        <w:ind w:left="1480" w:right="360" w:hanging="446"/>
        <w:spacing w:after="0" w:line="332" w:lineRule="auto"/>
        <w:tabs>
          <w:tab w:leader="none" w:pos="1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where appropriate,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Market and credit risks related to our investing activities are discussed under “Critical Accounting Policies and Estimates—Investments”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June 30, 2013, total receivables amounted to $525 million, net of an allowance for doubtful accounts of $25 million. As of that date, Financial Advisory and Asset Management fees, and customer and related party receivables comprised 75%, 22% and 3% of total receivables, respectively. At December 31, 2012, total receivables amounted to $478 million, net of an allowance for doubtful accounts of $23 million. As of that date, Financial Advisory and Asset Management fees, and customer and related party receivables comprised 84%, 11% and 5% of total receivables, respectively. At June 30, 2013 and December 31, 2012, the Company had receivables past due or deemed uncollectible of approximately $28 million and $26 million, respectively. See also “Critical Accounting Policies and Estimates—Revenue Recognition” above and Note 3 of Notes to Condensed Consolidated Financial Statements for additional information regarding receivables.</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LFB engages in lending activities, including commitments to extend credit. At June 30, 2013 and December 31, 2012, customer receivables included $17 million and $14 million of LFB loans, respectively. Such loans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closely monitored for counterparty creditworthiness to help minimize exposure. In addition, as of June 30, 2013, LFB’s commitments to lend, which are fully collateralized and generally contain requirements for the counterparty to maintain a minimum collateral level, were not significant.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and, in addition, LFB has in place concentration risk limits. At June 30, 2013, excluding inter-bank counterparties, LFB had no exposure to an individual counterparty that exceeded $6 million. With respect to activities outside LFB, as of June 30, 2013 the Company’s largest individual counterparty exposure was a Financial Advisory fee receivable of $15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seed investments related to our Asset Management business. Derivative contracts are recorded at fair value. Derivative assets amounted to $7 million and $1 million at June 30, 2013 and December 31, 2012, respectively, and derivative liabilities, excluding the derivative liability arising from the Company’s obligation pertaining to Lazard Fund Interests and other similar deferred compensation arrangements, amounted to $1 million and $5 million at such respective dates.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currently expected to be delivered upon settlement of Lazard Fund Interests awards. Derivative liabilities relating to Lazard Fund Interests amounted to $151 million and $98 million at June 30, 2013 and December 31, 2012, respectively.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June 30, 2013, we do not believe that the impact of potential significant movements in either the currency or interest rate markets on LFB’s positions would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June 30, 2013, Lazard estimates that its annual operating income relating to cash and short-term investments and corporate indebtedness would increase by approximately $6 million in the event interest rates were to increase by 1% and decrease by approximately $2 million if rates were to decrease by 1%.</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June 30, 2013, the Company’s cash and cash equivalents totaled approximately $601 million. Substantially all of the Company’s cash and cash equivalents were invested in highly liquid institutional money market funds (a significant majority of which were invested solely in U.S. Government or agency money market funds), in short-term interest earning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On May 13, 2013, Lazard Ltd issued 839,658 shares of Class A common stock in reliance on Section 4(2) of the Securities Act of 1933 in connection with the exchange of 839,658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second quarter of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5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54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Price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54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6320" w:type="dxa"/>
            <w:vAlign w:val="bottom"/>
            <w:vMerge w:val="restart"/>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per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54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6320" w:type="dxa"/>
            <w:vAlign w:val="bottom"/>
            <w:vMerge w:val="continue"/>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540" w:type="dxa"/>
            <w:vAlign w:val="bottom"/>
          </w:tcPr>
          <w:p>
            <w:pPr>
              <w:spacing w:after="0"/>
              <w:rPr>
                <w:sz w:val="14"/>
                <w:szCs w:val="14"/>
                <w:color w:val="auto"/>
              </w:rPr>
            </w:pPr>
          </w:p>
        </w:tc>
        <w:tc>
          <w:tcPr>
            <w:tcW w:w="104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Share</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Programs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6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April 1, 2013 – April 30, 2013</w:t>
            </w: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Share Repurchase Program (1)</w:t>
            </w:r>
          </w:p>
        </w:tc>
        <w:tc>
          <w:tcPr>
            <w:tcW w:w="640" w:type="dxa"/>
            <w:vAlign w:val="bottom"/>
          </w:tcPr>
          <w:p>
            <w:pPr>
              <w:jc w:val="right"/>
              <w:spacing w:after="0"/>
              <w:rPr>
                <w:sz w:val="20"/>
                <w:szCs w:val="20"/>
                <w:color w:val="auto"/>
              </w:rPr>
            </w:pPr>
            <w:r>
              <w:rPr>
                <w:rFonts w:ascii="Arial" w:cs="Arial" w:eastAsia="Arial" w:hAnsi="Arial"/>
                <w:sz w:val="18"/>
                <w:szCs w:val="18"/>
                <w:color w:val="auto"/>
              </w:rPr>
              <w:t>15,500</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33.39</w:t>
            </w:r>
          </w:p>
        </w:tc>
        <w:tc>
          <w:tcPr>
            <w:tcW w:w="820" w:type="dxa"/>
            <w:vAlign w:val="bottom"/>
          </w:tcPr>
          <w:p>
            <w:pPr>
              <w:jc w:val="right"/>
              <w:spacing w:after="0"/>
              <w:rPr>
                <w:sz w:val="20"/>
                <w:szCs w:val="20"/>
                <w:color w:val="auto"/>
              </w:rPr>
            </w:pPr>
            <w:r>
              <w:rPr>
                <w:rFonts w:ascii="Arial" w:cs="Arial" w:eastAsia="Arial" w:hAnsi="Arial"/>
                <w:sz w:val="18"/>
                <w:szCs w:val="18"/>
                <w:color w:val="auto"/>
              </w:rPr>
              <w:t>15,500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123.4 million</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Transactions (2)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35.82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May 1, 2013 – May 31, 2013</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 Repurchase Program (1)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588,000</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33.61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103.6 million</w:t>
            </w:r>
          </w:p>
        </w:tc>
        <w:tc>
          <w:tcPr>
            <w:tcW w:w="0" w:type="dxa"/>
            <w:vAlign w:val="bottom"/>
          </w:tcPr>
          <w:p>
            <w:pPr>
              <w:spacing w:after="0"/>
              <w:rPr>
                <w:sz w:val="1"/>
                <w:szCs w:val="1"/>
                <w:color w:val="auto"/>
              </w:rPr>
            </w:pPr>
          </w:p>
        </w:tc>
      </w:tr>
      <w:tr>
        <w:trPr>
          <w:trHeight w:val="216"/>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Employee Transactions (2)</w:t>
            </w:r>
          </w:p>
        </w:tc>
        <w:tc>
          <w:tcPr>
            <w:tcW w:w="640" w:type="dxa"/>
            <w:vAlign w:val="bottom"/>
          </w:tcPr>
          <w:p>
            <w:pPr>
              <w:jc w:val="right"/>
              <w:spacing w:after="0"/>
              <w:rPr>
                <w:sz w:val="20"/>
                <w:szCs w:val="20"/>
                <w:color w:val="auto"/>
              </w:rPr>
            </w:pPr>
            <w:r>
              <w:rPr>
                <w:rFonts w:ascii="Arial" w:cs="Arial" w:eastAsia="Arial" w:hAnsi="Arial"/>
                <w:sz w:val="18"/>
                <w:szCs w:val="18"/>
                <w:color w:val="auto"/>
              </w:rPr>
              <w:t>13,757</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32.67</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1, 2013 – June 30, 2013</w:t>
            </w: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Share Repurchase Program (1)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103.6 million</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Transactions (2)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62,485</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33.50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 Repurchase Program (1)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603,500</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33.60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103.6 million</w:t>
            </w:r>
          </w:p>
        </w:tc>
        <w:tc>
          <w:tcPr>
            <w:tcW w:w="0" w:type="dxa"/>
            <w:vAlign w:val="bottom"/>
          </w:tcPr>
          <w:p>
            <w:pPr>
              <w:spacing w:after="0"/>
              <w:rPr>
                <w:sz w:val="1"/>
                <w:szCs w:val="1"/>
                <w:color w:val="auto"/>
              </w:rPr>
            </w:pPr>
          </w:p>
        </w:tc>
      </w:tr>
      <w:tr>
        <w:trPr>
          <w:trHeight w:val="222"/>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Employee Transactions (2)</w:t>
            </w:r>
          </w:p>
        </w:tc>
        <w:tc>
          <w:tcPr>
            <w:tcW w:w="640" w:type="dxa"/>
            <w:vAlign w:val="bottom"/>
          </w:tcPr>
          <w:p>
            <w:pPr>
              <w:jc w:val="right"/>
              <w:spacing w:after="0"/>
              <w:rPr>
                <w:sz w:val="20"/>
                <w:szCs w:val="20"/>
                <w:color w:val="auto"/>
              </w:rPr>
            </w:pPr>
            <w:r>
              <w:rPr>
                <w:rFonts w:ascii="Arial" w:cs="Arial" w:eastAsia="Arial" w:hAnsi="Arial"/>
                <w:sz w:val="18"/>
                <w:szCs w:val="18"/>
                <w:color w:val="auto"/>
              </w:rPr>
              <w:t>84,222</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33.58</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86"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disclosed in more detail in Note 11 of Notes to Condensed Consolidated Financial Statements, in February 2011, October 2011, April 2012 and October 2012, the Board of Directors of Lazard Ltd authorized, on a cumulative basis, the repurchase of up to an additional $250 million, $125 million,</w:t>
      </w:r>
    </w:p>
    <w:p>
      <w:pPr>
        <w:ind w:left="460" w:right="420"/>
        <w:spacing w:after="0" w:line="255" w:lineRule="auto"/>
        <w:rPr>
          <w:rFonts w:ascii="Arial" w:cs="Arial" w:eastAsia="Arial" w:hAnsi="Arial"/>
          <w:sz w:val="16"/>
          <w:szCs w:val="16"/>
          <w:color w:val="auto"/>
        </w:rPr>
      </w:pPr>
      <w:r>
        <w:rPr>
          <w:rFonts w:ascii="Arial" w:cs="Arial" w:eastAsia="Arial" w:hAnsi="Arial"/>
          <w:sz w:val="18"/>
          <w:szCs w:val="18"/>
          <w:color w:val="auto"/>
        </w:rPr>
        <w:t>$125 million and $200 million, respectively, in aggregate cost of Lazard Ltd Class A common stock and Lazard Group common membership interests through December 31, 2012, December 31, 2013, December 31, 2013 and December 31, 2014, respectively. The share repurchase program is used primarily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to offset a portion of the shares to be issued under the 2005 Plan and the 2008 Plan. Purchases under the share repurchase program may be made in the open market or through privately negotiated transactions. Amounts shown in this line item include repurchases of Class A common stock (no Lazard Group common membership interests were purchased during the second quarter of 2013) and exclude the shares of Class A common stock withheld by the Company to meet the minimum statutory tax withholding requirements as described below.</w:t>
      </w:r>
    </w:p>
    <w:p>
      <w:pPr>
        <w:spacing w:after="0" w:line="3" w:lineRule="exact"/>
        <w:rPr>
          <w:sz w:val="20"/>
          <w:szCs w:val="20"/>
          <w:color w:val="auto"/>
        </w:rPr>
      </w:pPr>
    </w:p>
    <w:p>
      <w:pPr>
        <w:ind w:left="460" w:right="40" w:hanging="452"/>
        <w:spacing w:after="0" w:line="300"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Under the terms of the 2005 Plan and the 2008 Plan, upon the vesting of RSUs, PRSUs and delivery of restricted Class A common stock, shares of Class A common stock may be withheld by the Company to meet the minimum statutory tax withholding requirements. During the three month period ended June 30, 2013, the Company satisfied such obligations in lieu of issuing (i) 78,615 shares of Class A common stock upon the vesting of 321,255 RSUs and (ii)</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5,607 shares of Class A common stock upon the vesting of 11,846 shares of restricted Class A common stock.</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6"/>
              </w:rPr>
              <w:t>First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(incorporated by reference to Exhibit 4.2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560" w:type="dxa"/>
            <w:vAlign w:val="bottom"/>
          </w:tcPr>
          <w:p>
            <w:pPr>
              <w:ind w:left="480"/>
              <w:spacing w:after="0"/>
              <w:rPr>
                <w:sz w:val="20"/>
                <w:szCs w:val="20"/>
                <w:color w:val="auto"/>
              </w:rPr>
            </w:pPr>
            <w:r>
              <w:rPr>
                <w:rFonts w:ascii="Arial" w:cs="Arial" w:eastAsia="Arial" w:hAnsi="Arial"/>
                <w:sz w:val="18"/>
                <w:szCs w:val="18"/>
                <w:color w:val="auto"/>
              </w:rPr>
              <w:t>Form of Senior Notes (included in Exhibits 4.3 and 4.4).</w:t>
            </w:r>
          </w:p>
        </w:tc>
      </w:tr>
      <w:tr>
        <w:trPr>
          <w:trHeight w:val="365"/>
        </w:trPr>
        <w:tc>
          <w:tcPr>
            <w:tcW w:w="78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5"/>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and Consent, dated February 9, 2009, to the Business Alliance Agreement, dated as of May 10, 2005, by and between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Group LLC and LFCM Holdings LLC (incorporated by reference to Exhibit 10.12 to the Registrant’s Annual Report (File No. 001-32492) on</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reference to Exhibit 10.16 to the Registrant’s Registration Statement (File No. 333-121407) on Form S-1/A filed on February 11, 2005).</w:t>
            </w:r>
          </w:p>
        </w:tc>
      </w:tr>
      <w:tr>
        <w:trPr>
          <w:trHeight w:val="365"/>
        </w:trPr>
        <w:tc>
          <w:tcPr>
            <w:tcW w:w="840" w:type="dxa"/>
            <w:vAlign w:val="bottom"/>
          </w:tcPr>
          <w:p>
            <w:pPr>
              <w:spacing w:after="0"/>
              <w:rPr>
                <w:sz w:val="24"/>
                <w:szCs w:val="24"/>
                <w:color w:val="auto"/>
              </w:rPr>
            </w:pPr>
          </w:p>
        </w:tc>
        <w:tc>
          <w:tcPr>
            <w:tcW w:w="10500" w:type="dxa"/>
            <w:vAlign w:val="bottom"/>
          </w:tcPr>
          <w:p>
            <w:pPr>
              <w:ind w:left="478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Schedule I for, Scott D. Hoffman (incorporated by reference to Exhibit 10.26 to the Registrant’s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May 4, 2005, for Scott D. Hoffman (incorporated by reference to Exhibit 10.2 to the Registrant’s Current Report on Form 8-K (File No. 001-</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32492)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23, 2011, to the Agreement Relating to Retention and Noncompetition and Other Covenants, dated as of May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4, 2005 and amended as of May 7, 2008, for Scott D. Hoffman (incorporated by reference to Exhibit 10.25 to the Registrant’s Quarterly Report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the Registrant’s Annual Report (File No. 001-32492) on Form 10-K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10.41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10.42 to the Registrant’s Annual Report (File No. 001-32492) on Form 10-K filed on March 2, 2009).</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Plan (incorporated by reference to Exhibit 10.43 to the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Senior Revolving Credit Agreement, dated as of September 25, 2012, among Lazard Group LLC, the Banks from time to time parties thereto,</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Citibank, N.A., as Administrative Agent (incorporated by reference to Exhibit 10.47 to the Registrant’s Quarterly Report (File No. 001-</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32492) on Form 10-Q filed on November 1,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10.53 to the Registrant’s Quarterly Report (File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No. 001-32492) on Form 10-Q filed on 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10.56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of March 18, 2005 and amended on March 23, 2010, among the Registrant, Lazard Group LLC and Kenneth M. Jacobs (incorporated by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10.52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March 15, 2005 and amended on August 2, 2011, among the Registrant, Lazard Group LLC and Ashish Bhutani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10.50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October 4, 2004 and amended on April 1, 2011, among the Registrant, Lazard Group LLC and Matthieu Bucaille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10.51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10.51*</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May 4, 2005 and amended on May 7, 2008 and February 23, 2011, among the Registrant, Lazard Group LLC and Scott D. Hoffman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10.52 to the Registrant’s Quarterly Report (File No. 001-32492) on Form 10-Q filed on April 30, 2013).</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10.52*</w:t>
            </w:r>
          </w:p>
        </w:tc>
        <w:tc>
          <w:tcPr>
            <w:tcW w:w="10400" w:type="dxa"/>
            <w:vAlign w:val="bottom"/>
          </w:tcPr>
          <w:p>
            <w:pPr>
              <w:ind w:left="300"/>
              <w:spacing w:after="0"/>
              <w:rPr>
                <w:sz w:val="20"/>
                <w:szCs w:val="20"/>
                <w:color w:val="auto"/>
              </w:rPr>
            </w:pPr>
            <w:r>
              <w:rPr>
                <w:rFonts w:ascii="Arial" w:cs="Arial" w:eastAsia="Arial" w:hAnsi="Arial"/>
                <w:sz w:val="18"/>
                <w:szCs w:val="18"/>
                <w:color w:val="auto"/>
                <w:w w:val="87"/>
              </w:rPr>
              <w:t>Second Amendment, dated as of March 14, 2013, to the Agreement Relating to Retention and Noncompetition and Other Covenants dated as of</w:t>
            </w:r>
          </w:p>
        </w:tc>
      </w:tr>
      <w:tr>
        <w:trPr>
          <w:trHeight w:val="216"/>
        </w:trPr>
        <w:tc>
          <w:tcPr>
            <w:tcW w:w="960" w:type="dxa"/>
            <w:vAlign w:val="bottom"/>
          </w:tcPr>
          <w:p>
            <w:pPr>
              <w:spacing w:after="0"/>
              <w:rPr>
                <w:sz w:val="18"/>
                <w:szCs w:val="18"/>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87"/>
              </w:rPr>
              <w:t>October 4, 2004 and amended on March 23, 2010, among the Registrant, Lazard Group LLC and Alexander F. Stern (incorporated by reference</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to Exhibit 10.53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10.53*</w:t>
            </w:r>
          </w:p>
        </w:tc>
        <w:tc>
          <w:tcPr>
            <w:tcW w:w="10400" w:type="dxa"/>
            <w:vAlign w:val="bottom"/>
          </w:tcPr>
          <w:p>
            <w:pPr>
              <w:ind w:left="300"/>
              <w:spacing w:after="0"/>
              <w:rPr>
                <w:sz w:val="20"/>
                <w:szCs w:val="20"/>
                <w:color w:val="auto"/>
              </w:rPr>
            </w:pPr>
            <w:r>
              <w:rPr>
                <w:rFonts w:ascii="Arial" w:cs="Arial" w:eastAsia="Arial" w:hAnsi="Arial"/>
                <w:sz w:val="18"/>
                <w:szCs w:val="18"/>
                <w:color w:val="auto"/>
                <w:w w:val="92"/>
              </w:rPr>
              <w:t>Form of Agreement evidencing a grant of Performance-Based Stock Units under the 2008 Incentive Compensation Plan (incorporated by</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reference to Exhibit 10.54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10.54*</w:t>
            </w: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Lazard Fund Interests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10.55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10.55*</w:t>
            </w: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Restricted Stock Units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10.56 to the Registrant’s Quarterly Report (File No. 001-32492) on Form 10-Q filed on April 30, 2013).</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12.1</w:t>
            </w:r>
          </w:p>
        </w:tc>
        <w:tc>
          <w:tcPr>
            <w:tcW w:w="1040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31.1</w:t>
            </w:r>
          </w:p>
        </w:tc>
        <w:tc>
          <w:tcPr>
            <w:tcW w:w="1040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31.2</w:t>
            </w:r>
          </w:p>
        </w:tc>
        <w:tc>
          <w:tcPr>
            <w:tcW w:w="1040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32.1</w:t>
            </w:r>
          </w:p>
        </w:tc>
        <w:tc>
          <w:tcPr>
            <w:tcW w:w="1040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32.2</w:t>
            </w:r>
          </w:p>
        </w:tc>
        <w:tc>
          <w:tcPr>
            <w:tcW w:w="1040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Matthieu Bucaille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Financial Officer</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Dominick Ragone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13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gridSpan w:val="6"/>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right"/>
              <w:ind w:right="700"/>
              <w:spacing w:after="0" w:line="155" w:lineRule="exact"/>
              <w:rPr>
                <w:sz w:val="20"/>
                <w:szCs w:val="20"/>
                <w:color w:val="auto"/>
              </w:rPr>
            </w:pPr>
            <w:r>
              <w:rPr>
                <w:rFonts w:ascii="Arial" w:cs="Arial" w:eastAsia="Arial" w:hAnsi="Arial"/>
                <w:sz w:val="14"/>
                <w:szCs w:val="14"/>
                <w:b w:val="1"/>
                <w:bCs w:val="1"/>
                <w:color w:val="auto"/>
                <w:w w:val="84"/>
              </w:rPr>
              <w:t>(dollars in thousands)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123,885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235,499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243,650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(182,234)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53,074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106,470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110,919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117,119</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127,398</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160,154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115,609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230,355</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346,418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360,769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(54,836)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185,294</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40,466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97,709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107,890</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19,508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20,255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106,470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110,919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117,119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127,398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160,154</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46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2.18(d)</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2.16(e)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3.08(f)</w:t>
            </w:r>
          </w:p>
        </w:tc>
        <w:tc>
          <w:tcPr>
            <w:tcW w:w="1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1.16(h)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Deficiency in the coverage of operating income (loss)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fixed charges to total fixed charges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182,234</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100" w:hanging="452"/>
        <w:spacing w:after="0" w:line="357" w:lineRule="auto"/>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Operating income for the six month period ended June 30, 2013 is presented after giving effect to a charge of $64,703 associated with the cost saving initiatives announced by the Company in October, 2012. Excluding the impact of such charge, the ratio of earnings to fixed charges would have been 3.40.</w:t>
      </w:r>
    </w:p>
    <w:p>
      <w:pPr>
        <w:ind w:left="460" w:right="160" w:hanging="452"/>
        <w:spacing w:after="0" w:line="323" w:lineRule="auto"/>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3.36.</w:t>
      </w:r>
    </w:p>
    <w:p>
      <w:pPr>
        <w:spacing w:after="0" w:line="16" w:lineRule="exact"/>
        <w:rPr>
          <w:rFonts w:ascii="Arial" w:cs="Arial" w:eastAsia="Arial" w:hAnsi="Arial"/>
          <w:sz w:val="15"/>
          <w:szCs w:val="15"/>
          <w:color w:val="auto"/>
        </w:rPr>
      </w:pPr>
    </w:p>
    <w:p>
      <w:pPr>
        <w:jc w:val="both"/>
        <w:ind w:left="460" w:right="220" w:hanging="452"/>
        <w:spacing w:after="0" w:line="306"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items, the ratio of earnings to fixed charges would have been 3.96.</w:t>
      </w:r>
    </w:p>
    <w:p>
      <w:pPr>
        <w:sectPr>
          <w:pgSz w:w="11900" w:h="16838" w:orient="portrait"/>
          <w:cols w:equalWidth="0" w:num="1">
            <w:col w:w="11420"/>
          </w:cols>
          <w:pgMar w:left="240" w:top="125" w:right="239" w:bottom="1440" w:gutter="0" w:footer="0" w:header="0"/>
        </w:sectPr>
      </w:pPr>
    </w:p>
    <w:bookmarkStart w:id="87" w:name="page88"/>
    <w:bookmarkEnd w:id="87"/>
    <w:p>
      <w:pPr>
        <w:ind w:left="452" w:hanging="452"/>
        <w:spacing w:after="0" w:line="298" w:lineRule="auto"/>
        <w:tabs>
          <w:tab w:leader="none" w:pos="452"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392"/>
          </w:cols>
          <w:pgMar w:left="248" w:top="280" w:right="25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2013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2013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30,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30,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2"/>
    </w:lvl>
  </w:abstractNum>
  <w:abstractNum w:abstractNumId="7">
    <w:nsid w:val="2463B9EA"/>
    <w:multiLevelType w:val="hybridMultilevel"/>
    <w:lvl w:ilvl="0">
      <w:lvlJc w:val="left"/>
      <w:lvlText w:val="%1."/>
      <w:numFmt w:val="decimal"/>
      <w:start w:val="3"/>
    </w:lvl>
  </w:abstractNum>
  <w:abstractNum w:abstractNumId="8">
    <w:nsid w:val="5E884ADC"/>
    <w:multiLevelType w:val="hybridMultilevel"/>
    <w:lvl w:ilvl="0">
      <w:lvlJc w:val="left"/>
      <w:lvlText w:val="%1."/>
      <w:numFmt w:val="decimal"/>
      <w:start w:val="4"/>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lowerRoman"/>
      <w:start w:val="3"/>
    </w:lvl>
  </w:abstractNum>
  <w:abstractNum w:abstractNumId="11">
    <w:nsid w:val="580BD78F"/>
    <w:multiLevelType w:val="hybridMultilevel"/>
    <w:lvl w:ilvl="0">
      <w:lvlJc w:val="left"/>
      <w:lvlText w:val="%1."/>
      <w:numFmt w:val="decimal"/>
      <w:start w:val="5"/>
    </w:lvl>
  </w:abstractNum>
  <w:abstractNum w:abstractNumId="12">
    <w:nsid w:val="153EA438"/>
    <w:multiLevelType w:val="hybridMultilevel"/>
    <w:lvl w:ilvl="0">
      <w:lvlJc w:val="left"/>
      <w:lvlText w:val="(%1)"/>
      <w:numFmt w:val="lowerLetter"/>
      <w:start w:val="1"/>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decimal"/>
      <w:start w:val="6"/>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1."/>
      <w:numFmt w:val="decimal"/>
      <w:start w:val="7"/>
    </w:lvl>
  </w:abstractNum>
  <w:abstractNum w:abstractNumId="18">
    <w:nsid w:val="725A06FB"/>
    <w:multiLevelType w:val="hybridMultilevel"/>
    <w:lvl w:ilvl="0">
      <w:lvlJc w:val="left"/>
      <w:lvlText w:val="%1."/>
      <w:numFmt w:val="decimal"/>
      <w:start w:val="8"/>
    </w:lvl>
  </w:abstractNum>
  <w:abstractNum w:abstractNumId="19">
    <w:nsid w:val="2CD89A32"/>
    <w:multiLevelType w:val="hybridMultilevel"/>
    <w:lvl w:ilvl="0">
      <w:lvlJc w:val="left"/>
      <w:lvlText w:val="%1"/>
      <w:numFmt w:val="decimal"/>
      <w:start w:val="1"/>
    </w:lvl>
    <w:lvl w:ilvl="1">
      <w:lvlJc w:val="left"/>
      <w:lvlText w:val="(%2)"/>
      <w:numFmt w:val="lowerLetter"/>
      <w:start w:val="1"/>
    </w:lvl>
  </w:abstractNum>
  <w:abstractNum w:abstractNumId="20">
    <w:nsid w:val="57E4CCAF"/>
    <w:multiLevelType w:val="hybridMultilevel"/>
    <w:lvl w:ilvl="0">
      <w:lvlJc w:val="left"/>
      <w:lvlText w:val="%1."/>
      <w:numFmt w:val="decimal"/>
      <w:start w:val="9"/>
    </w:lvl>
    <w:lvl w:ilvl="1">
      <w:lvlJc w:val="left"/>
      <w:lvlText w:val="%2"/>
      <w:numFmt w:val="lowerLetter"/>
      <w:start w:val="1"/>
    </w:lvl>
  </w:abstractNum>
  <w:abstractNum w:abstractNumId="21">
    <w:nsid w:val="7A6D8D3C"/>
    <w:multiLevelType w:val="hybridMultilevel"/>
    <w:lvl w:ilvl="0">
      <w:lvlJc w:val="left"/>
      <w:lvlText w:val="%1."/>
      <w:numFmt w:val="decimal"/>
      <w:start w:val="10"/>
    </w:lvl>
  </w:abstractNum>
  <w:abstractNum w:abstractNumId="22">
    <w:nsid w:val="4B588F54"/>
    <w:multiLevelType w:val="hybridMultilevel"/>
    <w:lvl w:ilvl="0">
      <w:lvlJc w:val="left"/>
      <w:lvlText w:val="%1."/>
      <w:numFmt w:val="decimal"/>
      <w:start w:val="11"/>
    </w:lvl>
  </w:abstractNum>
  <w:abstractNum w:abstractNumId="23">
    <w:nsid w:val="542289EC"/>
    <w:multiLevelType w:val="hybridMultilevel"/>
    <w:lvl w:ilvl="0">
      <w:lvlJc w:val="left"/>
      <w:lvlText w:val="(%1)"/>
      <w:numFmt w:val="lowerLetter"/>
      <w:start w:val="1"/>
    </w:lvl>
  </w:abstractNum>
  <w:abstractNum w:abstractNumId="24">
    <w:nsid w:val="6DE91B18"/>
    <w:multiLevelType w:val="hybridMultilevel"/>
    <w:lvl w:ilvl="0">
      <w:lvlJc w:val="left"/>
      <w:lvlText w:val="%1."/>
      <w:numFmt w:val="decimal"/>
      <w:start w:val="12"/>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1."/>
      <w:numFmt w:val="decimal"/>
      <w:start w:val="13"/>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decimal"/>
      <w:start w:val="14"/>
    </w:lvl>
  </w:abstractNum>
  <w:abstractNum w:abstractNumId="30">
    <w:nsid w:val="749ABB43"/>
    <w:multiLevelType w:val="hybridMultilevel"/>
    <w:lvl w:ilvl="0">
      <w:lvlJc w:val="left"/>
      <w:lvlText w:val="%1."/>
      <w:numFmt w:val="decimal"/>
      <w:start w:val="15"/>
    </w:lvl>
  </w:abstractNum>
  <w:abstractNum w:abstractNumId="31">
    <w:nsid w:val="3DC240FB"/>
    <w:multiLevelType w:val="hybridMultilevel"/>
    <w:lvl w:ilvl="0">
      <w:lvlJc w:val="left"/>
      <w:lvlText w:val="%1."/>
      <w:numFmt w:val="decimal"/>
      <w:start w:val="16"/>
    </w:lvl>
  </w:abstractNum>
  <w:abstractNum w:abstractNumId="32">
    <w:nsid w:val="1BA026FA"/>
    <w:multiLevelType w:val="hybridMultilevel"/>
    <w:lvl w:ilvl="0">
      <w:lvlJc w:val="left"/>
      <w:lvlText w:val="%1."/>
      <w:numFmt w:val="decimal"/>
      <w:start w:val="17"/>
    </w:lvl>
  </w:abstractNum>
  <w:abstractNum w:abstractNumId="33">
    <w:nsid w:val="79A1DEAA"/>
    <w:multiLevelType w:val="hybridMultilevel"/>
    <w:lvl w:ilvl="0">
      <w:lvlJc w:val="left"/>
      <w:lvlText w:val="%1."/>
      <w:numFmt w:val="decimal"/>
      <w:start w:val="18"/>
    </w:lvl>
  </w:abstractNum>
  <w:abstractNum w:abstractNumId="34">
    <w:nsid w:val="75C6C33A"/>
    <w:multiLevelType w:val="hybridMultilevel"/>
    <w:lvl w:ilvl="0">
      <w:lvlJc w:val="left"/>
      <w:lvlText w:val="%1."/>
      <w:numFmt w:val="decimal"/>
      <w:start w:val="19"/>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lowerRoman"/>
      <w:start w:val="1"/>
    </w:lvl>
  </w:abstractNum>
  <w:abstractNum w:abstractNumId="42">
    <w:nsid w:val="275AC794"/>
    <w:multiLevelType w:val="hybridMultilevel"/>
    <w:lvl w:ilvl="0">
      <w:lvlJc w:val="left"/>
      <w:lvlText w:val="(%1)"/>
      <w:numFmt w:val="lowerRoman"/>
      <w:start w:val="3"/>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1"/>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2"/>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1)"/>
      <w:numFmt w:val="lowerLetter"/>
      <w:start w:val="3"/>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lowerLetter"/>
      <w:start w:val="4"/>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2"/>
    </w:lvl>
  </w:abstractNum>
  <w:abstractNum w:abstractNumId="65">
    <w:nsid w:val="1381823A"/>
    <w:multiLevelType w:val="hybridMultilevel"/>
    <w:lvl w:ilvl="0">
      <w:lvlJc w:val="left"/>
      <w:lvlText w:val="(%1)"/>
      <w:numFmt w:val="lowerLetter"/>
      <w:start w:val="1"/>
    </w:lvl>
    <w:lvl w:ilvl="1">
      <w:lvlJc w:val="left"/>
      <w:lvlText w:val="•"/>
      <w:numFmt w:val="bullet"/>
      <w:start w:val="1"/>
    </w:lvl>
  </w:abstractNum>
  <w:abstractNum w:abstractNumId="66">
    <w:nsid w:val="5DB70AE5"/>
    <w:multiLevelType w:val="hybridMultilevel"/>
    <w:lvl w:ilvl="0">
      <w:lvlJc w:val="left"/>
      <w:lvlText w:val="(%1)"/>
      <w:numFmt w:val="lowerLetter"/>
      <w:start w:val="7"/>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2019-12-07T09:30:40Z</dcterms:created>
  <dcterms:modified xsi:type="dcterms:W3CDTF">2019-12-07T09:30:40Z</dcterms:modified>
</cp:coreProperties>
</file>