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36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320"/>
        </w:trPr>
        <w:tc>
          <w:tcPr>
            <w:tcW w:w="23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001-32492</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0"/>
        </w:trPr>
        <w:tc>
          <w:tcPr>
            <w:tcW w:w="2920" w:type="dxa"/>
            <w:vAlign w:val="bottom"/>
            <w:gridSpan w:val="2"/>
          </w:tcPr>
          <w:p>
            <w:pPr>
              <w:jc w:val="center"/>
              <w:ind w:left="696"/>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-335915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LAZARD LTD</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00"/>
          </w:cols>
          <w:pgMar w:left="240" w:top="592" w:right="259" w:bottom="1440" w:gutter="0" w:footer="0" w:header="0"/>
        </w:sectPr>
      </w:pPr>
    </w:p>
    <w:p>
      <w:pPr>
        <w:spacing w:after="0" w:line="24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98-0437848</w:t>
      </w:r>
    </w:p>
    <w:p>
      <w:pPr>
        <w:spacing w:after="0" w:line="31" w:lineRule="exact"/>
        <w:rPr>
          <w:sz w:val="24"/>
          <w:szCs w:val="24"/>
          <w:color w:val="auto"/>
        </w:rPr>
      </w:pPr>
    </w:p>
    <w:p>
      <w:pPr>
        <w:sectPr>
          <w:pgSz w:w="11900" w:h="16838" w:orient="portrait"/>
          <w:cols w:equalWidth="0" w:num="2">
            <w:col w:w="7480" w:space="720"/>
            <w:col w:w="3200"/>
          </w:cols>
          <w:pgMar w:left="240" w:top="592" w:right="259" w:bottom="1440" w:gutter="0" w:footer="0" w:header="0"/>
          <w:type w:val="continuous"/>
        </w:sect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45" w:lineRule="exact"/>
        <w:rPr>
          <w:sz w:val="24"/>
          <w:szCs w:val="24"/>
          <w:color w:val="auto"/>
        </w:rPr>
      </w:pPr>
    </w:p>
    <w:p>
      <w:pPr>
        <w:sectPr>
          <w:pgSz w:w="11900" w:h="16838" w:orient="portrait"/>
          <w:cols w:equalWidth="0" w:num="2">
            <w:col w:w="6820" w:space="720"/>
            <w:col w:w="3860"/>
          </w:cols>
          <w:pgMar w:left="240" w:top="592"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 Church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Hamilton HM11, Bermuda</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400"/>
          </w:cols>
          <w:pgMar w:left="240" w:top="592" w:right="259" w:bottom="1440" w:gutter="0" w:footer="0" w:header="0"/>
          <w:type w:val="continuous"/>
        </w:sectPr>
      </w:pP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(441) 295-1422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60" w:firstLine="51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340" w:firstLine="51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58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2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2" w:lineRule="exact"/>
        <w:rPr>
          <w:sz w:val="24"/>
          <w:szCs w:val="24"/>
          <w:color w:val="auto"/>
        </w:rPr>
      </w:pPr>
    </w:p>
    <w:p>
      <w:pPr>
        <w:ind w:right="6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spacing w:after="0" w:line="184" w:lineRule="exact"/>
        <w:tabs>
          <w:tab w:leader="none" w:pos="7860" w:val="left"/>
          <w:tab w:leader="none" w:pos="8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April 19, 2019, there were 129,766,091 shares of the Registrant’s Class A common stock outstanding (including 19,363,492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762635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92" w:right="2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March 31, 2019 of all of the common membership interests in Lazard Group and its controlling interest in Lazard Group.</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260" w:type="dxa"/>
            <w:vAlign w:val="bottom"/>
            <w:gridSpan w:val="5"/>
            <w:vMerge w:val="restart"/>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Financial Information</w:t>
              </w:r>
            </w:hyperlink>
          </w:p>
        </w:tc>
        <w:tc>
          <w:tcPr>
            <w:tcW w:w="8280" w:type="dxa"/>
            <w:vAlign w:val="bottom"/>
            <w:gridSpan w:val="9"/>
            <w:vMerge w:val="restart"/>
          </w:tcPr>
          <w:p>
            <w:pPr>
              <w:spacing w:after="0"/>
              <w:rPr>
                <w:sz w:val="15"/>
                <w:szCs w:val="15"/>
                <w:color w:val="auto"/>
              </w:rPr>
            </w:pP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280" w:type="dxa"/>
            <w:vAlign w:val="bottom"/>
            <w:gridSpan w:val="9"/>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29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Item 1. Financial Statements (Unaudited)</w:t>
              </w:r>
            </w:hyperlink>
          </w:p>
        </w:tc>
        <w:tc>
          <w:tcPr>
            <w:tcW w:w="7120" w:type="dxa"/>
            <w:vAlign w:val="bottom"/>
            <w:gridSpan w:val="4"/>
          </w:tcPr>
          <w:p>
            <w:pPr>
              <w:spacing w:after="0"/>
              <w:rPr>
                <w:sz w:val="24"/>
                <w:szCs w:val="24"/>
                <w:color w:val="auto"/>
              </w:rPr>
            </w:pPr>
          </w:p>
        </w:tc>
        <w:tc>
          <w:tcPr>
            <w:tcW w:w="6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7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30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Item 3. Quantitative and Qualitative Disclosures About Market Risk</w:t>
              </w:r>
            </w:hyperlink>
          </w:p>
        </w:tc>
        <w:tc>
          <w:tcPr>
            <w:tcW w:w="51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4. Controls and Procedures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40" w:type="dxa"/>
            <w:vAlign w:val="bottom"/>
            <w:gridSpan w:val="14"/>
          </w:tcPr>
          <w:p>
            <w:pPr>
              <w:spacing w:after="0"/>
              <w:rPr>
                <w:rFonts w:ascii="Times New Roman" w:cs="Times New Roman" w:eastAsia="Times New Roman" w:hAnsi="Times New Roman"/>
                <w:sz w:val="18"/>
                <w:szCs w:val="18"/>
                <w:b w:val="1"/>
                <w:bCs w:val="1"/>
                <w:color w:val="0000EE"/>
              </w:rPr>
            </w:pPr>
            <w:hyperlink w:anchor="page66">
              <w:r>
                <w:rPr>
                  <w:rFonts w:ascii="Times New Roman" w:cs="Times New Roman" w:eastAsia="Times New Roman" w:hAnsi="Times New Roman"/>
                  <w:sz w:val="18"/>
                  <w:szCs w:val="18"/>
                  <w:b w:val="1"/>
                  <w:bCs w:val="1"/>
                  <w:color w:val="0000EE"/>
                </w:rPr>
                <w:t>Part II.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Item 1. Legal Proceedings</w:t>
              </w:r>
            </w:hyperlink>
          </w:p>
        </w:tc>
        <w:tc>
          <w:tcPr>
            <w:tcW w:w="820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Item 1A. Risk Factors</w:t>
              </w:r>
            </w:hyperlink>
          </w:p>
        </w:tc>
        <w:tc>
          <w:tcPr>
            <w:tcW w:w="848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100" w:type="dxa"/>
            <w:vAlign w:val="bottom"/>
            <w:gridSpan w:val="13"/>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Item 2. Unregistered Sales of Equity Securities and Use of Proceeds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0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Item 3. Defaults Upon Senior Securities</w:t>
              </w:r>
            </w:hyperlink>
          </w:p>
        </w:tc>
        <w:tc>
          <w:tcPr>
            <w:tcW w:w="520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8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Item 4. Mine Safety Disclosures</w:t>
              </w:r>
            </w:hyperlink>
          </w:p>
        </w:tc>
        <w:tc>
          <w:tcPr>
            <w:tcW w:w="7220" w:type="dxa"/>
            <w:vAlign w:val="bottom"/>
            <w:gridSpan w:val="5"/>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Item 5. Other Information</w:t>
              </w:r>
            </w:hyperlink>
          </w:p>
        </w:tc>
        <w:tc>
          <w:tcPr>
            <w:tcW w:w="440" w:type="dxa"/>
            <w:vAlign w:val="bottom"/>
            <w:tcBorders>
              <w:top w:val="single" w:sz="8" w:color="0000EE"/>
            </w:tcBorders>
            <w:gridSpan w:val="2"/>
          </w:tcPr>
          <w:p>
            <w:pPr>
              <w:spacing w:after="0"/>
              <w:rPr>
                <w:sz w:val="24"/>
                <w:szCs w:val="24"/>
                <w:color w:val="auto"/>
              </w:rPr>
            </w:pPr>
          </w:p>
        </w:tc>
        <w:tc>
          <w:tcPr>
            <w:tcW w:w="778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Item 6. Exhibits</w:t>
              </w:r>
            </w:hyperlink>
          </w:p>
        </w:tc>
        <w:tc>
          <w:tcPr>
            <w:tcW w:w="8940" w:type="dxa"/>
            <w:vAlign w:val="bottom"/>
            <w:gridSpan w:val="11"/>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318"/>
        </w:trPr>
        <w:tc>
          <w:tcPr>
            <w:tcW w:w="82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71">
              <w:r>
                <w:rPr>
                  <w:rFonts w:ascii="Times New Roman" w:cs="Times New Roman" w:eastAsia="Times New Roman" w:hAnsi="Times New Roman"/>
                  <w:sz w:val="18"/>
                  <w:szCs w:val="18"/>
                  <w:b w:val="1"/>
                  <w:bCs w:val="1"/>
                  <w:color w:val="0000EE"/>
                  <w:w w:val="97"/>
                </w:rPr>
                <w:t>Signatures</w:t>
              </w:r>
            </w:hyperlink>
          </w:p>
        </w:tc>
        <w:tc>
          <w:tcPr>
            <w:tcW w:w="9720" w:type="dxa"/>
            <w:vAlign w:val="bottom"/>
            <w:gridSpan w:val="12"/>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9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Financial Condition as of March 31, 2019 and December 31, 2018</w:t>
              </w:r>
            </w:hyperlink>
          </w:p>
        </w:tc>
        <w:tc>
          <w:tcPr>
            <w:tcW w:w="308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for the three month periods ended March 31, 2019 and 2018</w:t>
              </w:r>
            </w:hyperlink>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89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Comprehensive Income for the three month periods ended March 31, 2019 and 2018</w:t>
              </w:r>
            </w:hyperlink>
          </w:p>
        </w:tc>
        <w:tc>
          <w:tcPr>
            <w:tcW w:w="176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three month periods ended March 31, 2019 and 2018</w:t>
              </w:r>
            </w:hyperlink>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96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Condensed Consolidated Statements of Changes in Stockholders’ Equity for the three month periods ended March 31, 2019 and 2018</w:t>
              </w:r>
            </w:hyperlink>
          </w:p>
        </w:tc>
        <w:tc>
          <w:tcPr>
            <w:tcW w:w="110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Notes to Condensed Consolidated Financial Statements</w:t>
              </w:r>
            </w:hyperlink>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3" w:name="page4"/>
    <w:bookmarkEnd w:id="3"/>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 AND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60" w:type="dxa"/>
            <w:vAlign w:val="bottom"/>
            <w:tcBorders>
              <w:bottom w:val="single" w:sz="8" w:color="CFF0FC"/>
            </w:tcBorders>
          </w:tcPr>
          <w:p>
            <w:pPr>
              <w:spacing w:after="0"/>
              <w:rPr>
                <w:sz w:val="15"/>
                <w:szCs w:val="15"/>
                <w:color w:val="auto"/>
              </w:rPr>
            </w:pPr>
          </w:p>
        </w:tc>
        <w:tc>
          <w:tcPr>
            <w:tcW w:w="8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1,011,353</w:t>
            </w: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1,246,537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1,138,010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1,006,969</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38,379</w:t>
            </w:r>
          </w:p>
        </w:tc>
        <w:tc>
          <w:tcPr>
            <w:tcW w:w="120" w:type="dxa"/>
            <w:vAlign w:val="bottom"/>
          </w:tcPr>
          <w:p>
            <w:pPr>
              <w:spacing w:after="0"/>
              <w:rPr>
                <w:sz w:val="19"/>
                <w:szCs w:val="19"/>
                <w:color w:val="auto"/>
              </w:rPr>
            </w:pPr>
          </w:p>
        </w:tc>
      </w:tr>
      <w:tr>
        <w:trPr>
          <w:trHeight w:val="211"/>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$43,258 and $40,164 at</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2019 and December 31, 2018, respectively):</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501,397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Customers and other</w:t>
            </w:r>
          </w:p>
        </w:tc>
        <w:tc>
          <w:tcPr>
            <w:tcW w:w="8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192,178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184,137</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685,534</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575,148</w:t>
            </w:r>
          </w:p>
        </w:tc>
        <w:tc>
          <w:tcPr>
            <w:tcW w:w="120" w:type="dxa"/>
            <w:vAlign w:val="bottom"/>
            <w:shd w:val="clear" w:color="auto" w:fill="CFF0FC"/>
          </w:tcPr>
          <w:p>
            <w:pPr>
              <w:spacing w:after="0"/>
              <w:rPr>
                <w:sz w:val="19"/>
                <w:szCs w:val="19"/>
                <w:color w:val="auto"/>
              </w:rPr>
            </w:pPr>
          </w:p>
        </w:tc>
      </w:tr>
      <w:tr>
        <w:trPr>
          <w:trHeight w:val="21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Property (net of accumulated amortization and depreciation of $342,868 and $339,770</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March 31, 2019 and December 31, 2018, respectively)</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212,946</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1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 (net of accumulated amortization of $66,428 and</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$65,949 at March 31, 2019 and December 31, 2018, respectively)</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375,682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375,318</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591,704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597,776</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333,518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258,634</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5,499,477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4,997,241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 AND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12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1,315,867</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1,154,207</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585,484</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debt</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1,759,297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1,434,260</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receivable agreement obligation</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270,640</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527,121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576,986</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4,728,105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4,027,148</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par value $.01 per share; 15,000,000 shares authorized:</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Series A - no shares issued and outstanding</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Series B - no shares issued and outstanding</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Class A, par value $.01 per share (500,000,000 shares authorized;</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129,766,091 shares issued at March 31, 2019 and December 31, 2018,</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including shares held by subsidiaries as indicated below)</w:t>
            </w: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shd w:val="clear" w:color="auto" w:fill="CFF0FC"/>
          </w:tcPr>
          <w:p>
            <w:pPr>
              <w:spacing w:after="0"/>
              <w:rPr>
                <w:sz w:val="20"/>
                <w:szCs w:val="20"/>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750,692</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1,171,754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1,195,563</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(273,818)</w:t>
            </w:r>
          </w:p>
        </w:tc>
      </w:tr>
      <w:tr>
        <w:trPr>
          <w:trHeight w:val="223"/>
        </w:trPr>
        <w:tc>
          <w:tcPr>
            <w:tcW w:w="69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1,440,120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1,673,735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11"/>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common stock held by subsidiaries, at cost (17,846,122 and 17,574,805</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at March 31, 2019 and December 31, 2018, respectively)</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(738,899)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(756,884)</w:t>
            </w:r>
          </w:p>
        </w:tc>
      </w:tr>
      <w:tr>
        <w:trPr>
          <w:trHeight w:val="223"/>
        </w:trPr>
        <w:tc>
          <w:tcPr>
            <w:tcW w:w="69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Lazard Ltd Stockholders’ Equity</w:t>
            </w:r>
          </w:p>
        </w:tc>
        <w:tc>
          <w:tcPr>
            <w:tcW w:w="9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701,221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916,851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53,242</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771,372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970,093</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5,499,477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4,997,241</w:t>
            </w:r>
          </w:p>
        </w:tc>
        <w:tc>
          <w:tcPr>
            <w:tcW w:w="12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335,804</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management fees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292,438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29,636</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661,678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643,674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372,254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Occupancy and equipment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Technology and information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Fund administration and outsourced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and other acquisition-related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16,806</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524,011</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119,663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23,187</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 NET INCOME (LOSS) ATTRIBUTABLE TO</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LAZARD LTD</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97,042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ATTRIBUTABLE TO LAZARD LTD CLASS A</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8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111,944,255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119,930,106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120,820,084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132,142,394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6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96,476</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161,661</w:t>
            </w:r>
          </w:p>
        </w:tc>
        <w:tc>
          <w:tcPr>
            <w:tcW w:w="100" w:type="dxa"/>
            <w:vAlign w:val="bottom"/>
            <w:shd w:val="clear" w:color="auto" w:fill="CFF0FC"/>
          </w:tcPr>
          <w:p>
            <w:pPr>
              <w:spacing w:after="0"/>
              <w:rPr>
                <w:sz w:val="19"/>
                <w:szCs w:val="19"/>
                <w:color w:val="auto"/>
              </w:rPr>
            </w:pPr>
          </w:p>
        </w:tc>
      </w:tr>
      <w:tr>
        <w:trPr>
          <w:trHeight w:val="201"/>
        </w:trPr>
        <w:tc>
          <w:tcPr>
            <w:tcW w:w="66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OTHER COMPREHENSIVE INCOME (LOSS), NET OF</w:t>
            </w: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TAX:</w:t>
            </w: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17,346</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benefit plans:</w:t>
            </w: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Actuarial gain (loss) (net of tax expense (benefit)</w:t>
            </w: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of $300 and $(1,342) for the three months ended</w:t>
            </w: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6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March 31, 2019 and 2018, respectively)</w:t>
            </w:r>
          </w:p>
        </w:tc>
        <w:tc>
          <w:tcPr>
            <w:tcW w:w="1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(5,014)</w:t>
            </w:r>
          </w:p>
        </w:tc>
      </w:tr>
      <w:tr>
        <w:trPr>
          <w:trHeight w:val="211"/>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for items reclassified to earnings (net of</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tax expense of $178 and $216 for the three months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80" w:type="dxa"/>
            <w:vAlign w:val="bottom"/>
            <w:tcBorders>
              <w:bottom w:val="single" w:sz="8" w:color="CFF0FC"/>
            </w:tcBorders>
          </w:tcPr>
          <w:p>
            <w:pPr>
              <w:ind w:left="640"/>
              <w:spacing w:after="0"/>
              <w:rPr>
                <w:sz w:val="20"/>
                <w:szCs w:val="20"/>
                <w:color w:val="auto"/>
              </w:rPr>
            </w:pPr>
            <w:r>
              <w:rPr>
                <w:rFonts w:ascii="Times New Roman" w:cs="Times New Roman" w:eastAsia="Times New Roman" w:hAnsi="Times New Roman"/>
                <w:sz w:val="18"/>
                <w:szCs w:val="18"/>
                <w:color w:val="auto"/>
              </w:rPr>
              <w:t>ended March 31, 2019 and 2018, respectively)</w:t>
            </w:r>
          </w:p>
        </w:tc>
        <w:tc>
          <w:tcPr>
            <w:tcW w:w="128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30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FF0FC"/>
            </w:tcBorders>
          </w:tcPr>
          <w:p>
            <w:pPr>
              <w:spacing w:after="0"/>
              <w:rPr>
                <w:sz w:val="20"/>
                <w:szCs w:val="20"/>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2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10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101,437</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175,055</w:t>
            </w:r>
          </w:p>
        </w:tc>
        <w:tc>
          <w:tcPr>
            <w:tcW w:w="100" w:type="dxa"/>
            <w:vAlign w:val="bottom"/>
          </w:tcPr>
          <w:p>
            <w:pPr>
              <w:spacing w:after="0"/>
              <w:rPr>
                <w:sz w:val="19"/>
                <w:szCs w:val="19"/>
                <w:color w:val="auto"/>
              </w:rPr>
            </w:pPr>
          </w:p>
        </w:tc>
      </w:tr>
      <w:tr>
        <w:trPr>
          <w:trHeight w:val="207"/>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LESS - COMPREHENSIVE INCOME (LOSS) ATTRIBUTABLE TO</w:t>
            </w:r>
          </w:p>
        </w:tc>
        <w:tc>
          <w:tcPr>
            <w:tcW w:w="1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(565)</w:t>
            </w:r>
          </w:p>
        </w:tc>
        <w:tc>
          <w:tcPr>
            <w:tcW w:w="5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FF0FC"/>
          </w:tcPr>
          <w:p>
            <w:pPr>
              <w:spacing w:after="0"/>
              <w:rPr>
                <w:sz w:val="20"/>
                <w:szCs w:val="20"/>
                <w:color w:val="auto"/>
              </w:rPr>
            </w:pPr>
          </w:p>
        </w:tc>
      </w:tr>
      <w:tr>
        <w:trPr>
          <w:trHeight w:val="201"/>
        </w:trPr>
        <w:tc>
          <w:tcPr>
            <w:tcW w:w="66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INCOME ATTRIBUTABLE TO</w:t>
            </w:r>
          </w:p>
        </w:tc>
        <w:tc>
          <w:tcPr>
            <w:tcW w:w="12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LAZARD LTD</w:t>
            </w:r>
          </w:p>
        </w:tc>
        <w:tc>
          <w:tcPr>
            <w:tcW w:w="2200" w:type="dxa"/>
            <w:vAlign w:val="bottom"/>
            <w:gridSpan w:val="2"/>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102,002</w:t>
            </w:r>
          </w:p>
        </w:tc>
        <w:tc>
          <w:tcPr>
            <w:tcW w:w="300" w:type="dxa"/>
            <w:vAlign w:val="bottom"/>
          </w:tcPr>
          <w:p>
            <w:pPr>
              <w:spacing w:after="0"/>
              <w:rPr>
                <w:sz w:val="20"/>
                <w:szCs w:val="20"/>
                <w:color w:val="auto"/>
              </w:rPr>
            </w:pP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173,086</w:t>
            </w:r>
          </w:p>
        </w:tc>
        <w:tc>
          <w:tcPr>
            <w:tcW w:w="100" w:type="dxa"/>
            <w:vAlign w:val="bottom"/>
          </w:tcPr>
          <w:p>
            <w:pPr>
              <w:spacing w:after="0"/>
              <w:rPr>
                <w:sz w:val="20"/>
                <w:szCs w:val="20"/>
                <w:color w:val="auto"/>
              </w:rPr>
            </w:pPr>
          </w:p>
        </w:tc>
      </w:tr>
      <w:tr>
        <w:trPr>
          <w:trHeight w:val="20"/>
        </w:trPr>
        <w:tc>
          <w:tcPr>
            <w:tcW w:w="6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0" w:type="dxa"/>
            <w:vAlign w:val="bottom"/>
            <w:gridSpan w:val="6"/>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0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20" w:type="dxa"/>
            <w:vAlign w:val="bottom"/>
            <w:gridSpan w:val="2"/>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96,476</w:t>
            </w:r>
          </w:p>
        </w:tc>
        <w:tc>
          <w:tcPr>
            <w:tcW w:w="280" w:type="dxa"/>
            <w:vAlign w:val="bottom"/>
          </w:tcPr>
          <w:p>
            <w:pPr>
              <w:spacing w:after="0"/>
              <w:rPr>
                <w:sz w:val="14"/>
                <w:szCs w:val="14"/>
                <w:color w:val="auto"/>
              </w:rPr>
            </w:pP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8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(used in)</w:t>
            </w: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operating activities: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Depreciation and amortization of property</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Noncash lease expense</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11,381</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Amortization of deferred expenses and share-based incentive compensation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104,953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Amortization and other acquisition-related costs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Deferred tax provision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4,243</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8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(Increase) decrease in operating assets and increase (decrease) in</w:t>
            </w: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liabilities: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Receivables-net</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(13,989)</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(95,308)</w:t>
            </w: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Investments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(40,160)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Other assets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(84,225)</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(137,635)</w:t>
            </w: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Accrued compensation and benefits and other liabilities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(256,048)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(157,941)</w:t>
            </w:r>
          </w:p>
        </w:tc>
        <w:tc>
          <w:tcPr>
            <w:tcW w:w="0" w:type="dxa"/>
            <w:vAlign w:val="bottom"/>
          </w:tcPr>
          <w:p>
            <w:pPr>
              <w:spacing w:after="0"/>
              <w:rPr>
                <w:sz w:val="1"/>
                <w:szCs w:val="1"/>
                <w:color w:val="auto"/>
              </w:rPr>
            </w:pPr>
          </w:p>
        </w:tc>
      </w:tr>
      <w:tr>
        <w:trPr>
          <w:trHeight w:val="156"/>
        </w:trPr>
        <w:tc>
          <w:tcPr>
            <w:tcW w:w="6800" w:type="dxa"/>
            <w:vAlign w:val="bottom"/>
            <w:tcBorders>
              <w:top w:val="single" w:sz="8" w:color="CFF0FC"/>
            </w:tcBorders>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06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(161,251)</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(38,709)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Additions to property</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(5,871)</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(16,158)</w:t>
            </w:r>
          </w:p>
        </w:tc>
        <w:tc>
          <w:tcPr>
            <w:tcW w:w="0" w:type="dxa"/>
            <w:vAlign w:val="bottom"/>
          </w:tcPr>
          <w:p>
            <w:pPr>
              <w:spacing w:after="0"/>
              <w:rPr>
                <w:sz w:val="1"/>
                <w:szCs w:val="1"/>
                <w:color w:val="auto"/>
              </w:rPr>
            </w:pPr>
          </w:p>
        </w:tc>
      </w:tr>
      <w:tr>
        <w:trPr>
          <w:trHeight w:val="162"/>
        </w:trPr>
        <w:tc>
          <w:tcPr>
            <w:tcW w:w="6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Disposals of property</w:t>
            </w:r>
          </w:p>
        </w:tc>
        <w:tc>
          <w:tcPr>
            <w:tcW w:w="10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060" w:type="dxa"/>
            <w:vAlign w:val="bottom"/>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(5,801)</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(14,927)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Issuance of senior debt, net of expenses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491,875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Customer deposits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185,871</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Payments for:</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Senior debt</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(171,668)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Customer deposits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(100,341)</w:t>
            </w: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(615)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(1,451)</w:t>
            </w: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Payments under tax receivable agreement</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(23,674)</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(31,845)</w:t>
            </w: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 of Class A common stock</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(192,097)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(145,949)</w:t>
            </w: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Class A common stock dividends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(103,402)</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(202,384)</w:t>
            </w:r>
          </w:p>
        </w:tc>
        <w:tc>
          <w:tcPr>
            <w:tcW w:w="0" w:type="dxa"/>
            <w:vAlign w:val="bottom"/>
          </w:tcPr>
          <w:p>
            <w:pPr>
              <w:spacing w:after="0"/>
              <w:rPr>
                <w:sz w:val="1"/>
                <w:szCs w:val="1"/>
                <w:color w:val="auto"/>
              </w:rPr>
            </w:pPr>
          </w:p>
        </w:tc>
      </w:tr>
      <w:tr>
        <w:trPr>
          <w:trHeight w:val="162"/>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Settlement of share-based incentive compensation</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(90,657)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(101,043)</w:t>
            </w: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(3,057)</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(3,775)</w:t>
            </w:r>
          </w:p>
        </w:tc>
        <w:tc>
          <w:tcPr>
            <w:tcW w:w="0" w:type="dxa"/>
            <w:vAlign w:val="bottom"/>
          </w:tcPr>
          <w:p>
            <w:pPr>
              <w:spacing w:after="0"/>
              <w:rPr>
                <w:sz w:val="1"/>
                <w:szCs w:val="1"/>
                <w:color w:val="auto"/>
              </w:rPr>
            </w:pPr>
          </w:p>
        </w:tc>
      </w:tr>
      <w:tr>
        <w:trPr>
          <w:trHeight w:val="156"/>
        </w:trPr>
        <w:tc>
          <w:tcPr>
            <w:tcW w:w="6800" w:type="dxa"/>
            <w:vAlign w:val="bottom"/>
            <w:tcBorders>
              <w:bottom w:val="single" w:sz="8" w:color="CFF0FC"/>
            </w:tcBorders>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93,572</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(586,788)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80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 AND</w:t>
            </w: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(29,740)</w:t>
            </w: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49,406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10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 AND</w:t>
            </w:r>
          </w:p>
        </w:tc>
        <w:tc>
          <w:tcPr>
            <w:tcW w:w="10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8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(103,220)</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(591,018)</w:t>
            </w:r>
          </w:p>
        </w:tc>
        <w:tc>
          <w:tcPr>
            <w:tcW w:w="0" w:type="dxa"/>
            <w:vAlign w:val="bottom"/>
          </w:tcPr>
          <w:p>
            <w:pPr>
              <w:spacing w:after="0"/>
              <w:rPr>
                <w:sz w:val="1"/>
                <w:szCs w:val="1"/>
                <w:color w:val="auto"/>
              </w:rPr>
            </w:pPr>
          </w:p>
        </w:tc>
      </w:tr>
      <w:tr>
        <w:trPr>
          <w:trHeight w:val="173"/>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CASH—January 1</w:t>
            </w:r>
          </w:p>
        </w:tc>
        <w:tc>
          <w:tcPr>
            <w:tcW w:w="1060" w:type="dxa"/>
            <w:vAlign w:val="bottom"/>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2,291,885</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2,454,806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CASH—March 31</w:t>
            </w:r>
          </w:p>
        </w:tc>
        <w:tc>
          <w:tcPr>
            <w:tcW w:w="1060" w:type="dxa"/>
            <w:vAlign w:val="bottom"/>
          </w:tcPr>
          <w:p>
            <w:pPr>
              <w:spacing w:after="0"/>
              <w:rPr>
                <w:sz w:val="13"/>
                <w:szCs w:val="13"/>
                <w:color w:val="auto"/>
              </w:rPr>
            </w:pPr>
          </w:p>
        </w:tc>
        <w:tc>
          <w:tcPr>
            <w:tcW w:w="960" w:type="dxa"/>
            <w:vAlign w:val="bottom"/>
            <w:tcBorders>
              <w:bottom w:val="single" w:sz="8" w:color="auto"/>
            </w:tcBorders>
          </w:tcPr>
          <w:p>
            <w:pPr>
              <w:jc w:val="right"/>
              <w:ind w:right="8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2,188,665</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1,863,788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1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8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WITHIN THE CONDENSED CONSOLIDATED STATEMENTS OF FINANCIAL</w:t>
            </w: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60" w:type="dxa"/>
            <w:vAlign w:val="bottom"/>
          </w:tcPr>
          <w:p>
            <w:pPr>
              <w:spacing w:after="0"/>
              <w:rPr>
                <w:sz w:val="16"/>
                <w:szCs w:val="16"/>
                <w:color w:val="auto"/>
              </w:rPr>
            </w:pPr>
          </w:p>
        </w:tc>
        <w:tc>
          <w:tcPr>
            <w:tcW w:w="186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4"/>
        </w:trPr>
        <w:tc>
          <w:tcPr>
            <w:tcW w:w="6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80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00" w:type="dxa"/>
            <w:vAlign w:val="bottom"/>
            <w:tcBorders>
              <w:top w:val="single" w:sz="8" w:color="CFF0FC"/>
            </w:tcBorders>
            <w:shd w:val="clear" w:color="auto" w:fill="CFF0FC"/>
          </w:tcPr>
          <w:p>
            <w:pPr>
              <w:ind w:left="260"/>
              <w:spacing w:after="0" w:line="155" w:lineRule="exact"/>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ind w:right="8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1,011,353</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1,246,537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Deposits with banks and short-term investments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1,138,010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1,006,969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Cash deposited with clearing organizations and other segregated cash</w:t>
            </w:r>
          </w:p>
        </w:tc>
        <w:tc>
          <w:tcPr>
            <w:tcW w:w="1060" w:type="dxa"/>
            <w:vAlign w:val="bottom"/>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39,302</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CASH AND CASH EQUIVALENTS AND RESTRICTED CASH</w:t>
            </w:r>
          </w:p>
        </w:tc>
        <w:tc>
          <w:tcPr>
            <w:tcW w:w="1060" w:type="dxa"/>
            <w:vAlign w:val="bottom"/>
          </w:tcPr>
          <w:p>
            <w:pPr>
              <w:spacing w:after="0"/>
              <w:rPr>
                <w:sz w:val="13"/>
                <w:szCs w:val="13"/>
                <w:color w:val="auto"/>
              </w:rPr>
            </w:pPr>
          </w:p>
        </w:tc>
        <w:tc>
          <w:tcPr>
            <w:tcW w:w="960" w:type="dxa"/>
            <w:vAlign w:val="bottom"/>
            <w:tcBorders>
              <w:bottom w:val="single" w:sz="8" w:color="auto"/>
            </w:tcBorders>
          </w:tcPr>
          <w:p>
            <w:pPr>
              <w:jc w:val="right"/>
              <w:ind w:right="8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2,188,665</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2,291,885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0" w:type="dxa"/>
            <w:vAlign w:val="bottom"/>
            <w:gridSpan w:val="4"/>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800" w:type="dxa"/>
            <w:vAlign w:val="bottom"/>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6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Lazard Ltd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5"/>
        </w:trPr>
        <w:tc>
          <w:tcPr>
            <w:tcW w:w="19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6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5"/>
              </w:rPr>
              <w:t>Income (Loss),</w:t>
            </w:r>
          </w:p>
        </w:tc>
        <w:tc>
          <w:tcPr>
            <w:tcW w:w="1800" w:type="dxa"/>
            <w:vAlign w:val="bottom"/>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5"/>
              </w:rPr>
              <w:t>Held By Subsidiaries</w:t>
            </w:r>
          </w:p>
        </w:tc>
        <w:tc>
          <w:tcPr>
            <w:tcW w:w="9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r>
      <w:tr>
        <w:trPr>
          <w:trHeight w:val="156"/>
        </w:trPr>
        <w:tc>
          <w:tcPr>
            <w:tcW w:w="1960" w:type="dxa"/>
            <w:vAlign w:val="bottom"/>
          </w:tcPr>
          <w:p>
            <w:pPr>
              <w:spacing w:after="0"/>
              <w:rPr>
                <w:sz w:val="13"/>
                <w:szCs w:val="13"/>
                <w:color w:val="auto"/>
              </w:rPr>
            </w:pPr>
          </w:p>
        </w:tc>
        <w:tc>
          <w:tcPr>
            <w:tcW w:w="1060" w:type="dxa"/>
            <w:vAlign w:val="bottom"/>
            <w:tcBorders>
              <w:top w:val="single" w:sz="8" w:color="auto"/>
            </w:tcBorders>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6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60" w:type="dxa"/>
            <w:vAlign w:val="bottom"/>
          </w:tcPr>
          <w:p>
            <w:pPr>
              <w:spacing w:after="0"/>
              <w:rPr>
                <w:sz w:val="13"/>
                <w:szCs w:val="13"/>
                <w:color w:val="auto"/>
              </w:rPr>
            </w:pPr>
          </w:p>
        </w:tc>
        <w:tc>
          <w:tcPr>
            <w:tcW w:w="96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980" w:type="dxa"/>
            <w:vAlign w:val="bottom"/>
            <w:gridSpan w:val="2"/>
          </w:tcPr>
          <w:p>
            <w:pPr>
              <w:jc w:val="center"/>
              <w:ind w:right="219"/>
              <w:spacing w:after="0" w:line="155" w:lineRule="exact"/>
              <w:rPr>
                <w:sz w:val="20"/>
                <w:szCs w:val="20"/>
                <w:color w:val="auto"/>
              </w:rPr>
            </w:pPr>
            <w:r>
              <w:rPr>
                <w:rFonts w:ascii="Times New Roman" w:cs="Times New Roman" w:eastAsia="Times New Roman" w:hAnsi="Times New Roman"/>
                <w:sz w:val="14"/>
                <w:szCs w:val="14"/>
                <w:b w:val="1"/>
                <w:bCs w:val="1"/>
                <w:color w:val="auto"/>
                <w:w w:val="95"/>
              </w:rPr>
              <w:t>Net of Tax</w:t>
            </w:r>
          </w:p>
        </w:tc>
        <w:tc>
          <w:tcPr>
            <w:tcW w:w="1000" w:type="dxa"/>
            <w:vAlign w:val="bottom"/>
            <w:tcBorders>
              <w:top w:val="single" w:sz="8" w:color="auto"/>
            </w:tcBorders>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3"/>
                <w:szCs w:val="13"/>
                <w:color w:val="auto"/>
              </w:rPr>
            </w:pPr>
          </w:p>
        </w:tc>
        <w:tc>
          <w:tcPr>
            <w:tcW w:w="8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3"/>
              </w:rPr>
              <w:t>Equity</w:t>
            </w:r>
          </w:p>
        </w:tc>
      </w:tr>
      <w:tr>
        <w:trPr>
          <w:trHeight w:val="210"/>
        </w:trPr>
        <w:tc>
          <w:tcPr>
            <w:tcW w:w="1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 January 1, 2018</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129,766,091</w:t>
            </w: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1,298</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788,140</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$ 1,080,413</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(232,518)</w:t>
            </w: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10,747,142</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 (437,530)</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1,199,803</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59,102</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$ 1,258,905</w:t>
            </w:r>
          </w:p>
        </w:tc>
        <w:tc>
          <w:tcPr>
            <w:tcW w:w="60" w:type="dxa"/>
            <w:vAlign w:val="bottom"/>
            <w:tcBorders>
              <w:top w:val="single" w:sz="8" w:color="CFF0FC"/>
            </w:tcBorders>
            <w:shd w:val="clear" w:color="auto" w:fill="CFF0FC"/>
          </w:tcPr>
          <w:p>
            <w:pPr>
              <w:spacing w:after="0"/>
              <w:rPr>
                <w:sz w:val="18"/>
                <w:szCs w:val="18"/>
                <w:color w:val="auto"/>
              </w:rPr>
            </w:pPr>
          </w:p>
        </w:tc>
      </w:tr>
      <w:tr>
        <w:trPr>
          <w:trHeight w:val="21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1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161,661</w:t>
            </w:r>
          </w:p>
        </w:tc>
        <w:tc>
          <w:tcPr>
            <w:tcW w:w="60" w:type="dxa"/>
            <w:vAlign w:val="bottom"/>
            <w:shd w:val="clear" w:color="auto" w:fill="CFF0FC"/>
          </w:tcPr>
          <w:p>
            <w:pPr>
              <w:spacing w:after="0"/>
              <w:rPr>
                <w:sz w:val="19"/>
                <w:szCs w:val="19"/>
                <w:color w:val="auto"/>
              </w:rPr>
            </w:pPr>
          </w:p>
        </w:tc>
      </w:tr>
      <w:tr>
        <w:trPr>
          <w:trHeight w:val="202"/>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1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 net of tax</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13,394</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13,394</w:t>
            </w:r>
          </w:p>
        </w:tc>
        <w:tc>
          <w:tcPr>
            <w:tcW w:w="60" w:type="dxa"/>
            <w:vAlign w:val="bottom"/>
          </w:tcPr>
          <w:p>
            <w:pPr>
              <w:spacing w:after="0"/>
              <w:rPr>
                <w:sz w:val="18"/>
                <w:szCs w:val="18"/>
                <w:color w:val="auto"/>
              </w:rPr>
            </w:pPr>
          </w:p>
        </w:tc>
      </w:tr>
      <w:tr>
        <w:trPr>
          <w:trHeight w:val="208"/>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share-based</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82,820</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82,820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82,820</w:t>
            </w:r>
          </w:p>
        </w:tc>
        <w:tc>
          <w:tcPr>
            <w:tcW w:w="60" w:type="dxa"/>
            <w:vAlign w:val="bottom"/>
            <w:shd w:val="clear" w:color="auto" w:fill="CFF0FC"/>
          </w:tcPr>
          <w:p>
            <w:pPr>
              <w:spacing w:after="0"/>
              <w:rPr>
                <w:sz w:val="18"/>
                <w:szCs w:val="18"/>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Dividend-equivalents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28,406</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(32,173)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(3,767)</w:t>
            </w:r>
          </w:p>
        </w:tc>
      </w:tr>
      <w:tr>
        <w:trPr>
          <w:trHeight w:val="208"/>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($1.71 per</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(202,384)</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(202,384)</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(202,384)</w:t>
            </w:r>
          </w:p>
        </w:tc>
      </w:tr>
      <w:tr>
        <w:trPr>
          <w:trHeight w:val="20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Class A</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2,662,286</w:t>
            </w:r>
          </w:p>
        </w:tc>
        <w:tc>
          <w:tcPr>
            <w:tcW w:w="180" w:type="dxa"/>
            <w:vAlign w:val="bottom"/>
          </w:tcPr>
          <w:p>
            <w:pPr>
              <w:spacing w:after="0"/>
              <w:rPr>
                <w:sz w:val="18"/>
                <w:szCs w:val="18"/>
                <w:color w:val="auto"/>
              </w:rPr>
            </w:pPr>
          </w:p>
        </w:tc>
        <w:tc>
          <w:tcPr>
            <w:tcW w:w="8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(145,949)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(145,949)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(145,949)</w:t>
            </w:r>
          </w:p>
        </w:tc>
      </w:tr>
      <w:tr>
        <w:trPr>
          <w:trHeight w:val="208"/>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Delivery of Class A</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in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based 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 and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expense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 $6,150</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(280,020)</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(4,048,104)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172,827</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(107,193)</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(107,193)</w:t>
            </w:r>
          </w:p>
        </w:tc>
      </w:tr>
      <w:tr>
        <w:trPr>
          <w:trHeight w:val="20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Business acquisitions and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related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1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Delivery of Class A</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1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(1,858)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r>
      <w:tr>
        <w:trPr>
          <w:trHeight w:val="202"/>
        </w:trPr>
        <w:tc>
          <w:tcPr>
            <w:tcW w:w="1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Class A common stock</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issuable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(including related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1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60" w:type="dxa"/>
            <w:vAlign w:val="bottom"/>
          </w:tcPr>
          <w:p>
            <w:pPr>
              <w:spacing w:after="0"/>
              <w:rPr>
                <w:sz w:val="18"/>
                <w:szCs w:val="18"/>
                <w:color w:val="auto"/>
              </w:rPr>
            </w:pPr>
          </w:p>
        </w:tc>
      </w:tr>
      <w:tr>
        <w:trPr>
          <w:trHeight w:val="208"/>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to</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 net</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(1,451)</w:t>
            </w: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(1,451)</w:t>
            </w:r>
          </w:p>
        </w:tc>
      </w:tr>
      <w:tr>
        <w:trPr>
          <w:trHeight w:val="208"/>
        </w:trPr>
        <w:tc>
          <w:tcPr>
            <w:tcW w:w="1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March 31, 2018</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129,766,091</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1,298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619,430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$ 1,005,548</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(219,124</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9,359,466</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(410,591</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996,561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59,620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$ 1,056,181</w:t>
            </w:r>
          </w:p>
        </w:tc>
        <w:tc>
          <w:tcPr>
            <w:tcW w:w="6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0" w:type="dxa"/>
            <w:vAlign w:val="bottom"/>
            <w:gridSpan w:val="4"/>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800" w:type="dxa"/>
            <w:vAlign w:val="bottom"/>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6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5"/>
        </w:trPr>
        <w:tc>
          <w:tcPr>
            <w:tcW w:w="2000" w:type="dxa"/>
            <w:vAlign w:val="bottom"/>
          </w:tcPr>
          <w:p>
            <w:pPr>
              <w:spacing w:after="0"/>
              <w:rPr>
                <w:sz w:val="14"/>
                <w:szCs w:val="14"/>
                <w:color w:val="auto"/>
              </w:rPr>
            </w:pPr>
          </w:p>
        </w:tc>
        <w:tc>
          <w:tcPr>
            <w:tcW w:w="17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60" w:type="dxa"/>
            <w:vAlign w:val="bottom"/>
            <w:gridSpan w:val="3"/>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5"/>
              </w:rPr>
              <w:t>Income (Loss),</w:t>
            </w:r>
          </w:p>
        </w:tc>
        <w:tc>
          <w:tcPr>
            <w:tcW w:w="1800" w:type="dxa"/>
            <w:vAlign w:val="bottom"/>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5"/>
              </w:rPr>
              <w:t>Held By Subsidiaries</w:t>
            </w:r>
          </w:p>
        </w:tc>
        <w:tc>
          <w:tcPr>
            <w:tcW w:w="9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11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2000" w:type="dxa"/>
            <w:vAlign w:val="bottom"/>
          </w:tcPr>
          <w:p>
            <w:pPr>
              <w:spacing w:after="0"/>
              <w:rPr>
                <w:sz w:val="13"/>
                <w:szCs w:val="13"/>
                <w:color w:val="auto"/>
              </w:rPr>
            </w:pPr>
          </w:p>
        </w:tc>
        <w:tc>
          <w:tcPr>
            <w:tcW w:w="920" w:type="dxa"/>
            <w:vAlign w:val="bottom"/>
            <w:tcBorders>
              <w:top w:val="single" w:sz="8" w:color="auto"/>
            </w:tcBorders>
          </w:tcPr>
          <w:p>
            <w:pPr>
              <w:jc w:val="right"/>
              <w:ind w:right="206"/>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6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94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960" w:type="dxa"/>
            <w:vAlign w:val="bottom"/>
            <w:gridSpan w:val="2"/>
          </w:tcPr>
          <w:p>
            <w:pPr>
              <w:jc w:val="center"/>
              <w:ind w:right="199"/>
              <w:spacing w:after="0" w:line="155" w:lineRule="exact"/>
              <w:rPr>
                <w:sz w:val="20"/>
                <w:szCs w:val="20"/>
                <w:color w:val="auto"/>
              </w:rPr>
            </w:pPr>
            <w:r>
              <w:rPr>
                <w:rFonts w:ascii="Times New Roman" w:cs="Times New Roman" w:eastAsia="Times New Roman" w:hAnsi="Times New Roman"/>
                <w:sz w:val="14"/>
                <w:szCs w:val="14"/>
                <w:b w:val="1"/>
                <w:bCs w:val="1"/>
                <w:color w:val="auto"/>
                <w:w w:val="95"/>
              </w:rPr>
              <w:t>Net of Tax</w:t>
            </w:r>
          </w:p>
        </w:tc>
        <w:tc>
          <w:tcPr>
            <w:tcW w:w="98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top w:val="single" w:sz="8" w:color="auto"/>
            </w:tcBorders>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2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 January 1, 2019</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129,766,091</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750,692</w:t>
            </w: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$ 1,195,563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(273,818)</w:t>
            </w:r>
          </w:p>
        </w:tc>
        <w:tc>
          <w:tcPr>
            <w:tcW w:w="1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17,574,805</w:t>
            </w: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 (756,884)</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916,851</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53,242</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970,093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97,042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(566)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96,476</w:t>
            </w:r>
          </w:p>
        </w:tc>
        <w:tc>
          <w:tcPr>
            <w:tcW w:w="100" w:type="dxa"/>
            <w:vAlign w:val="bottom"/>
            <w:shd w:val="clear" w:color="auto" w:fill="CFF0FC"/>
          </w:tcPr>
          <w:p>
            <w:pPr>
              <w:spacing w:after="0"/>
              <w:rPr>
                <w:sz w:val="19"/>
                <w:szCs w:val="19"/>
                <w:color w:val="auto"/>
              </w:rPr>
            </w:pPr>
          </w:p>
        </w:tc>
      </w:tr>
      <w:tr>
        <w:trPr>
          <w:trHeight w:val="202"/>
        </w:trPr>
        <w:tc>
          <w:tcPr>
            <w:tcW w:w="2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 net of tax</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100" w:type="dxa"/>
            <w:vAlign w:val="bottom"/>
          </w:tcPr>
          <w:p>
            <w:pPr>
              <w:spacing w:after="0"/>
              <w:rPr>
                <w:sz w:val="18"/>
                <w:szCs w:val="18"/>
                <w:color w:val="auto"/>
              </w:rPr>
            </w:pPr>
          </w:p>
        </w:tc>
      </w:tr>
      <w:tr>
        <w:trPr>
          <w:trHeight w:val="208"/>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share-based</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66,213</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66,213</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18,468</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84,681</w:t>
            </w:r>
          </w:p>
        </w:tc>
        <w:tc>
          <w:tcPr>
            <w:tcW w:w="100" w:type="dxa"/>
            <w:vAlign w:val="bottom"/>
            <w:shd w:val="clear" w:color="auto" w:fill="CFF0FC"/>
          </w:tcPr>
          <w:p>
            <w:pPr>
              <w:spacing w:after="0"/>
              <w:rPr>
                <w:sz w:val="18"/>
                <w:szCs w:val="18"/>
                <w:color w:val="auto"/>
              </w:rPr>
            </w:pPr>
          </w:p>
        </w:tc>
      </w:t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Dividend-equivalents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15,512</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(17,187)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(3,050)</w:t>
            </w:r>
          </w:p>
        </w:tc>
      </w:tr>
      <w:tr>
        <w:trPr>
          <w:trHeight w:val="208"/>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Class A common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($0.94 per share)</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(103,402)</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(103,402)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(103,402)</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Class A common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5,177,948</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(192,097)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(192,097)</w:t>
            </w:r>
          </w:p>
        </w:tc>
      </w:tr>
      <w:tr>
        <w:trPr>
          <w:trHeight w:val="208"/>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Delivery of Class A common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in</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connection with share-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based 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 and related</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benefit</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 $3,881</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(296,858)</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(4,906,631)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210,082</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(86,776)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(86,776)</w:t>
            </w:r>
          </w:p>
        </w:tc>
      </w:t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Business acquisitions and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related equity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2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Class A common stock</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issuable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(including related</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FF0FC"/>
          </w:tcPr>
          <w:p>
            <w:pPr>
              <w:spacing w:after="0"/>
              <w:rPr>
                <w:sz w:val="18"/>
                <w:szCs w:val="18"/>
                <w:color w:val="auto"/>
              </w:rPr>
            </w:pPr>
          </w:p>
        </w:tc>
      </w:tr>
      <w:tr>
        <w:trPr>
          <w:trHeight w:val="210"/>
        </w:trPr>
        <w:tc>
          <w:tcPr>
            <w:tcW w:w="2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Dividend 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08"/>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Contributions from</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9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FF0FC"/>
          </w:tcPr>
          <w:p>
            <w:pPr>
              <w:spacing w:after="0"/>
              <w:rPr>
                <w:sz w:val="18"/>
                <w:szCs w:val="18"/>
                <w:color w:val="auto"/>
              </w:rPr>
            </w:pPr>
          </w:p>
        </w:tc>
      </w:tr>
      <w:tr>
        <w:trPr>
          <w:trHeight w:val="208"/>
        </w:trPr>
        <w:tc>
          <w:tcPr>
            <w:tcW w:w="2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March 31, 2019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129,766,091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1,298</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535,926</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$ 1,171,754</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(268,858</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17,846,122</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(738,899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701,221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70,151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771,372</w:t>
            </w:r>
          </w:p>
        </w:tc>
        <w:tc>
          <w:tcPr>
            <w:tcW w:w="100" w:type="dxa"/>
            <w:vAlign w:val="bottom"/>
          </w:tcPr>
          <w:p>
            <w:pPr>
              <w:spacing w:after="0"/>
              <w:rPr>
                <w:sz w:val="18"/>
                <w:szCs w:val="18"/>
                <w:color w:val="auto"/>
              </w:rPr>
            </w:pPr>
          </w:p>
        </w:tc>
      </w:tr>
      <w:tr>
        <w:trPr>
          <w:trHeight w:val="20"/>
        </w:trPr>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 w:name="page11"/>
    <w:bookmarkEnd w:id="10"/>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30"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Lazard Ltd indirectly held 100% of all outstanding Lazard Group common membership interests as of March 31, 2019 and December 31, 2018. Lazard Ltd, through its control of the managing members of Lazard Group, controls Lazard Group, which as of December 31, 2018, was governed by an Amended and Restated Operating Agreement dated as of October 26, 2015, as amended (the “Operating Agreement”). The Operating Agreement was subsequently amended and restated on February 4, 2019.</w:t>
      </w:r>
    </w:p>
    <w:p>
      <w:pPr>
        <w:spacing w:after="0" w:line="180"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54" w:lineRule="exact"/>
        <w:rPr>
          <w:sz w:val="20"/>
          <w:szCs w:val="20"/>
          <w:color w:val="auto"/>
        </w:rPr>
      </w:pPr>
    </w:p>
    <w:p>
      <w:pPr>
        <w:ind w:left="900" w:right="100" w:hanging="379"/>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and</w:t>
      </w:r>
    </w:p>
    <w:p>
      <w:pPr>
        <w:spacing w:after="0" w:line="68" w:lineRule="exact"/>
        <w:rPr>
          <w:rFonts w:ascii="Times New Roman" w:cs="Times New Roman" w:eastAsia="Times New Roman" w:hAnsi="Times New Roman"/>
          <w:sz w:val="18"/>
          <w:szCs w:val="18"/>
          <w:color w:val="auto"/>
        </w:rPr>
      </w:pPr>
    </w:p>
    <w:p>
      <w:pPr>
        <w:ind w:left="900" w:right="200" w:hanging="379"/>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76"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2018. The accompanying December 31, 2018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8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4"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consolidated results of operations for the three month period ended March 31, 2019 are not indicative of the results to be expected for any future interim or annual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 w:name="page12"/>
    <w:bookmarkEnd w:id="11"/>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(“VOEs”) where the Company holds a majority of the voting interest in such VOEs, and</w:t>
      </w:r>
    </w:p>
    <w:p>
      <w:pPr>
        <w:spacing w:after="0" w:line="117" w:lineRule="exact"/>
        <w:rPr>
          <w:rFonts w:ascii="Times New Roman" w:cs="Times New Roman" w:eastAsia="Times New Roman" w:hAnsi="Times New Roman"/>
          <w:sz w:val="18"/>
          <w:szCs w:val="18"/>
          <w:color w:val="auto"/>
        </w:rPr>
      </w:pPr>
    </w:p>
    <w:p>
      <w:pPr>
        <w:ind w:left="900" w:right="260" w:hanging="379"/>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76"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200" w:lineRule="exact"/>
        <w:rPr>
          <w:sz w:val="20"/>
          <w:szCs w:val="20"/>
          <w:color w:val="auto"/>
        </w:rPr>
      </w:pPr>
    </w:p>
    <w:p>
      <w:pPr>
        <w:spacing w:after="0" w:line="21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33" w:lineRule="exact"/>
        <w:rPr>
          <w:sz w:val="20"/>
          <w:szCs w:val="20"/>
          <w:color w:val="auto"/>
        </w:rPr>
      </w:pPr>
    </w:p>
    <w:p>
      <w:pPr>
        <w:ind w:right="10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—In February 2016, the Financial Accounting Standards Board (the “FASB”) issued updated guidance for leases. The guidance requires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lessee to (i) recognize a right-of-use asset and a lease liability that is initially measured at the present value of the lease payments, in the condensed consolidated statement of financial condition, (ii) recognize a single lease cost, calculated so that the cost of the lease is allocated over the lease term on a straight-line basis and (iii) classify operating lease related cash payments within operating activities and finance lease related principal cash payments within financing activities (with interest included in interest paid) in the condensed consolidated statement of cash flows.</w:t>
      </w:r>
    </w:p>
    <w:p>
      <w:pPr>
        <w:spacing w:after="0" w:line="182"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Company adopted the new guidance on January 1, 2019 using the optional transition method, which allows such guidance to be applied initially at the adoption date with a cumulative-effect adjustment and without restating comparative periods. Lazard elected the package of practical expedients, which allows the carry-forward of the prior conclusions on lease definition, classification and initial direct costs related to the existing leases as of the adoption date.</w:t>
      </w:r>
    </w:p>
    <w:p>
      <w:pPr>
        <w:spacing w:after="0" w:line="17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Substantially all of the Company’s existing lease arrangements are operating leases. The adoption of the new guidance on January 1, 2019 resulted in a recognition of approximately $500,000 of operating lease right-of-use assets (“ROU assets”) and approximately $580,000 of operating lease liabilities in the Company’s condensed consolidated statements of financial condition. The operating lease liabilities at January 1, 2019 reflect any remaining lease payments discounted using an incremental borrowing rate (on a collateralized basis) based on the remaining lease term (the “Discount”), as an implicit rate was not readily determinable for any of the Company’s existing operating leases. The operating lease ROU assets are lower than the operating lease liabilities primarily because lease incentives reduce the ROU assets (see Note 9).</w:t>
      </w:r>
    </w:p>
    <w:p>
      <w:pPr>
        <w:spacing w:after="0" w:line="186" w:lineRule="exact"/>
        <w:rPr>
          <w:sz w:val="20"/>
          <w:szCs w:val="20"/>
          <w:color w:val="auto"/>
        </w:rPr>
      </w:pPr>
    </w:p>
    <w:p>
      <w:pPr>
        <w:ind w:right="16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In June 2018, the FASB issued updated guidance to simplify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Company adopted the new guidance on January 1, 2019 and its application did not have a material impact on the Company’s financial statements.</w:t>
      </w:r>
    </w:p>
    <w:p>
      <w:pPr>
        <w:spacing w:after="0" w:line="183"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Reclassification of Certain Tax Effects from Accumulated Other Comprehensive Income—</w:t>
      </w:r>
      <w:r>
        <w:rPr>
          <w:rFonts w:ascii="Times New Roman" w:cs="Times New Roman" w:eastAsia="Times New Roman" w:hAnsi="Times New Roman"/>
          <w:sz w:val="18"/>
          <w:szCs w:val="18"/>
          <w:color w:val="auto"/>
        </w:rPr>
        <w:t>In February 2018, the FASB issued updated guidance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The amount of the reclassification would be the difference between the historical corporate income tax rate and the newly enacted 21% corporate income tax rate. The Company adopted the new guidance on January 1, 2019 without reclassifying any amounts from AOCI to retained earnings. The application of the guidance did not have a material impact on the Company’s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 w:name="page13"/>
    <w:bookmarkEnd w:id="12"/>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1" w:lineRule="exact"/>
        <w:rPr>
          <w:sz w:val="20"/>
          <w:szCs w:val="20"/>
          <w:color w:val="auto"/>
        </w:rPr>
      </w:pPr>
    </w:p>
    <w:p>
      <w:pPr>
        <w:ind w:right="18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—In June 2016, the FASB issued new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new guidance is required to be applied using a modified retrospective approach. The Company is currently evaluating the new guidance.</w:t>
      </w:r>
    </w:p>
    <w:p>
      <w:pPr>
        <w:spacing w:after="0" w:line="183"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Intangibles—Goodwill and Other: Simplifying the Test for Goodwill Impairment</w:t>
      </w:r>
      <w:r>
        <w:rPr>
          <w:rFonts w:ascii="Times New Roman" w:cs="Times New Roman" w:eastAsia="Times New Roman" w:hAnsi="Times New Roman"/>
          <w:sz w:val="18"/>
          <w:szCs w:val="18"/>
          <w:color w:val="auto"/>
        </w:rPr>
        <w:t>—In January 2017, the FASB issued updated guidance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85"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Intangibles—Internal-Use Software: Customer’s Accounting for Implementation Costs Incurred in a Cloud Computing Arrangement that is a Service Contract</w:t>
      </w:r>
      <w:r>
        <w:rPr>
          <w:rFonts w:ascii="Times New Roman" w:cs="Times New Roman" w:eastAsia="Times New Roman" w:hAnsi="Times New Roman"/>
          <w:sz w:val="18"/>
          <w:szCs w:val="18"/>
          <w:color w:val="auto"/>
        </w:rPr>
        <w:t>—In August 2018, the FASB issued updated guidance on the accounting for implementation costs incurred in a cloud computing arrangement.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with early adoption permitted. Upon adoption, the Company may elect to apply the new guidance on either a prospective or retrospective basis. The Company is currently evaluating the new guidance.</w:t>
      </w:r>
    </w:p>
    <w:p>
      <w:pPr>
        <w:spacing w:after="0" w:line="183"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Related Party Guidance for Variable Interest Entities</w:t>
      </w:r>
      <w:r>
        <w:rPr>
          <w:rFonts w:ascii="Times New Roman" w:cs="Times New Roman" w:eastAsia="Times New Roman" w:hAnsi="Times New Roman"/>
          <w:sz w:val="18"/>
          <w:szCs w:val="18"/>
          <w:color w:val="auto"/>
        </w:rPr>
        <w:t>—In October 2018, the FASB issued updated guidance that requires consideration of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held through related parties under common control for determining whether fees paid to decision makers and service providers are variable interests. The new guidance is effective for fiscal years and interim periods beginning after December 15, 2019, with early adoption permitted. The amendments are required to be applied retrospectively with a cumulative-effect adjustment. The Company is currently evaluating the new guidance.</w:t>
      </w:r>
    </w:p>
    <w:p>
      <w:pPr>
        <w:spacing w:after="0" w:line="180" w:lineRule="exact"/>
        <w:rPr>
          <w:sz w:val="20"/>
          <w:szCs w:val="20"/>
          <w:color w:val="auto"/>
        </w:rPr>
      </w:pPr>
    </w:p>
    <w:p>
      <w:pPr>
        <w:ind w:right="4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Fair Value Measurement: Changes to the Disclosure Requirements for Fair Value Measurement</w:t>
      </w:r>
      <w:r>
        <w:rPr>
          <w:rFonts w:ascii="Times New Roman" w:cs="Times New Roman" w:eastAsia="Times New Roman" w:hAnsi="Times New Roman"/>
          <w:sz w:val="18"/>
          <w:szCs w:val="18"/>
          <w:color w:val="auto"/>
        </w:rPr>
        <w:t>—In August 2018, the FASB issued updated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with early adoption permitted. With certain exceptions, the guidance is required to be applied retrospectively. The Company is currently evaluating the new guidance.</w:t>
      </w:r>
    </w:p>
    <w:p>
      <w:pPr>
        <w:spacing w:after="0" w:line="180" w:lineRule="exact"/>
        <w:rPr>
          <w:sz w:val="20"/>
          <w:szCs w:val="20"/>
          <w:color w:val="auto"/>
        </w:rPr>
      </w:pPr>
    </w:p>
    <w:p>
      <w:pPr>
        <w:ind w:right="2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Compensation–Retirement Benefits: Changes to the Disclosure Requirements for Defined Benefit Plans</w:t>
      </w:r>
      <w:r>
        <w:rPr>
          <w:rFonts w:ascii="Times New Roman" w:cs="Times New Roman" w:eastAsia="Times New Roman" w:hAnsi="Times New Roman"/>
          <w:sz w:val="18"/>
          <w:szCs w:val="18"/>
          <w:color w:val="auto"/>
        </w:rPr>
        <w:t>—In August 2018, the FASB issued updated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annual and interim reporting periods beginning after December 15, 2020, with early adoption permitted. A retrospective application is required. The Company is currently evaluating the new guidance.</w:t>
      </w:r>
    </w:p>
    <w:p>
      <w:pPr>
        <w:spacing w:after="0" w:line="36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31"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Investment Banking and Other Advisory Fees</w:t>
      </w:r>
      <w:r>
        <w:rPr>
          <w:rFonts w:ascii="Times New Roman" w:cs="Times New Roman" w:eastAsia="Times New Roman" w:hAnsi="Times New Roman"/>
          <w:sz w:val="18"/>
          <w:szCs w:val="18"/>
          <w:color w:val="auto"/>
        </w:rPr>
        <w:t>—Fees for Financial Advisory services are recorded when: (i) a contract with a client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3" w:name="page14"/>
    <w:bookmarkEnd w:id="13"/>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3"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Asset Management Fees</w:t>
      </w:r>
      <w:r>
        <w:rPr>
          <w:rFonts w:ascii="Times New Roman" w:cs="Times New Roman" w:eastAsia="Times New Roman" w:hAnsi="Times New Roman"/>
          <w:sz w:val="18"/>
          <w:szCs w:val="18"/>
          <w:color w:val="auto"/>
        </w:rPr>
        <w:t>—Fees for Asset Management services are primarily comprised of management fees and incentive fees. Management fees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89"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62"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Receivables relating to asset management and incentive fees are reported in “fees receivable” on the consolidated statements of financial condition.</w:t>
      </w:r>
    </w:p>
    <w:p>
      <w:pPr>
        <w:spacing w:after="0" w:line="225" w:lineRule="exact"/>
        <w:rPr>
          <w:sz w:val="20"/>
          <w:szCs w:val="20"/>
          <w:color w:val="auto"/>
        </w:rPr>
      </w:pPr>
    </w:p>
    <w:p>
      <w:pPr>
        <w:ind w:right="760" w:firstLine="518"/>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58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2019 (d)</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 (d)</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Advisory (a)</w:t>
            </w:r>
          </w:p>
        </w:tc>
        <w:tc>
          <w:tcPr>
            <w:tcW w:w="2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338,370</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358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Management Fees and Other (b)</w:t>
            </w:r>
          </w:p>
        </w:tc>
        <w:tc>
          <w:tcPr>
            <w:tcW w:w="2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301,253</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Incentive Fees (c)</w:t>
            </w:r>
          </w:p>
        </w:tc>
        <w:tc>
          <w:tcPr>
            <w:tcW w:w="1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 Management</w:t>
            </w:r>
          </w:p>
        </w:tc>
        <w:tc>
          <w:tcPr>
            <w:tcW w:w="1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301,833</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354,283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80" w:right="40" w:hanging="372"/>
        <w:spacing w:after="0" w:line="254"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7" w:lineRule="exact"/>
        <w:rPr>
          <w:sz w:val="20"/>
          <w:szCs w:val="20"/>
          <w:color w:val="auto"/>
        </w:rPr>
      </w:pPr>
    </w:p>
    <w:p>
      <w:pPr>
        <w:ind w:left="380" w:right="80" w:hanging="372"/>
        <w:spacing w:after="0" w:line="258"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5" w:lineRule="exact"/>
        <w:rPr>
          <w:rFonts w:ascii="Times New Roman" w:cs="Times New Roman" w:eastAsia="Times New Roman" w:hAnsi="Times New Roman"/>
          <w:sz w:val="18"/>
          <w:szCs w:val="18"/>
          <w:color w:val="auto"/>
        </w:rPr>
      </w:pPr>
    </w:p>
    <w:p>
      <w:pPr>
        <w:ind w:left="380" w:right="100" w:hanging="372"/>
        <w:spacing w:after="0" w:line="26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31" w:lineRule="exact"/>
        <w:rPr>
          <w:rFonts w:ascii="Times New Roman" w:cs="Times New Roman" w:eastAsia="Times New Roman" w:hAnsi="Times New Roman"/>
          <w:sz w:val="18"/>
          <w:szCs w:val="18"/>
          <w:color w:val="auto"/>
        </w:rPr>
      </w:pPr>
    </w:p>
    <w:p>
      <w:pPr>
        <w:ind w:left="380" w:right="440" w:hanging="372"/>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76" w:lineRule="exact"/>
        <w:rPr>
          <w:sz w:val="20"/>
          <w:szCs w:val="20"/>
          <w:color w:val="auto"/>
        </w:rPr>
      </w:pPr>
    </w:p>
    <w:p>
      <w:pPr>
        <w:ind w:right="260" w:firstLine="518"/>
        <w:spacing w:after="0" w:line="258" w:lineRule="auto"/>
        <w:rPr>
          <w:sz w:val="20"/>
          <w:szCs w:val="20"/>
          <w:color w:val="auto"/>
        </w:rPr>
      </w:pPr>
      <w:r>
        <w:rPr>
          <w:rFonts w:ascii="Times New Roman" w:cs="Times New Roman" w:eastAsia="Times New Roman" w:hAnsi="Times New Roman"/>
          <w:sz w:val="18"/>
          <w:szCs w:val="18"/>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receivables represent fee receivables, amounts due from customers and other receivables.</w:t>
      </w:r>
    </w:p>
    <w:p>
      <w:pPr>
        <w:spacing w:after="0" w:line="225"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in the allowance for doubtful accounts for the three month periods ended March 31, 2019 and 2018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net of recoveries</w:t>
            </w:r>
          </w:p>
        </w:tc>
        <w:tc>
          <w:tcPr>
            <w:tcW w:w="1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15,952</w:t>
            </w:r>
          </w:p>
        </w:tc>
        <w:tc>
          <w:tcPr>
            <w:tcW w:w="120" w:type="dxa"/>
            <w:vAlign w:val="bottom"/>
          </w:tcPr>
          <w:p>
            <w:pPr>
              <w:spacing w:after="0"/>
              <w:rPr>
                <w:sz w:val="19"/>
                <w:szCs w:val="19"/>
                <w:color w:val="auto"/>
              </w:rPr>
            </w:pPr>
          </w:p>
        </w:tc>
      </w:tr>
      <w:tr>
        <w:trPr>
          <w:trHeight w:val="211"/>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Charge-offs, foreign currency translation and other</w:t>
            </w:r>
          </w:p>
        </w:tc>
        <w:tc>
          <w:tcPr>
            <w:tcW w:w="16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w:t>
            </w:r>
          </w:p>
        </w:tc>
        <w:tc>
          <w:tcPr>
            <w:tcW w:w="16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(735)</w:t>
            </w:r>
          </w:p>
        </w:tc>
        <w:tc>
          <w:tcPr>
            <w:tcW w:w="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(1,141)</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38,557</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Bad debt expense, net of recoveries is included in “operating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other” on the condensed consolidated statements of operations.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2019 and December 31, 2018, the Company had receivables past due or deemed uncollectible of $51,786 and $42,309, respectively.</w:t>
      </w:r>
    </w:p>
    <w:p>
      <w:pPr>
        <w:spacing w:after="0" w:line="225"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Of the Company’s fee receivables at March 31, 2019 and December 31, 2018, $83,298 and $90,966,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76"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The aggregate carrying amount of our non-interest bearing receivables of $612,114 and $594,568 at March 31, 2019 and December 31, 2018, respectively, approximates fair value.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3"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investments and securities sold, not yet purchased, consist of the following at March 31, 2019 and December 31,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920" w:type="dxa"/>
            <w:vAlign w:val="bottom"/>
            <w:tcBorders>
              <w:bottom w:val="single" w:sz="8" w:color="CFF0FC"/>
            </w:tcBorders>
          </w:tcPr>
          <w:p>
            <w:pPr>
              <w:spacing w:after="0"/>
              <w:rPr>
                <w:sz w:val="15"/>
                <w:szCs w:val="15"/>
                <w:color w:val="auto"/>
              </w:rPr>
            </w:pPr>
          </w:p>
        </w:tc>
        <w:tc>
          <w:tcPr>
            <w:tcW w:w="3700" w:type="dxa"/>
            <w:vAlign w:val="bottom"/>
            <w:tcBorders>
              <w:bottom w:val="single" w:sz="8" w:color="CFF0FC"/>
            </w:tcBorders>
          </w:tcPr>
          <w:p>
            <w:pPr>
              <w:spacing w:after="0"/>
              <w:rPr>
                <w:sz w:val="15"/>
                <w:szCs w:val="15"/>
                <w:color w:val="auto"/>
              </w:rPr>
            </w:pPr>
          </w:p>
        </w:tc>
        <w:tc>
          <w:tcPr>
            <w:tcW w:w="22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2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Equities</w:t>
            </w:r>
          </w:p>
        </w:tc>
        <w:tc>
          <w:tcPr>
            <w:tcW w:w="2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Alternative investments (a)</w:t>
            </w:r>
          </w:p>
        </w:tc>
        <w:tc>
          <w:tcPr>
            <w:tcW w:w="2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Debt (a)</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(a)</w:t>
            </w:r>
          </w:p>
        </w:tc>
        <w:tc>
          <w:tcPr>
            <w:tcW w:w="2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Private equity</w:t>
            </w:r>
          </w:p>
        </w:tc>
        <w:tc>
          <w:tcPr>
            <w:tcW w:w="2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2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615,265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574,638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2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2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80" w:type="dxa"/>
            <w:vAlign w:val="bottom"/>
          </w:tcPr>
          <w:p>
            <w:pPr>
              <w:spacing w:after="0"/>
              <w:rPr>
                <w:sz w:val="20"/>
                <w:szCs w:val="20"/>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80" w:right="140" w:hanging="372"/>
        <w:spacing w:after="0" w:line="258"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alternative investment funds, debt funds and equity funds include investments with fair values of $6,592, $43,264 and $112,030, respectively, at March 31, 2019 and $9,741, $60,081 and $132,038, respectively, at December 31, 2018,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14).</w:t>
      </w:r>
    </w:p>
    <w:p>
      <w:pPr>
        <w:spacing w:after="0" w:line="197" w:lineRule="exact"/>
        <w:rPr>
          <w:sz w:val="20"/>
          <w:szCs w:val="20"/>
          <w:color w:val="auto"/>
        </w:rPr>
      </w:pPr>
    </w:p>
    <w:p>
      <w:pPr>
        <w:ind w:right="940" w:firstLine="518"/>
        <w:spacing w:after="0" w:line="282" w:lineRule="auto"/>
        <w:rPr>
          <w:sz w:val="20"/>
          <w:szCs w:val="20"/>
          <w:color w:val="auto"/>
        </w:rPr>
      </w:pPr>
      <w:r>
        <w:rPr>
          <w:rFonts w:ascii="Times New Roman" w:cs="Times New Roman" w:eastAsia="Times New Roman" w:hAnsi="Times New Roman"/>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62"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62"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62"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Equity funds primarily consist of seed investments in funds related to our Asset Management business that invest in equity securities, and amounts related to LFI discussed above.</w:t>
      </w:r>
    </w:p>
    <w:p>
      <w:pPr>
        <w:spacing w:after="0" w:line="162"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0"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Private equity investments consolidated but not owned by Lazard relate to the economic interests that are owned by the management team and other investors in the Edgewater Funds (“Edgewater”).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2019 and 2018, the Company reported in “revenue-other” on its condensed consolidated statements of operations net unrealized investment gains and losses pertaining to “equity securities and trading debt securities” still held as of the reporting date as follows:</w:t>
      </w:r>
    </w:p>
    <w:p>
      <w:pPr>
        <w:spacing w:after="0" w:line="183"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-3175</wp:posOffset>
            </wp:positionV>
            <wp:extent cx="2178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850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tabs>
          <w:tab w:leader="none" w:pos="7840" w:val="left"/>
          <w:tab w:leader="none" w:pos="8900" w:val="left"/>
          <w:tab w:leader="none" w:pos="9700" w:val="left"/>
          <w:tab w:leader="none" w:pos="10800" w:val="left"/>
        </w:tabs>
        <w:rPr>
          <w:sz w:val="20"/>
          <w:szCs w:val="20"/>
          <w:color w:val="auto"/>
        </w:rPr>
      </w:pPr>
      <w:r>
        <w:rPr>
          <w:rFonts w:ascii="Times New Roman" w:cs="Times New Roman" w:eastAsia="Times New Roman" w:hAnsi="Times New Roman"/>
          <w:sz w:val="18"/>
          <w:szCs w:val="18"/>
          <w:color w:val="auto"/>
        </w:rPr>
        <w:t>Net unrealized investment gains (losses)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19,923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29210</wp:posOffset>
            </wp:positionV>
            <wp:extent cx="21780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Fair Value Hierarchy of Investments and Certain Other Assets and Liabilities</w:t>
      </w:r>
      <w:r>
        <w:rPr>
          <w:rFonts w:ascii="Times New Roman" w:cs="Times New Roman" w:eastAsia="Times New Roman" w:hAnsi="Times New Roman"/>
          <w:sz w:val="18"/>
          <w:szCs w:val="18"/>
          <w:color w:val="auto"/>
        </w:rPr>
        <w:t>—Lazard categorizes its investments and certain other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recorded at fair value into a three-level fair value hierarchy as follows:</w:t>
      </w:r>
    </w:p>
    <w:p>
      <w:pPr>
        <w:spacing w:after="0" w:line="49" w:lineRule="exact"/>
        <w:rPr>
          <w:sz w:val="20"/>
          <w:szCs w:val="20"/>
          <w:color w:val="auto"/>
        </w:rPr>
      </w:pPr>
    </w:p>
    <w:p>
      <w:pPr>
        <w:ind w:left="580" w:right="420" w:hanging="58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Assets and liabilities whose values are based on unadjusted quoted prices for identical assets or liabilities in an active market that Lazard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access.</w:t>
      </w:r>
    </w:p>
    <w:p>
      <w:pPr>
        <w:spacing w:after="0" w:line="50" w:lineRule="exact"/>
        <w:rPr>
          <w:sz w:val="20"/>
          <w:szCs w:val="20"/>
          <w:color w:val="auto"/>
        </w:rPr>
      </w:pPr>
    </w:p>
    <w:p>
      <w:pPr>
        <w:ind w:left="580" w:right="200" w:hanging="58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Assets and liabilities whose values are based on (i) quoted prices for similar assets or liabilities in an active market, or quoted prices for identical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assets or liabilities in non-active markets, or (ii) inputs other than quoted prices that are directly observable or derived principally from, or corroborated by, market data.</w:t>
      </w:r>
    </w:p>
    <w:p>
      <w:pPr>
        <w:spacing w:after="0" w:line="65" w:lineRule="exact"/>
        <w:rPr>
          <w:sz w:val="20"/>
          <w:szCs w:val="20"/>
          <w:color w:val="auto"/>
        </w:rPr>
      </w:pPr>
    </w:p>
    <w:p>
      <w:pPr>
        <w:ind w:left="580" w:hanging="580"/>
        <w:spacing w:after="0" w:line="261"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Assets and liabilities whose values are based on prices or valuation techniques that require inputs that are both unobservable and significant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76"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62"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securities sold, not yet purchased, is classified as Level 1 when the fair values are based on unadjusted quoted prices in active markets.</w:t>
      </w:r>
    </w:p>
    <w:p>
      <w:pPr>
        <w:spacing w:after="0" w:line="162"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12.</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19" w:lineRule="exact"/>
        <w:rPr>
          <w:sz w:val="20"/>
          <w:szCs w:val="20"/>
          <w:color w:val="auto"/>
        </w:rPr>
      </w:pPr>
    </w:p>
    <w:p>
      <w:pPr>
        <w:ind w:right="2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Investments Measured at Net Asset Value (“NAV”)</w:t>
      </w:r>
      <w:r>
        <w:rPr>
          <w:rFonts w:ascii="Times New Roman" w:cs="Times New Roman" w:eastAsia="Times New Roman" w:hAnsi="Times New Roman"/>
          <w:sz w:val="18"/>
          <w:szCs w:val="18"/>
          <w:color w:val="auto"/>
        </w:rPr>
        <w:t>—As a practical expedient, the Company uses NAV or its equivalent to measure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1" w:lineRule="exact"/>
        <w:rPr>
          <w:sz w:val="20"/>
          <w:szCs w:val="20"/>
          <w:color w:val="auto"/>
        </w:rPr>
      </w:pPr>
    </w:p>
    <w:p>
      <w:pPr>
        <w:ind w:right="100" w:firstLine="518"/>
        <w:spacing w:after="0" w:line="313" w:lineRule="auto"/>
        <w:rPr>
          <w:sz w:val="20"/>
          <w:szCs w:val="20"/>
          <w:color w:val="auto"/>
        </w:rPr>
      </w:pPr>
      <w:r>
        <w:rPr>
          <w:rFonts w:ascii="Times New Roman" w:cs="Times New Roman" w:eastAsia="Times New Roman" w:hAnsi="Times New Roman"/>
          <w:sz w:val="17"/>
          <w:szCs w:val="17"/>
          <w:color w:val="auto"/>
        </w:rPr>
        <w:t>The following tables present, as of March 31, 2019 and December 31, 2018, the classification of (i) investments and certain other assets and liabilities measured at fair value on a recurring basis within the fair value hierarchy and (ii) investments measured at NAV or its equivalent as a practical expedient: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248,632</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533,074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617,769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245,561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245,561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202,874</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515,743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a summary of changes in fair value of the Company’s Level 3 assets and liabilities for the three 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and 2018:</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1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6"/>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 (a)</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3"/>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64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Total Level 3 Assets</w:t>
            </w:r>
          </w:p>
        </w:tc>
        <w:tc>
          <w:tcPr>
            <w:tcW w:w="10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vMerge w:val="continue"/>
          </w:tcPr>
          <w:p>
            <w:pPr>
              <w:spacing w:after="0"/>
              <w:rPr>
                <w:sz w:val="22"/>
                <w:szCs w:val="22"/>
                <w:color w:val="auto"/>
              </w:rPr>
            </w:pPr>
          </w:p>
        </w:tc>
        <w:tc>
          <w:tcPr>
            <w:tcW w:w="82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800" w:type="dxa"/>
            <w:vAlign w:val="bottom"/>
            <w:gridSpan w:val="2"/>
          </w:tcPr>
          <w:p>
            <w:pPr>
              <w:jc w:val="right"/>
              <w:ind w:right="64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64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3 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64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 (a)</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1,592</w:t>
            </w:r>
          </w:p>
        </w:tc>
        <w:tc>
          <w:tcPr>
            <w:tcW w:w="3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Total Level 3 Assets</w:t>
            </w:r>
          </w:p>
        </w:tc>
        <w:tc>
          <w:tcPr>
            <w:tcW w:w="1040" w:type="dxa"/>
            <w:vAlign w:val="bottom"/>
            <w:vMerge w:val="restart"/>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1,592</w:t>
            </w:r>
          </w:p>
        </w:tc>
        <w:tc>
          <w:tcPr>
            <w:tcW w:w="240" w:type="dxa"/>
            <w:vAlign w:val="bottom"/>
            <w:gridSpan w:val="2"/>
            <w:vMerge w:val="continue"/>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gridSpan w:val="2"/>
            <w:vMerge w:val="continue"/>
          </w:tcPr>
          <w:p>
            <w:pPr>
              <w:spacing w:after="0"/>
              <w:rPr>
                <w:sz w:val="22"/>
                <w:szCs w:val="22"/>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vMerge w:val="continue"/>
          </w:tcPr>
          <w:p>
            <w:pPr>
              <w:spacing w:after="0"/>
              <w:rPr>
                <w:sz w:val="22"/>
                <w:szCs w:val="22"/>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 w:type="dxa"/>
            <w:vAlign w:val="bottom"/>
            <w:gridSpan w:val="2"/>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28,941</w:t>
            </w:r>
          </w:p>
        </w:tc>
        <w:tc>
          <w:tcPr>
            <w:tcW w:w="3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28,941</w:t>
            </w: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right="2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recorded in “other revenue” for investments in equities for the three month periods ended March 31, 2019 and 2018 include net unrealized losses of $2 and $1, respectively. Earnings recorded in “amortization and other acquisition-related costs” for the contingent consideration liability for the three month periods ended March 31, 2019 and 2018 include unrealized losses of $3,039 and $33, respectively.</w:t>
      </w:r>
    </w:p>
    <w:p>
      <w:pPr>
        <w:spacing w:after="0" w:line="176"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There were no transfers between any of the Level 1, 2 and 3 categories in the fair value measurement hierarchy during the three month periods ended March 31, 2019 and 2018.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present, at March 31, 2019 and December 31, 2018, certain investments that are valued using NAV or its equivalent as a practical expedient in determining fair value: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Estimated Liquidation Period of</w:t>
            </w:r>
          </w:p>
        </w:tc>
        <w:tc>
          <w:tcPr>
            <w:tcW w:w="218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Not Redeemable</w:t>
            </w:r>
          </w:p>
        </w:tc>
        <w:tc>
          <w:tcPr>
            <w:tcW w:w="21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Next</w:t>
            </w:r>
          </w:p>
        </w:tc>
        <w:tc>
          <w:tcPr>
            <w:tcW w:w="920" w:type="dxa"/>
            <w:vAlign w:val="bottom"/>
          </w:tcPr>
          <w:p>
            <w:pPr>
              <w:jc w:val="right"/>
              <w:ind w:right="262"/>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3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24,372</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(b)</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&gt;90 days</w:t>
            </w:r>
          </w:p>
        </w:tc>
        <w:tc>
          <w:tcPr>
            <w:tcW w:w="0" w:type="dxa"/>
            <w:vAlign w:val="bottom"/>
          </w:tcPr>
          <w:p>
            <w:pPr>
              <w:spacing w:after="0"/>
              <w:rPr>
                <w:sz w:val="1"/>
                <w:szCs w:val="1"/>
                <w:color w:val="auto"/>
              </w:rPr>
            </w:pPr>
          </w:p>
        </w:tc>
      </w:tr>
      <w:tr>
        <w:trPr>
          <w:trHeight w:val="210"/>
        </w:trPr>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(c)</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&lt;30-30 days</w:t>
            </w:r>
          </w:p>
        </w:tc>
        <w:tc>
          <w:tcPr>
            <w:tcW w:w="0" w:type="dxa"/>
            <w:vAlign w:val="bottom"/>
          </w:tcPr>
          <w:p>
            <w:pPr>
              <w:spacing w:after="0"/>
              <w:rPr>
                <w:sz w:val="1"/>
                <w:szCs w:val="1"/>
                <w:color w:val="auto"/>
              </w:rPr>
            </w:pPr>
          </w:p>
        </w:tc>
      </w:tr>
      <w:tr>
        <w:trPr>
          <w:trHeight w:val="222"/>
        </w:trPr>
        <w:tc>
          <w:tcPr>
            <w:tcW w:w="2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&lt;30 days</w:t>
            </w:r>
          </w:p>
        </w:tc>
        <w:tc>
          <w:tcPr>
            <w:tcW w:w="0" w:type="dxa"/>
            <w:vAlign w:val="bottom"/>
          </w:tcPr>
          <w:p>
            <w:pPr>
              <w:spacing w:after="0"/>
              <w:rPr>
                <w:sz w:val="1"/>
                <w:szCs w:val="1"/>
                <w:color w:val="auto"/>
              </w:rPr>
            </w:pPr>
          </w:p>
        </w:tc>
      </w:tr>
      <w:tr>
        <w:trPr>
          <w:trHeight w:val="210"/>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&lt;30-90 days</w:t>
            </w:r>
          </w:p>
        </w:tc>
        <w:tc>
          <w:tcPr>
            <w:tcW w:w="0" w:type="dxa"/>
            <w:vAlign w:val="bottom"/>
          </w:tcPr>
          <w:p>
            <w:pPr>
              <w:spacing w:after="0"/>
              <w:rPr>
                <w:sz w:val="1"/>
                <w:szCs w:val="1"/>
                <w:color w:val="auto"/>
              </w:rPr>
            </w:pPr>
          </w:p>
        </w:tc>
      </w:tr>
      <w:tr>
        <w:trPr>
          <w:trHeight w:val="222"/>
        </w:trPr>
        <w:tc>
          <w:tcPr>
            <w:tcW w:w="2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55,551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3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Times New Roman" w:cs="Times New Roman" w:eastAsia="Times New Roman" w:hAnsi="Times New Roman"/>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Times New Roman" w:cs="Times New Roman" w:eastAsia="Times New Roman" w:hAnsi="Times New Roman"/>
                <w:sz w:val="16"/>
                <w:szCs w:val="16"/>
                <w:color w:val="auto"/>
              </w:rPr>
              <w:t>14%</w:t>
            </w:r>
          </w:p>
        </w:tc>
        <w:tc>
          <w:tcPr>
            <w:tcW w:w="1180" w:type="dxa"/>
            <w:vAlign w:val="bottom"/>
            <w:tcBorders>
              <w:bottom w:val="single" w:sz="8" w:color="CFF0FC"/>
            </w:tcBorders>
            <w:gridSpan w:val="2"/>
          </w:tcPr>
          <w:p>
            <w:pPr>
              <w:ind w:left="740"/>
              <w:spacing w:after="0"/>
              <w:rPr>
                <w:sz w:val="20"/>
                <w:szCs w:val="20"/>
                <w:color w:val="auto"/>
              </w:rPr>
            </w:pPr>
            <w:r>
              <w:rPr>
                <w:rFonts w:ascii="Times New Roman" w:cs="Times New Roman" w:eastAsia="Times New Roman" w:hAnsi="Times New Roman"/>
                <w:sz w:val="16"/>
                <w:szCs w:val="16"/>
                <w:color w:val="auto"/>
              </w:rPr>
              <w:t>34%</w:t>
            </w:r>
          </w:p>
        </w:tc>
        <w:tc>
          <w:tcPr>
            <w:tcW w:w="1180" w:type="dxa"/>
            <w:vAlign w:val="bottom"/>
            <w:tcBorders>
              <w:bottom w:val="single" w:sz="8" w:color="CFF0FC"/>
            </w:tcBorders>
            <w:gridSpan w:val="2"/>
          </w:tcPr>
          <w:p>
            <w:pPr>
              <w:ind w:left="740"/>
              <w:spacing w:after="0"/>
              <w:rPr>
                <w:sz w:val="20"/>
                <w:szCs w:val="20"/>
                <w:color w:val="auto"/>
              </w:rPr>
            </w:pPr>
            <w:r>
              <w:rPr>
                <w:rFonts w:ascii="Times New Roman" w:cs="Times New Roman" w:eastAsia="Times New Roman" w:hAnsi="Times New Roman"/>
                <w:sz w:val="16"/>
                <w:szCs w:val="16"/>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80,573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(100%)</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(100%)</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(6%) and monthly (94%)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(24%), monthly (72%) and annually (4%)</w:t>
      </w:r>
    </w:p>
    <w:p>
      <w:pPr>
        <w:spacing w:after="0" w:line="9"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Estimated Liquidation Period of</w:t>
            </w:r>
          </w:p>
        </w:tc>
        <w:tc>
          <w:tcPr>
            <w:tcW w:w="218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Not Redeemable</w:t>
            </w:r>
          </w:p>
        </w:tc>
        <w:tc>
          <w:tcPr>
            <w:tcW w:w="21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Next</w:t>
            </w:r>
          </w:p>
        </w:tc>
        <w:tc>
          <w:tcPr>
            <w:tcW w:w="900" w:type="dxa"/>
            <w:vAlign w:val="bottom"/>
          </w:tcPr>
          <w:p>
            <w:pPr>
              <w:jc w:val="right"/>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4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(b)</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&gt;90 days</w:t>
            </w:r>
          </w:p>
        </w:tc>
        <w:tc>
          <w:tcPr>
            <w:tcW w:w="0" w:type="dxa"/>
            <w:vAlign w:val="bottom"/>
          </w:tcPr>
          <w:p>
            <w:pPr>
              <w:spacing w:after="0"/>
              <w:rPr>
                <w:sz w:val="1"/>
                <w:szCs w:val="1"/>
                <w:color w:val="auto"/>
              </w:rPr>
            </w:pPr>
          </w:p>
        </w:tc>
      </w:tr>
      <w:tr>
        <w:trPr>
          <w:trHeight w:val="210"/>
        </w:trPr>
        <w:tc>
          <w:tcPr>
            <w:tcW w:w="21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(c)</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&lt;30-30 days</w:t>
            </w:r>
          </w:p>
        </w:tc>
        <w:tc>
          <w:tcPr>
            <w:tcW w:w="0" w:type="dxa"/>
            <w:vAlign w:val="bottom"/>
          </w:tcPr>
          <w:p>
            <w:pPr>
              <w:spacing w:after="0"/>
              <w:rPr>
                <w:sz w:val="1"/>
                <w:szCs w:val="1"/>
                <w:color w:val="auto"/>
              </w:rPr>
            </w:pPr>
          </w:p>
        </w:tc>
      </w:tr>
      <w:tr>
        <w:trPr>
          <w:trHeight w:val="22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&lt;30 days</w:t>
            </w:r>
          </w:p>
        </w:tc>
        <w:tc>
          <w:tcPr>
            <w:tcW w:w="0" w:type="dxa"/>
            <w:vAlign w:val="bottom"/>
          </w:tcPr>
          <w:p>
            <w:pPr>
              <w:spacing w:after="0"/>
              <w:rPr>
                <w:sz w:val="1"/>
                <w:szCs w:val="1"/>
                <w:color w:val="auto"/>
              </w:rPr>
            </w:pPr>
          </w:p>
        </w:tc>
      </w:tr>
      <w:tr>
        <w:trPr>
          <w:trHeight w:val="210"/>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&lt;30-90 days</w:t>
            </w:r>
          </w:p>
        </w:tc>
        <w:tc>
          <w:tcPr>
            <w:tcW w:w="0" w:type="dxa"/>
            <w:vAlign w:val="bottom"/>
          </w:tcPr>
          <w:p>
            <w:pPr>
              <w:spacing w:after="0"/>
              <w:rPr>
                <w:sz w:val="1"/>
                <w:szCs w:val="1"/>
                <w:color w:val="auto"/>
              </w:rPr>
            </w:pPr>
          </w:p>
        </w:tc>
      </w:tr>
      <w:tr>
        <w:trPr>
          <w:trHeight w:val="22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56,343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4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Times New Roman" w:cs="Times New Roman" w:eastAsia="Times New Roman" w:hAnsi="Times New Roman"/>
                <w:sz w:val="16"/>
                <w:szCs w:val="16"/>
                <w:color w:val="auto"/>
              </w:rPr>
              <w:t>100%</w:t>
            </w:r>
          </w:p>
        </w:tc>
        <w:tc>
          <w:tcPr>
            <w:tcW w:w="1160" w:type="dxa"/>
            <w:vAlign w:val="bottom"/>
            <w:tcBorders>
              <w:bottom w:val="single" w:sz="8" w:color="CFF0FC"/>
            </w:tcBorders>
            <w:gridSpan w:val="2"/>
          </w:tcPr>
          <w:p>
            <w:pPr>
              <w:ind w:left="720"/>
              <w:spacing w:after="0"/>
              <w:rPr>
                <w:sz w:val="20"/>
                <w:szCs w:val="20"/>
                <w:color w:val="auto"/>
              </w:rPr>
            </w:pPr>
            <w:r>
              <w:rPr>
                <w:rFonts w:ascii="Times New Roman" w:cs="Times New Roman" w:eastAsia="Times New Roman" w:hAnsi="Times New Roman"/>
                <w:sz w:val="16"/>
                <w:szCs w:val="16"/>
                <w:color w:val="auto"/>
              </w:rPr>
              <w:t>14%</w:t>
            </w:r>
          </w:p>
        </w:tc>
        <w:tc>
          <w:tcPr>
            <w:tcW w:w="1160" w:type="dxa"/>
            <w:vAlign w:val="bottom"/>
            <w:tcBorders>
              <w:bottom w:val="single" w:sz="8" w:color="CFF0FC"/>
            </w:tcBorders>
            <w:gridSpan w:val="2"/>
          </w:tcPr>
          <w:p>
            <w:pPr>
              <w:ind w:left="720"/>
              <w:spacing w:after="0"/>
              <w:rPr>
                <w:sz w:val="20"/>
                <w:szCs w:val="20"/>
                <w:color w:val="auto"/>
              </w:rPr>
            </w:pPr>
            <w:r>
              <w:rPr>
                <w:rFonts w:ascii="Times New Roman" w:cs="Times New Roman" w:eastAsia="Times New Roman" w:hAnsi="Times New Roman"/>
                <w:sz w:val="16"/>
                <w:szCs w:val="16"/>
                <w:color w:val="auto"/>
              </w:rPr>
              <w:t>34%</w:t>
            </w:r>
          </w:p>
        </w:tc>
        <w:tc>
          <w:tcPr>
            <w:tcW w:w="1180" w:type="dxa"/>
            <w:vAlign w:val="bottom"/>
            <w:tcBorders>
              <w:bottom w:val="single" w:sz="8" w:color="CFF0FC"/>
            </w:tcBorders>
            <w:gridSpan w:val="2"/>
          </w:tcPr>
          <w:p>
            <w:pPr>
              <w:ind w:left="740"/>
              <w:spacing w:after="0"/>
              <w:rPr>
                <w:sz w:val="20"/>
                <w:szCs w:val="20"/>
                <w:color w:val="auto"/>
              </w:rPr>
            </w:pPr>
            <w:r>
              <w:rPr>
                <w:rFonts w:ascii="Times New Roman" w:cs="Times New Roman" w:eastAsia="Times New Roman" w:hAnsi="Times New Roman"/>
                <w:sz w:val="16"/>
                <w:szCs w:val="16"/>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57,273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8,338</w:t>
            </w:r>
          </w:p>
        </w:tc>
        <w:tc>
          <w:tcPr>
            <w:tcW w:w="4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(100%)</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(100%)</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(6%) and monthly (94%)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(25%), monthly (70%) and annually (5%)</w:t>
      </w:r>
    </w:p>
    <w:p>
      <w:pPr>
        <w:spacing w:after="0" w:line="9"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176" w:lineRule="exact"/>
        <w:rPr>
          <w:sz w:val="20"/>
          <w:szCs w:val="20"/>
          <w:color w:val="auto"/>
        </w:rPr>
      </w:pPr>
    </w:p>
    <w:p>
      <w:pPr>
        <w:ind w:right="300" w:firstLine="51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Investment Capital Funding Commitments</w:t>
      </w:r>
      <w:r>
        <w:rPr>
          <w:rFonts w:ascii="Times New Roman" w:cs="Times New Roman" w:eastAsia="Times New Roman" w:hAnsi="Times New Roman"/>
          <w:sz w:val="18"/>
          <w:szCs w:val="18"/>
          <w:color w:val="auto"/>
        </w:rPr>
        <w:t>—At March 31, 2019, the Company’s maximum unfunded commitments for capital contributions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funds primarily arose from commitments to EGCP III, which amounted to $7,602.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ectPr>
          <w:pgSz w:w="11900" w:h="16838" w:orient="portrait"/>
          <w:cols w:equalWidth="0" w:num="1">
            <w:col w:w="11420"/>
          </w:cols>
          <w:pgMar w:left="240" w:top="117"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20" w:name="page21"/>
    <w:bookmarkEnd w:id="20"/>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5"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8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March 31, 2019 and December 31,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920" w:type="dxa"/>
            <w:vAlign w:val="bottom"/>
            <w:tcBorders>
              <w:bottom w:val="single" w:sz="8" w:color="CFF0FC"/>
            </w:tcBorders>
          </w:tcPr>
          <w:p>
            <w:pPr>
              <w:spacing w:after="0"/>
              <w:rPr>
                <w:sz w:val="15"/>
                <w:szCs w:val="15"/>
                <w:color w:val="auto"/>
              </w:rPr>
            </w:pPr>
          </w:p>
        </w:tc>
        <w:tc>
          <w:tcPr>
            <w:tcW w:w="4260" w:type="dxa"/>
            <w:vAlign w:val="bottom"/>
            <w:tcBorders>
              <w:bottom w:val="single" w:sz="8" w:color="CFF0FC"/>
            </w:tcBorders>
          </w:tcPr>
          <w:p>
            <w:pPr>
              <w:spacing w:after="0"/>
              <w:rPr>
                <w:sz w:val="15"/>
                <w:szCs w:val="15"/>
                <w:color w:val="auto"/>
              </w:rPr>
            </w:pPr>
          </w:p>
        </w:tc>
        <w:tc>
          <w:tcPr>
            <w:tcW w:w="16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241,971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188,022</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245,561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9" w:lineRule="exact"/>
        <w:rPr>
          <w:sz w:val="20"/>
          <w:szCs w:val="20"/>
          <w:color w:val="auto"/>
        </w:rPr>
      </w:pPr>
    </w:p>
    <w:p>
      <w:pPr>
        <w:jc w:val="both"/>
        <w:ind w:left="380" w:right="60" w:hanging="372"/>
        <w:spacing w:after="0" w:line="289" w:lineRule="auto"/>
        <w:tabs>
          <w:tab w:leader="none" w:pos="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total return swaps, amounts represent the netting of gross derivative assets and liabilities of $331 and $2,564 as of March 31, 2019, respectively, and $10,792 and $369 as of December 31, 2018, respectively, for contracts with the same counterparty under legally enforceable master netting agreements. Such amounts are recorded “net” in “other assets”, with receivables for net cash collateral under such contracts of $5,070 as of March 31, 2019.</w:t>
      </w:r>
    </w:p>
    <w:p>
      <w:pPr>
        <w:spacing w:after="0" w:line="172" w:lineRule="exact"/>
        <w:rPr>
          <w:sz w:val="20"/>
          <w:szCs w:val="20"/>
          <w:color w:val="auto"/>
        </w:rPr>
      </w:pPr>
    </w:p>
    <w:p>
      <w:pPr>
        <w:jc w:val="both"/>
        <w:ind w:right="80" w:firstLine="518"/>
        <w:spacing w:after="0" w:line="289" w:lineRule="auto"/>
        <w:rPr>
          <w:sz w:val="20"/>
          <w:szCs w:val="20"/>
          <w:color w:val="auto"/>
        </w:rPr>
      </w:pPr>
      <w:r>
        <w:rPr>
          <w:rFonts w:ascii="Times New Roman" w:cs="Times New Roman" w:eastAsia="Times New Roman" w:hAnsi="Times New Roman"/>
          <w:sz w:val="17"/>
          <w:szCs w:val="17"/>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2019 and 2018,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FF0FC"/>
            </w:tcBorders>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29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2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(13,870)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return swaps and other</w:t>
            </w:r>
          </w:p>
        </w:tc>
        <w:tc>
          <w:tcPr>
            <w:tcW w:w="29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(7,657)</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(17,007)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92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9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 w:name="page22"/>
    <w:bookmarkEnd w:id="21"/>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March 31, 2019 and December 31, 2018, property consisted of the following:</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203,646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552,484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342,868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209,616</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212,946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adopted the new lease accounting guidance as of January 1, 2019, which resulted in recognition of ROU assets and lease liabilities related to operating leases on the condensed consolidated statements of financial condition. The Company determines if an arrangement is, or contains, a lease at inception. Operating lease ROU assets represent the right to use an underlying asset for the lease term and operating lease liabilities reflect the obligation to make lease payments arising from the lease. At any given time during the lease term, the operating lease liability represents the present value of the remaining lease payments and the operating lease ROU asset is measured at the amount of the lease liability, adjusted for rent prepayments, unamortized initial direct costs and the remaining balance of lease incentives received. Both the operating lease ROU asset and the operating lease liability are reduced to zero at the end of the lease.</w:t>
      </w:r>
    </w:p>
    <w:p>
      <w:pPr>
        <w:spacing w:after="0" w:line="18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Company leases office space and equipment under non-cancelable lease agreements, which expire on various dates through 2033. Substantially all of these arrangements are operating leases relating to office space. Certain leases have renewal options that can be exercised at the discretion of the Company. The Company only includes renewal options in the lease term when it is reasonably certain to exercise the option. The Company does not record leases with a lease term of 12 months or less on the condensed consolidated statements of financial condition; lease expense for these leases is recognized over the lease term on a straight-line basis.</w:t>
      </w:r>
    </w:p>
    <w:p>
      <w:pPr>
        <w:spacing w:after="0" w:line="184" w:lineRule="exact"/>
        <w:rPr>
          <w:sz w:val="20"/>
          <w:szCs w:val="20"/>
          <w:color w:val="auto"/>
        </w:rPr>
      </w:pPr>
    </w:p>
    <w:p>
      <w:pPr>
        <w:ind w:right="400" w:firstLine="518"/>
        <w:spacing w:after="0" w:line="261" w:lineRule="auto"/>
        <w:rPr>
          <w:sz w:val="20"/>
          <w:szCs w:val="20"/>
          <w:color w:val="auto"/>
        </w:rPr>
      </w:pPr>
      <w:r>
        <w:rPr>
          <w:rFonts w:ascii="Times New Roman" w:cs="Times New Roman" w:eastAsia="Times New Roman" w:hAnsi="Times New Roman"/>
          <w:sz w:val="18"/>
          <w:szCs w:val="18"/>
          <w:color w:val="auto"/>
        </w:rPr>
        <w:t>For leases commencing on January 1, 2019 or thereafter that are recognized on the condensed consolidated statements of financial condition, the Company applies its estimated Discount. The Company bases this Discount on the information available at the lease commencement date. The Company determines its Discount with consideration of the Company’s public debt issuances as well as publicly available data for instruments with similar characteristics.</w:t>
      </w:r>
    </w:p>
    <w:p>
      <w:pPr>
        <w:spacing w:after="0" w:line="207"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For leases commencing on January 1, 2019 or thereafter that relate to office space and equipment, the Company accounts for the lease and non-lease components as a single lease component.</w:t>
      </w:r>
    </w:p>
    <w:p>
      <w:pPr>
        <w:spacing w:after="0" w:line="162"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In addition to rent payments, operating leases for office space generally contain payments for real estate taxes, insurance costs, common area maintenance, and utilities that are not fixed. The Company accounts for these costs as variable payments and does not include them in the lease component. There are certain office leases outside of the U.S. that have annual rent increases that are also accounted for as variable payments and are excluded from the lease component.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operating lease expense reflected on the accompanying condensed consolidated statements of operations for the three month period ended March 31,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9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37"/>
        </w:trPr>
        <w:tc>
          <w:tcPr>
            <w:tcW w:w="9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tcPr>
          <w:p>
            <w:pPr>
              <w:spacing w:after="0"/>
              <w:rPr>
                <w:sz w:val="21"/>
                <w:szCs w:val="21"/>
                <w:color w:val="auto"/>
              </w:rPr>
            </w:pPr>
          </w:p>
        </w:tc>
      </w:tr>
      <w:tr>
        <w:trPr>
          <w:trHeight w:val="24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(1,770)</w:t>
            </w:r>
          </w:p>
        </w:tc>
      </w:tr>
      <w:tr>
        <w:trPr>
          <w:trHeight w:val="237"/>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22,469</w:t>
            </w:r>
          </w:p>
        </w:tc>
        <w:tc>
          <w:tcPr>
            <w:tcW w:w="10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supplemental cash flow information and certain other information related to operating leases for the three month period ended March 31,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5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Maturities of the operating lease liabilities outstanding at March 31, 2019 for each of the five years in the period ending December 31, 2023 and therafter are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(April 1 through December 31)</w:t>
            </w:r>
          </w:p>
        </w:tc>
        <w:tc>
          <w:tcPr>
            <w:tcW w:w="588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480" w:type="dxa"/>
            <w:vAlign w:val="bottom"/>
            <w:shd w:val="clear" w:color="auto" w:fill="CFF0FC"/>
          </w:tcPr>
          <w:p>
            <w:pPr>
              <w:spacing w:after="0"/>
              <w:rPr>
                <w:sz w:val="19"/>
                <w:szCs w:val="19"/>
                <w:color w:val="auto"/>
              </w:rPr>
            </w:pPr>
          </w:p>
        </w:tc>
        <w:tc>
          <w:tcPr>
            <w:tcW w:w="5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shd w:val="clear" w:color="auto" w:fill="CFF0FC"/>
          </w:tcPr>
          <w:p>
            <w:pPr>
              <w:spacing w:after="0"/>
              <w:rPr>
                <w:sz w:val="19"/>
                <w:szCs w:val="19"/>
                <w:color w:val="auto"/>
              </w:rPr>
            </w:pPr>
          </w:p>
        </w:tc>
        <w:tc>
          <w:tcPr>
            <w:tcW w:w="5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1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51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100" w:type="dxa"/>
            <w:vAlign w:val="bottom"/>
            <w:vMerge w:val="restart"/>
          </w:tcPr>
          <w:p>
            <w:pPr>
              <w:jc w:val="right"/>
              <w:ind w:right="3350"/>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47"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Prior to the adoption of the new lease accounting guidance, the minimum rental commitments under non-cancelable operating leases at December 31, 2018, net of sublease income, were approximately as follows:</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400" w:type="dxa"/>
            <w:vAlign w:val="bottom"/>
            <w:shd w:val="clear" w:color="auto" w:fill="CFF0FC"/>
          </w:tcPr>
          <w:p>
            <w:pPr>
              <w:spacing w:after="0"/>
              <w:rPr>
                <w:sz w:val="19"/>
                <w:szCs w:val="19"/>
                <w:color w:val="auto"/>
              </w:rPr>
            </w:pPr>
          </w:p>
        </w:tc>
        <w:tc>
          <w:tcPr>
            <w:tcW w:w="2980" w:type="dxa"/>
            <w:vAlign w:val="bottom"/>
            <w:gridSpan w:val="2"/>
            <w:shd w:val="clear" w:color="auto" w:fill="CFF0FC"/>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86,839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4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83,701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4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488,612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rental commitments</w:t>
            </w:r>
          </w:p>
        </w:tc>
        <w:tc>
          <w:tcPr>
            <w:tcW w:w="24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sublease proceeds</w:t>
            </w:r>
          </w:p>
        </w:tc>
        <w:tc>
          <w:tcPr>
            <w:tcW w:w="24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rental commitments</w:t>
            </w:r>
          </w:p>
        </w:tc>
        <w:tc>
          <w:tcPr>
            <w:tcW w:w="24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852,409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August 2018, the Company entered into a lease agreement for additional office facilities, which are currently under construction. The lease is expected to commence in the third quarter of 2019 when the facilities are delivered to the Company. The Company will recognize the related operating lease right-of-use assets and the operating lease liability on the lease commencement date. Operating lease commitments in the table above include the impact of the new lease agreement.</w:t>
      </w:r>
    </w:p>
    <w:p>
      <w:pPr>
        <w:spacing w:after="0" w:line="36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components of goodwill and other intangible assets at March 31, 2019 and December 31, 2018 are presented below:</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680" w:type="dxa"/>
            <w:vAlign w:val="bottom"/>
            <w:tcBorders>
              <w:bottom w:val="single" w:sz="8" w:color="CFF0FC"/>
            </w:tcBorders>
          </w:tcPr>
          <w:p>
            <w:pPr>
              <w:spacing w:after="0"/>
              <w:rPr>
                <w:sz w:val="15"/>
                <w:szCs w:val="15"/>
                <w:color w:val="auto"/>
              </w:rPr>
            </w:pPr>
          </w:p>
        </w:tc>
        <w:tc>
          <w:tcPr>
            <w:tcW w:w="15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372,353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371,561</w:t>
            </w:r>
          </w:p>
        </w:tc>
        <w:tc>
          <w:tcPr>
            <w:tcW w:w="80" w:type="dxa"/>
            <w:vAlign w:val="bottom"/>
            <w:shd w:val="clear" w:color="auto" w:fill="CFF0FC"/>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68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5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375,682</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375,318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At March 31, 2019 and December 31, 2018, goodwill of $307,812 and $307,020, respectively, was attributable to the Company’s Financial Advisory segment and, at each such respective date, $64,541 of goodwill was attributable to the Company’s Asset Management segment.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 periods ended March 31, 2019 and 2018 are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371,561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385,292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(2,185)</w:t>
            </w: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All changes in the carrying amount of goodwill for the three month periods ended March 31, 2019 and 2018 are attributable to the Company’s Financial Advisory segment.</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7" w:right="359" w:bottom="1440" w:gutter="0" w:footer="0" w:header="0"/>
        </w:sectPr>
      </w:pPr>
    </w:p>
    <w:bookmarkStart w:id="24" w:name="page25"/>
    <w:bookmarkEnd w:id="24"/>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The gross cost and accumulated amortization of other intangible assets as of March 31, 2019 and December 31, 2018, by major intangible asset category,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Success/incentive fees</w:t>
            </w:r>
          </w:p>
        </w:tc>
        <w:tc>
          <w:tcPr>
            <w:tcW w:w="7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32,235</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customer relationships and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non-compete agreements</w:t>
            </w:r>
          </w:p>
        </w:tc>
        <w:tc>
          <w:tcPr>
            <w:tcW w:w="7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34,480</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33,773</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34,474</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69,757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66,428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65,949</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included in “amortization and other acquisition-related (benefits) costs” in the condensed consolidated statements of operations, for the three month periods ended March 31, 2019 and 2018 was $431 and $833, respectively. Estimated future amortization expense is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86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80"/>
        </w:trPr>
        <w:tc>
          <w:tcPr>
            <w:tcW w:w="1660" w:type="dxa"/>
            <w:vAlign w:val="bottom"/>
            <w:tcBorders>
              <w:bottom w:val="single" w:sz="8" w:color="auto"/>
            </w:tcBorders>
            <w:gridSpan w:val="2"/>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(April 1 through December 31)</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DEBT</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Senior debt is comprised of the following as of March 31, 2019 and December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40" w:type="dxa"/>
            <w:vAlign w:val="bottom"/>
            <w:gridSpan w:val="2"/>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0" w:type="dxa"/>
            <w:vAlign w:val="bottom"/>
            <w:gridSpan w:val="4"/>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Rate(b)</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5"/>
        </w:trPr>
        <w:tc>
          <w:tcPr>
            <w:tcW w:w="1920" w:type="dxa"/>
            <w:vAlign w:val="bottom"/>
            <w:tcBorders>
              <w:top w:val="single" w:sz="8" w:color="CFF0FC"/>
            </w:tcBorders>
            <w:shd w:val="clear" w:color="auto" w:fill="CFF0FC"/>
          </w:tcPr>
          <w:p>
            <w:pPr>
              <w:jc w:val="center"/>
              <w:ind w:right="410"/>
              <w:spacing w:after="0" w:line="205" w:lineRule="exact"/>
              <w:rPr>
                <w:sz w:val="20"/>
                <w:szCs w:val="20"/>
                <w:color w:val="auto"/>
              </w:rPr>
            </w:pPr>
            <w:r>
              <w:rPr>
                <w:rFonts w:ascii="Times New Roman" w:cs="Times New Roman" w:eastAsia="Times New Roman" w:hAnsi="Times New Roman"/>
                <w:sz w:val="18"/>
                <w:szCs w:val="18"/>
                <w:color w:val="auto"/>
              </w:rPr>
              <w:t>Lazard Group 2020</w:t>
            </w:r>
          </w:p>
        </w:tc>
        <w:tc>
          <w:tcPr>
            <w:tcW w:w="6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FF0FC"/>
          </w:tcPr>
          <w:p>
            <w:pPr>
              <w:jc w:val="center"/>
              <w:ind w:right="370"/>
              <w:spacing w:after="0"/>
              <w:rPr>
                <w:sz w:val="20"/>
                <w:szCs w:val="20"/>
                <w:color w:val="auto"/>
              </w:rPr>
            </w:pPr>
            <w:r>
              <w:rPr>
                <w:rFonts w:ascii="Times New Roman" w:cs="Times New Roman" w:eastAsia="Times New Roman" w:hAnsi="Times New Roman"/>
                <w:sz w:val="18"/>
                <w:szCs w:val="18"/>
                <w:color w:val="auto"/>
                <w:w w:val="99"/>
              </w:rPr>
              <w:t>Senior Notes (a)</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82,057</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81,812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shd w:val="clear" w:color="auto" w:fill="CFF0FC"/>
          </w:tcPr>
          <w:p>
            <w:pPr>
              <w:jc w:val="center"/>
              <w:ind w:right="410"/>
              <w:spacing w:after="0"/>
              <w:rPr>
                <w:sz w:val="20"/>
                <w:szCs w:val="20"/>
                <w:color w:val="auto"/>
              </w:rPr>
            </w:pPr>
            <w:r>
              <w:rPr>
                <w:rFonts w:ascii="Times New Roman" w:cs="Times New Roman" w:eastAsia="Times New Roman" w:hAnsi="Times New Roman"/>
                <w:sz w:val="18"/>
                <w:szCs w:val="18"/>
                <w:color w:val="auto"/>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296,883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Lazard Group 2028</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9/19/28</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491,452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20" w:type="dxa"/>
            <w:vAlign w:val="bottom"/>
            <w:shd w:val="clear" w:color="auto" w:fill="CFF0FC"/>
          </w:tcPr>
          <w:p>
            <w:pPr>
              <w:jc w:val="center"/>
              <w:ind w:right="410"/>
              <w:spacing w:after="0"/>
              <w:rPr>
                <w:sz w:val="20"/>
                <w:szCs w:val="20"/>
                <w:color w:val="auto"/>
              </w:rPr>
            </w:pPr>
            <w:r>
              <w:rPr>
                <w:rFonts w:ascii="Times New Roman" w:cs="Times New Roman" w:eastAsia="Times New Roman" w:hAnsi="Times New Roman"/>
                <w:sz w:val="18"/>
                <w:szCs w:val="18"/>
                <w:color w:val="auto"/>
              </w:rPr>
              <w:t>Lazard Group 2029</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shd w:val="clear" w:color="auto" w:fill="CFF0FC"/>
          </w:tcPr>
          <w:p>
            <w:pPr>
              <w:jc w:val="center"/>
              <w:ind w:right="370"/>
              <w:spacing w:after="0"/>
              <w:rPr>
                <w:sz w:val="20"/>
                <w:szCs w:val="20"/>
                <w:color w:val="auto"/>
              </w:rPr>
            </w:pPr>
            <w:r>
              <w:rPr>
                <w:rFonts w:ascii="Times New Roman" w:cs="Times New Roman" w:eastAsia="Times New Roman" w:hAnsi="Times New Roman"/>
                <w:sz w:val="18"/>
                <w:szCs w:val="18"/>
                <w:color w:val="auto"/>
                <w:w w:val="99"/>
              </w:rPr>
              <w:t>Senior Notes (a)</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3/11/29</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4.375%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491,920</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1,782,057</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1,759,297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1,450,000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1,434,260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right="40" w:hanging="372"/>
        <w:spacing w:after="0" w:line="258"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2019, Lazard Group completed an offering of $500,000 aggregate principal amount of 4.375% senior notes due 2029 (the “2029 Notes”). Interest on the 2029 Notes is payable semi-annually on March 11 and September 11 of each year, beginning September 11, 2019. Lazard Group used a portion of the net proceeds of the 2029 Notes to redeem or otherwise retire $250,000 aggregate principal amount of the 4.25% senior notes due 2020 (the “2020 Notes”). As of March 31, 2019, $167,943 aggregate principal amount was redeemed or otherwise retired, and the remaining $82,057 was redeemed or otherwise retired on April 10, 2019.</w:t>
      </w:r>
    </w:p>
    <w:p>
      <w:pPr>
        <w:spacing w:after="0" w:line="8" w:lineRule="exact"/>
        <w:rPr>
          <w:rFonts w:ascii="Times New Roman" w:cs="Times New Roman" w:eastAsia="Times New Roman" w:hAnsi="Times New Roman"/>
          <w:sz w:val="18"/>
          <w:szCs w:val="18"/>
          <w:color w:val="auto"/>
        </w:rPr>
      </w:pPr>
    </w:p>
    <w:p>
      <w:pPr>
        <w:ind w:left="380" w:right="220" w:hanging="372"/>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interest rates of Lazard Group’s 3.75% senior notes due February 13, 2025 (the “2025 Notes”), Lazard Group’s 3.625% senior notes due March 1, 2027 (the “2027 Notes”), Lazard Group’s 4.50% senior notes due September 19, 2028 (the “2028 Notes”) and the 2029 Notes are 3.87%, 3.76%, 4.68% and 4.54% respectively.</w:t>
      </w:r>
    </w:p>
    <w:p>
      <w:pPr>
        <w:sectPr>
          <w:pgSz w:w="11900" w:h="16838" w:orient="portrait"/>
          <w:cols w:equalWidth="0" w:num="1">
            <w:col w:w="11420"/>
          </w:cols>
          <w:pgMar w:left="240" w:top="117"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25" w:name="page26"/>
    <w:bookmarkEnd w:id="25"/>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4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March 31, 2019 and December 31, 2018, no amounts were outstanding under the Amended and Restated Credit Agreement.</w:t>
      </w:r>
    </w:p>
    <w:p>
      <w:pPr>
        <w:spacing w:after="0" w:line="18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March 31, 2019, the Company was in compliance with such provisions. All of the Company’s senior debt obligations are unsecured.</w:t>
      </w:r>
    </w:p>
    <w:p>
      <w:pPr>
        <w:spacing w:after="0" w:line="176"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2019, the Company had approximately $168,000 in unused lines of credit available to it, including the credit facility provided under the Amended and Restated Credit Agreement and unused lines of credit available to LFB of approximately $17,000.</w:t>
      </w:r>
    </w:p>
    <w:p>
      <w:pPr>
        <w:spacing w:after="0" w:line="162"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Company’s senior debt at March 31, 2019 and December 31, 2018 is carried at historical amounts of $1,759,297 and $1,434,260, respectively. At those dates, the fair value of such senior debt was approximately $1,810,000 and $1,429,000, respectively. The fair value of the Company’s senior debt is based on market quotations. The Company’s senior debt would be categorized within Level 2 of the hierarchy of fair value measurements if carried at fair value.</w:t>
      </w:r>
    </w:p>
    <w:p>
      <w:pPr>
        <w:spacing w:after="0" w:line="36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17" w:lineRule="exact"/>
        <w:rPr>
          <w:sz w:val="20"/>
          <w:szCs w:val="20"/>
          <w:color w:val="auto"/>
        </w:rPr>
      </w:pPr>
    </w:p>
    <w:p>
      <w:pPr>
        <w:ind w:right="12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—In the normal course of business, LFB provides indemnifications to third parties to protect them in the event of non-performance by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At March 31, 2019, LFB had $45,649 of such indemnifications and held $45,649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77" w:lineRule="exact"/>
        <w:rPr>
          <w:sz w:val="20"/>
          <w:szCs w:val="20"/>
          <w:color w:val="auto"/>
        </w:rPr>
      </w:pPr>
    </w:p>
    <w:p>
      <w:pPr>
        <w:ind w:right="8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Acquisitions</w:t>
      </w:r>
      <w:r>
        <w:rPr>
          <w:rFonts w:ascii="Times New Roman" w:cs="Times New Roman" w:eastAsia="Times New Roman" w:hAnsi="Times New Roman"/>
          <w:sz w:val="18"/>
          <w:szCs w:val="18"/>
          <w:color w:val="auto"/>
        </w:rPr>
        <w:t>—For businesses acquired in 2016, the remaining consideration consists of (i) 40,524 shares of Class A common stock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non-compete provisions and employment conditions, and non-contingent interests exchangeable into 202,984 shares of Class A common stock, and (ii) up to 584,200 additional shares of Class A common stock that are subject to certain performance thresholds, as well as applicable related dividend equivalent amounts. During the three month period ended March 31, 2019, 265,343 of the contingent shares were earned, including dividend equivalent amounts.</w:t>
      </w:r>
    </w:p>
    <w:p>
      <w:pPr>
        <w:spacing w:after="0" w:line="177" w:lineRule="exact"/>
        <w:rPr>
          <w:sz w:val="20"/>
          <w:szCs w:val="20"/>
          <w:color w:val="auto"/>
        </w:rPr>
      </w:pPr>
    </w:p>
    <w:p>
      <w:pPr>
        <w:ind w:right="1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Commitments</w:t>
      </w:r>
      <w:r>
        <w:rPr>
          <w:rFonts w:ascii="Times New Roman" w:cs="Times New Roman" w:eastAsia="Times New Roman" w:hAnsi="Times New Roman"/>
          <w:sz w:val="18"/>
          <w:szCs w:val="18"/>
          <w:color w:val="auto"/>
        </w:rPr>
        <w:t>—The Company has various other contractual commitments arising in the ordinary course of business. In addition,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each of LFB and LFNY may enter into underwriting commitments in which it will participate as an underwriter. At March 31, 2019, LFB and LFNY had no such underwriting commitments.</w:t>
      </w:r>
    </w:p>
    <w:p>
      <w:pPr>
        <w:spacing w:after="0" w:line="175"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See Notes 6 and 15 for information regarding commitments relating to investment capital funding commitments and obligations to fund our pension plans, respectively.</w:t>
      </w:r>
    </w:p>
    <w:p>
      <w:pPr>
        <w:spacing w:after="0" w:line="162" w:lineRule="exact"/>
        <w:rPr>
          <w:sz w:val="20"/>
          <w:szCs w:val="20"/>
          <w:color w:val="auto"/>
        </w:rPr>
      </w:pPr>
    </w:p>
    <w:p>
      <w:pPr>
        <w:ind w:right="720" w:firstLine="518"/>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58"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6" w:name="page27"/>
    <w:bookmarkEnd w:id="26"/>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3"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STOCKHOLDERS’ EQUITY</w:t>
      </w:r>
    </w:p>
    <w:p>
      <w:pPr>
        <w:spacing w:after="0" w:line="117" w:lineRule="exact"/>
        <w:rPr>
          <w:sz w:val="20"/>
          <w:szCs w:val="20"/>
          <w:color w:val="auto"/>
        </w:rPr>
      </w:pPr>
    </w:p>
    <w:p>
      <w:pPr>
        <w:ind w:right="1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—During the three month period ended March 31, 2019 and since 2017, the Board of Directors of Lazard authorized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 of Class A common stock as set forth in the table below:</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340" w:type="dxa"/>
            <w:vAlign w:val="bottom"/>
            <w:vMerge w:val="restart"/>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22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gridSpan w:val="2"/>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Authorization</w:t>
            </w:r>
          </w:p>
        </w:tc>
        <w:tc>
          <w:tcPr>
            <w:tcW w:w="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25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vMerge w:val="continue"/>
            <w:shd w:val="clear" w:color="auto" w:fill="CFF0FC"/>
          </w:tcPr>
          <w:p>
            <w:pPr>
              <w:spacing w:after="0"/>
              <w:rPr>
                <w:sz w:val="20"/>
                <w:szCs w:val="20"/>
                <w:color w:val="auto"/>
              </w:rPr>
            </w:pPr>
          </w:p>
        </w:tc>
        <w:tc>
          <w:tcPr>
            <w:tcW w:w="2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2018</w:t>
            </w:r>
          </w:p>
        </w:tc>
        <w:tc>
          <w:tcPr>
            <w:tcW w:w="2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2018</w:t>
            </w:r>
          </w:p>
        </w:tc>
        <w:tc>
          <w:tcPr>
            <w:tcW w:w="2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2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2020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Company expects that the share repurchase program will continue to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80"/>
        </w:trPr>
        <w:tc>
          <w:tcPr>
            <w:tcW w:w="6280" w:type="dxa"/>
            <w:vAlign w:val="bottom"/>
            <w:gridSpan w:val="3"/>
            <w:vMerge w:val="continue"/>
          </w:tcPr>
          <w:p>
            <w:pPr>
              <w:spacing w:after="0"/>
              <w:rPr>
                <w:sz w:val="15"/>
                <w:szCs w:val="15"/>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42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2,662,286</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5,177,948</w:t>
            </w: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During the three month periods ended March 31, 2019 and 2018,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three month period ended March 31, 2018, the Company purchased shares of Class A common stock from certain of our executive officers. The aggregate value of all such purchases during the three month periods ended March 31, 2019 and 2018 was approximately $14,600 and $16,400, respectively. Such shares of Class A common stock are reported at cost.</w:t>
      </w:r>
    </w:p>
    <w:p>
      <w:pPr>
        <w:spacing w:after="0" w:line="188"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2019, a total of $403,415 of share repurchase authorization remained available under the Company’s share repurchase program, all of which will expire on December 31, 2020.</w:t>
      </w:r>
    </w:p>
    <w:p>
      <w:pPr>
        <w:spacing w:after="0" w:line="162"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March 31, 2019, the Company had in place trading plans under Rule 10b5-1 of the Securities Exchange Act of 1934, as amended (the “Exchange Act”), pursuant to which it effected stock repurchases in the open market.</w:t>
      </w:r>
    </w:p>
    <w:p>
      <w:pPr>
        <w:spacing w:after="0" w:line="158" w:lineRule="exact"/>
        <w:rPr>
          <w:sz w:val="20"/>
          <w:szCs w:val="20"/>
          <w:color w:val="auto"/>
        </w:rPr>
      </w:pPr>
    </w:p>
    <w:p>
      <w:pPr>
        <w:ind w:right="12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—Lazard Ltd has 15,000,000 authorized shares of preferred stock, par value $0.01 per share, inclusive of its Series A and Series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both March 31, 2019 and December 31, 2018, no shares of Series A or Series B preferred stock were outstanding.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19" w:lineRule="exact"/>
        <w:rPr>
          <w:sz w:val="20"/>
          <w:szCs w:val="20"/>
          <w:color w:val="auto"/>
        </w:rPr>
      </w:pPr>
    </w:p>
    <w:p>
      <w:pPr>
        <w:ind w:right="3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Net of Tax</w:t>
      </w:r>
      <w:r>
        <w:rPr>
          <w:rFonts w:ascii="Times New Roman" w:cs="Times New Roman" w:eastAsia="Times New Roman" w:hAnsi="Times New Roman"/>
          <w:sz w:val="18"/>
          <w:szCs w:val="18"/>
          <w:color w:val="auto"/>
        </w:rPr>
        <w:t>—The tables below reflect the balances of each component of AOCI at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and 2018 and activity during the three month periods then ended: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left="124"/>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Lazard Ltd</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Borders>
              <w:bottom w:val="single" w:sz="8" w:color="CFF0FC"/>
            </w:tcBorders>
            <w:gridSpan w:val="2"/>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(130,137</w:t>
            </w:r>
          </w:p>
        </w:tc>
        <w:tc>
          <w:tcPr>
            <w:tcW w:w="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(143,683</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(273,818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(126,357</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(142,502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(268,859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Lazard Ltd</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Borders>
              <w:bottom w:val="single" w:sz="8" w:color="CFF0FC"/>
            </w:tcBorders>
            <w:gridSpan w:val="2"/>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AOCI</w:t>
            </w:r>
          </w:p>
        </w:tc>
        <w:tc>
          <w:tcPr>
            <w:tcW w:w="200" w:type="dxa"/>
            <w:vAlign w:val="bottom"/>
            <w:tcBorders>
              <w:bottom w:val="single" w:sz="8" w:color="CFF0FC"/>
            </w:tcBorders>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(83,535)</w:t>
            </w: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(148,984</w:t>
            </w:r>
          </w:p>
        </w:tc>
        <w:tc>
          <w:tcPr>
            <w:tcW w:w="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(232,519</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72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(232,518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17,346</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17,346</w:t>
            </w: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gridSpan w:val="2"/>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(66,189)</w:t>
            </w:r>
          </w:p>
        </w:tc>
        <w:tc>
          <w:tcPr>
            <w:tcW w:w="2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(152,936</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(219,125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72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reflects adjustments for items reclassified out of AOCI, by component, for the three month periods ended March 31,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19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relating to employee benefit plans (a)</w:t>
            </w:r>
          </w:p>
        </w:tc>
        <w:tc>
          <w:tcPr>
            <w:tcW w:w="20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 related income taxes</w:t>
            </w:r>
          </w:p>
        </w:tc>
        <w:tc>
          <w:tcPr>
            <w:tcW w:w="20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20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0" w:lineRule="exact"/>
        <w:rPr>
          <w:sz w:val="20"/>
          <w:szCs w:val="20"/>
          <w:color w:val="auto"/>
        </w:rPr>
      </w:pPr>
    </w:p>
    <w:p>
      <w:pPr>
        <w:ind w:left="380" w:right="400" w:hanging="372"/>
        <w:spacing w:after="0" w:line="284"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computation of net periodic benefit cost (see Note 15). Such amounts are included in “operating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other” on the condensed consolidated statements of operations.</w:t>
      </w:r>
    </w:p>
    <w:p>
      <w:pPr>
        <w:spacing w:after="0" w:line="156" w:lineRule="exact"/>
        <w:rPr>
          <w:sz w:val="20"/>
          <w:szCs w:val="20"/>
          <w:color w:val="auto"/>
        </w:rPr>
      </w:pPr>
    </w:p>
    <w:p>
      <w:pPr>
        <w:ind w:right="4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Noncontrolling Interests</w:t>
      </w:r>
      <w:r>
        <w:rPr>
          <w:rFonts w:ascii="Times New Roman" w:cs="Times New Roman" w:eastAsia="Times New Roman" w:hAnsi="Times New Roman"/>
          <w:sz w:val="18"/>
          <w:szCs w:val="18"/>
          <w:color w:val="auto"/>
        </w:rPr>
        <w:t>—Noncontrolling interests principally represent interests held in Edgewater’s management vehicles that the Company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deemed to control, but does not own, and profits interest participation rights (see Note 14).</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8" w:name="page29"/>
    <w:bookmarkEnd w:id="28"/>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tables below summarize net income attributable to noncontrolling interests for the three month periods ended March 31, 2019 and 2018 and noncontrolling interests as of March 31, 2019 and December 31, 2018 in the Company’s condensed consolidated financial statements:</w:t>
      </w:r>
    </w:p>
    <w:p>
      <w:pPr>
        <w:spacing w:after="0" w:line="16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Net Income</w:t>
      </w:r>
    </w:p>
    <w:p>
      <w:pPr>
        <w:jc w:val="center"/>
        <w:ind w:left="7740"/>
        <w:spacing w:after="0" w:line="229" w:lineRule="auto"/>
        <w:rPr>
          <w:sz w:val="20"/>
          <w:szCs w:val="20"/>
          <w:color w:val="auto"/>
        </w:rPr>
      </w:pPr>
      <w:r>
        <w:rPr>
          <w:rFonts w:ascii="Times New Roman" w:cs="Times New Roman" w:eastAsia="Times New Roman" w:hAnsi="Times New Roman"/>
          <w:sz w:val="14"/>
          <w:szCs w:val="14"/>
          <w:b w:val="1"/>
          <w:bCs w:val="1"/>
          <w:color w:val="auto"/>
        </w:rPr>
        <w:t>Attributable to Noncontrolling</w:t>
      </w:r>
    </w:p>
    <w:p>
      <w:pPr>
        <w:jc w:val="center"/>
        <w:ind w:left="7740"/>
        <w:spacing w:after="0" w:line="232" w:lineRule="auto"/>
        <w:rPr>
          <w:sz w:val="20"/>
          <w:szCs w:val="20"/>
          <w:color w:val="auto"/>
        </w:rPr>
      </w:pPr>
      <w:r>
        <w:rPr>
          <w:rFonts w:ascii="Times New Roman" w:cs="Times New Roman" w:eastAsia="Times New Roman" w:hAnsi="Times New Roman"/>
          <w:sz w:val="14"/>
          <w:szCs w:val="14"/>
          <w:b w:val="1"/>
          <w:bCs w:val="1"/>
          <w:color w:val="auto"/>
        </w:rPr>
        <w:t>Interests</w:t>
      </w:r>
    </w:p>
    <w:tbl>
      <w:tblPr>
        <w:tblLayout w:type="fixed"/>
        <w:tblInd w:w="0" w:type="dxa"/>
        <w:tblCellMar>
          <w:top w:w="0" w:type="dxa"/>
          <w:left w:w="0" w:type="dxa"/>
          <w:bottom w:w="0" w:type="dxa"/>
          <w:right w:w="0" w:type="dxa"/>
        </w:tblCellMar>
      </w:tblPr>
      <w:tr>
        <w:trPr>
          <w:trHeight w:val="144"/>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5"/>
          </w:tcPr>
          <w:p>
            <w:pPr>
              <w:jc w:val="center"/>
              <w:ind w:right="195"/>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2"/>
                <w:szCs w:val="12"/>
                <w:color w:val="auto"/>
              </w:rPr>
            </w:pPr>
          </w:p>
        </w:tc>
      </w:tr>
      <w:tr>
        <w:trPr>
          <w:trHeight w:val="173"/>
        </w:trPr>
        <w:tc>
          <w:tcPr>
            <w:tcW w:w="7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ind w:left="9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8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Edgewater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Noncontrolling Interests as of</w:t>
            </w:r>
          </w:p>
        </w:tc>
      </w:tr>
      <w:tr>
        <w:trPr>
          <w:trHeight w:val="144"/>
        </w:trPr>
        <w:tc>
          <w:tcPr>
            <w:tcW w:w="7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95"/>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r>
      <w:tr>
        <w:trPr>
          <w:trHeight w:val="173"/>
        </w:trPr>
        <w:tc>
          <w:tcPr>
            <w:tcW w:w="78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Edgewater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52,695</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Profits interest participation rights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53,242</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3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 Declared, April 24, 2019</w:t>
      </w:r>
      <w:r>
        <w:rPr>
          <w:rFonts w:ascii="Times New Roman" w:cs="Times New Roman" w:eastAsia="Times New Roman" w:hAnsi="Times New Roman"/>
          <w:sz w:val="18"/>
          <w:szCs w:val="18"/>
          <w:color w:val="auto"/>
        </w:rPr>
        <w:t>—On April 24, 2019, the Board of Directors of Lazard declared a quarterly dividend of $0.47 per share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common stock. The dividend is payable on May 17, 2019, to stockholders of record on May 6, 2019.</w:t>
      </w:r>
    </w:p>
    <w:p>
      <w:pPr>
        <w:spacing w:after="0" w:line="344"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Plan Awards</w:t>
      </w:r>
    </w:p>
    <w:p>
      <w:pPr>
        <w:spacing w:after="0" w:line="12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 description of Lazard Ltd’s 2018 Plan, 2008 Plan and 2005 Equity Incentive Plan (the “2005 Plan”) and activity with respect thereto during the three month periods ended March 31, 2019 and 2018 is presented below.</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2018 Plan, 2008 Plan and 2005 Plan</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profits interest participation rights and other share-based awards.</w:t>
      </w:r>
    </w:p>
    <w:p>
      <w:pPr>
        <w:spacing w:after="0" w:line="176"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84"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9" w:name="page30"/>
    <w:bookmarkEnd w:id="29"/>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The following reflects the amortization expense recorded with respect to share-based incentive plans within “compensation and benefits” expense (with respect to RSUs, PRSUs and other share-based awards) and “professional services” expense (with respect to DSUs) within the Company’s accompanying condensed consolidated statements of operations for the three month periods ended March 31, 2019 and 2018:</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00" w:type="dxa"/>
            <w:vAlign w:val="bottom"/>
            <w:tcBorders>
              <w:bottom w:val="single" w:sz="8" w:color="CFF0FC"/>
            </w:tcBorders>
          </w:tcPr>
          <w:p>
            <w:pPr>
              <w:spacing w:after="0"/>
              <w:rPr>
                <w:sz w:val="13"/>
                <w:szCs w:val="13"/>
                <w:color w:val="auto"/>
              </w:rPr>
            </w:pPr>
          </w:p>
        </w:tc>
        <w:tc>
          <w:tcPr>
            <w:tcW w:w="25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incentive awards:</w:t>
            </w:r>
          </w:p>
        </w:tc>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w:t>
            </w:r>
          </w:p>
        </w:tc>
        <w:tc>
          <w:tcPr>
            <w:tcW w:w="356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55,197</w:t>
            </w:r>
          </w:p>
        </w:tc>
        <w:tc>
          <w:tcPr>
            <w:tcW w:w="86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60,887</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PRSUs</w:t>
            </w:r>
          </w:p>
        </w:tc>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w:t>
            </w:r>
          </w:p>
        </w:tc>
        <w:tc>
          <w:tcPr>
            <w:tcW w:w="2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Profits interest participation rights</w:t>
            </w:r>
          </w:p>
        </w:tc>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DSUs</w:t>
            </w:r>
          </w:p>
        </w:tc>
        <w:tc>
          <w:tcPr>
            <w:tcW w:w="25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84,681</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For purposes of calculating diluted net income per share, RSUs, DSUs and other share-based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 For the three month period ended March 31, 2019, profits interest participation rights are excluded from the computation of outstanding stock equivalents for U.S. GAAP net income per share.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share-based incentive plans and awards are described below.</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RSUs and DSUs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84"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periods ended March 31, 2019 and 2018, issuances of RSUs pertaining to such dividend participation rights and respective charges to “retained earnings”, net of estimated forfeitures (with corresponding credits to “additional paid-in-capital”),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8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86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RSUs issued</w:t>
            </w:r>
          </w:p>
        </w:tc>
        <w:tc>
          <w:tcPr>
            <w:tcW w:w="3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406,886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535,695</w:t>
            </w:r>
          </w:p>
        </w:tc>
        <w:tc>
          <w:tcPr>
            <w:tcW w:w="120" w:type="dxa"/>
            <w:vAlign w:val="bottom"/>
            <w:shd w:val="clear" w:color="auto" w:fill="CFF0FC"/>
          </w:tcPr>
          <w:p>
            <w:pPr>
              <w:spacing w:after="0"/>
              <w:rPr>
                <w:sz w:val="19"/>
                <w:szCs w:val="19"/>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Charges to retained earnings, net of estimated forfeitures</w:t>
            </w:r>
          </w:p>
        </w:tc>
        <w:tc>
          <w:tcPr>
            <w:tcW w:w="3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15,512</w:t>
            </w: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28,406</w:t>
            </w:r>
          </w:p>
        </w:tc>
        <w:tc>
          <w:tcPr>
            <w:tcW w:w="120" w:type="dxa"/>
            <w:vAlign w:val="bottom"/>
          </w:tcPr>
          <w:p>
            <w:pPr>
              <w:spacing w:after="0"/>
              <w:rPr>
                <w:sz w:val="20"/>
                <w:szCs w:val="20"/>
                <w:color w:val="auto"/>
              </w:rPr>
            </w:pPr>
          </w:p>
        </w:tc>
      </w:tr>
      <w:tr>
        <w:trPr>
          <w:trHeight w:val="643"/>
        </w:trPr>
        <w:tc>
          <w:tcPr>
            <w:tcW w:w="4860" w:type="dxa"/>
            <w:vAlign w:val="bottom"/>
          </w:tcPr>
          <w:p>
            <w:pPr>
              <w:spacing w:after="0"/>
              <w:rPr>
                <w:sz w:val="24"/>
                <w:szCs w:val="24"/>
                <w:color w:val="auto"/>
              </w:rPr>
            </w:pPr>
          </w:p>
        </w:tc>
        <w:tc>
          <w:tcPr>
            <w:tcW w:w="30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0" w:name="page31"/>
    <w:bookmarkEnd w:id="30"/>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4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Non-executive members of the Board of Directors (“Non-Executive Directors”) receive approximately 55% of their annual compensation for service on the Board of Directors and its committees in the form of DSUs.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dividends paid on Class A common stock.</w:t>
      </w:r>
    </w:p>
    <w:p>
      <w:pPr>
        <w:spacing w:after="0" w:line="18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 ended March 31, 2019, 4,983 DSUs had been granted pursuant to such Plan.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activity relating to RSUs and DSUs during the three month period ended March 31, 2019:</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DSUs</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11,362,306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323,546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406,886 RSUs relating to dividend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5,282,074</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(21,323)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(5,424,772)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11,198,285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328,529</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RSUs that settled during the three month period ended March 31, 2019, the Company satisfied its minimum statutory tax withholding requirements in lieu of delivering 1,976,674 shares of Class A common stock during such three month period. Accordingly, 3,448,098 shares of Class A common stock held by the Company were delivered during the three month period ended March 31, 2019.</w:t>
      </w:r>
    </w:p>
    <w:p>
      <w:pPr>
        <w:spacing w:after="0" w:line="176" w:lineRule="exact"/>
        <w:rPr>
          <w:sz w:val="20"/>
          <w:szCs w:val="20"/>
          <w:color w:val="auto"/>
        </w:rPr>
      </w:pPr>
    </w:p>
    <w:p>
      <w:pPr>
        <w:ind w:right="82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2019, estimated unrecognized RSU compensation expense was approximately $250,758, with such expense expected to be recognized over a weighted average period of approximately 1.0 years subsequent to March 31, 2019.</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following is a summary of activity related to shares of restricted Class A common stock associated with compensation arrangements during the three month period ended March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3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1,541,058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1,039,736</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45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(7,776)</w:t>
            </w: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4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(876,062)</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312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1,696,956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20" w:type="dxa"/>
            <w:vAlign w:val="bottom"/>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47"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shares of restricted Class A common stock that settled during the three month period ended March 31, 2019, the Company satisfied its minimum statutory tax withholding requirements in lieu of delivering 321,508 shares of Class A common stock during such three month period. Accordingly, 554,554 shares of Class A common stock held by the Company were delivered during the three month period ended March 31, 2019.</w:t>
      </w:r>
    </w:p>
    <w:p>
      <w:pPr>
        <w:spacing w:after="0" w:line="176"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restricted stock awards include a cash dividend participation right equivalent to dividends paid on Class A common stock during the period, which will vest concurrently with the underlying restricted stock award. At March 31, 2019, estimated unrecognized restricted stock expense was approximately $43,712, with such expense to be recognized over a weighted average period of approximately 0.9 years subsequent to March 31, 2019.</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121"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activity relating to PRSUs during the three month period ended March 31, 2019:</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1,771,795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(1,049,153)</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722,642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certain PRSUs that settled during the three month period ended March 31, 2019, the Company satisfied its minimum statutory tax withholding requirements in lieu of delivering 145,174 of Class A common stock during such three month period. Accordingly, 903,979 shares of Class A common stock held by the Company were delivered during the three month period ended March 31, 2019.</w:t>
      </w:r>
    </w:p>
    <w:p>
      <w:pPr>
        <w:spacing w:after="0" w:line="176" w:lineRule="exact"/>
        <w:rPr>
          <w:sz w:val="20"/>
          <w:szCs w:val="20"/>
          <w:color w:val="auto"/>
        </w:r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2019, the total estimated unrecognized compensation expense was approximately $5,177, and the Company expects to amortize such expense over a weighted-average period of approximately 0.8 years subsequent to March 31, 2019.</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 Participation Rights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early 2019, the Company established a new long-term incentive compensation program consisting of profits interest participation rights, which are equity incentive awards that, subject to certain conditions, may be exchanged for shares of Class A common stock pursuant to the 2018 Plan. Pursuant to the program, in February 2019, the Company granted profits interest participation rights subject to service-based and performance-based vesting criteria and other conditions, which we refer to as performance-based restricted participation units (“PRPUs”), to each of the Company’s NEOs, and profits interest participation rights subject to service-based vesting criteria and other conditions to a limited number of other senior employees, pursuant to profits interest participation right agreements. Profits interest participation rights generally provide for vesting approximately three years following the grant date, so long as applicable conditions have been satisfied.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2" w:name="page33"/>
    <w:bookmarkEnd w:id="32"/>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Profits interest participation rights are a class of membership interests in Lazard Group that are intended to qualify as “profits interests” for U.S. federal income tax purposes, and are recorded as noncontrolling interests within stockholders’ equity in the Company’s condensed consolidated statements of financial condition until they are exchanged into Class A common stock, at which time there is a reclassification to additional paid-in-capital. The profits interest participation rights generally allow the recipient to realize value only to the extent that both (i) the service-based vesting conditions and, if applicable, the performance conditions, are satisfied, and (ii) an amount of economic appreciation in the assets of Lazard Group occurs as necessary to satisfy certain partnership tax rules (referred to as the "Minimum Value Condition") before the fifth anniversary of the grant date, otherwise the profits interest participation rights will be forfeited. Upon satisfaction of such conditions, profits interest participation rights that are in parity with the value of Class A common stock will be exchanged on a one-for-one basis for shares of Class A common stock. If forfeited based solely on failing to meet the Minimum Value Condition, the associated compensation expense cannot be reversed.</w:t>
      </w:r>
    </w:p>
    <w:p>
      <w:pPr>
        <w:spacing w:after="0" w:line="18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Like outstanding RSUs and similar awards, profits interest participation rights will be subject to continued employment and other vesting conditions and restrictions and will be forfeited if those conditions and restrictions are not fulfilled. In addition, profits interest participation rights must satisfy the Minimum Value Condition. PRPUs, like outstanding PRSUs, will be subject to the achievement of incremental pre-established performance conditions and financial metrics and will only result in value to the recipient to the extent the conditions are satisfied. Furthermore, vesting of profits interest participation rights will be subject to compliance with restrictive covenants including non-compete, non-solicitation of clients, no hire of employees and confidentiality, which are similar to those applicable to PRSUs and RSUs.</w:t>
      </w:r>
    </w:p>
    <w:p>
      <w:pPr>
        <w:spacing w:after="0" w:line="188"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number of shares of Class A common stock that a recipient will receive upon vesting of a PRPU award will be calculated by reference to applicable financial metrics. The target number of shares of Class A common stock subject to each PRPU is one. Based on the achievement of performance criteria, as determined by the Compensation Committee, the number of shares of Class A common stock that may be received in connection with each PRPU award will range from zero to two times the target number. Unless applicable performance conditions are satisfied during the three year performance period, and the Minimum Value Condition is satisfied within five years following the grant date, all PRPUs will be forfeited, and the recipients will not be entitled to any payments with respect to such awards.</w:t>
      </w:r>
    </w:p>
    <w:p>
      <w:pPr>
        <w:spacing w:after="0" w:line="18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addition, the performance metrics applicable to each PRPU will be evaluated on an annual basis at the end of each fiscal year during the performance period, and, if the Company has achieved a threshold level of performance with respect to the fiscal year, 25% of the target number of shares of Class A common stock subject to the applicable units will no longer be at risk of forfeiture based on the achievement of performance criteria. Profits interest participation rights are allocated income, subject to vesting and settled in cash, in respect of dividends paid on Class A common stock.</w:t>
      </w:r>
    </w:p>
    <w:p>
      <w:pPr>
        <w:spacing w:after="0" w:line="2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following is a summary of activity relating to profits interest participation rights, including PRPUs, during the three month period ended March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Profits Interest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Participation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Granted (a)</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1,462,702</w:t>
            </w:r>
          </w:p>
        </w:tc>
        <w:tc>
          <w:tcPr>
            <w:tcW w:w="4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1,462,702</w:t>
            </w:r>
          </w:p>
        </w:tc>
        <w:tc>
          <w:tcPr>
            <w:tcW w:w="4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5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Table includes the target number of PRPUs assuming the achievement of applicable performance conditions at the target level.</w:t>
      </w:r>
    </w:p>
    <w:p>
      <w:pPr>
        <w:spacing w:after="0" w:line="22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Compensation expense recognized for profits interest participation rights, including PRPUs, is determined by multiplying the number of shares of Class A common stock underlying such awards that, based on the Company’s estimate, are considered probable of vesting, by the grant date fair value. As of March 31, 2019, the total estimated unrecognized compensation expense was approximately $38,066, and the Company expects to amortize such expense over a weighted-average period of approximately 0.9 years subsequent to March 31, 2019.</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33" w:name="page34"/>
    <w:bookmarkEnd w:id="33"/>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LFI and Other Similar Deferred Compensation Arrangements</w:t>
      </w:r>
    </w:p>
    <w:p>
      <w:pPr>
        <w:spacing w:after="0" w:line="121" w:lineRule="exact"/>
        <w:rPr>
          <w:sz w:val="20"/>
          <w:szCs w:val="20"/>
          <w:color w:val="auto"/>
        </w:rPr>
      </w:pPr>
    </w:p>
    <w:p>
      <w:pPr>
        <w:ind w:firstLine="518"/>
        <w:spacing w:after="0" w:line="273" w:lineRule="auto"/>
        <w:rPr>
          <w:sz w:val="20"/>
          <w:szCs w:val="20"/>
          <w:color w:val="auto"/>
        </w:rPr>
      </w:pPr>
      <w:r>
        <w:rPr>
          <w:rFonts w:ascii="Times New Roman" w:cs="Times New Roman" w:eastAsia="Times New Roman" w:hAnsi="Times New Roman"/>
          <w:sz w:val="17"/>
          <w:szCs w:val="17"/>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activity relating to LFI and other similar deferred compensation arrangements during the three 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and 2018:</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76,362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(62,997)</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(16,380)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161,907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(72,979)</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(15,373)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149,096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The amortization of the prepaid compensation asset will generally be recognized over a weighted average period of approximately 1.0 years subsequent to March 31, 2019.</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17" w:right="379" w:bottom="1440" w:gutter="0" w:footer="0" w:header="0"/>
        </w:sectPr>
      </w:pPr>
    </w:p>
    <w:bookmarkStart w:id="34" w:name="page35"/>
    <w:bookmarkEnd w:id="34"/>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impact of LFI and other similar deferred compensation arrangements on “compensation and benefits” expense within the accompanying condensed consolidated statements of operations for the three month periods ended March 31, 2019 and 2018:</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net of forfeitures</w:t>
            </w:r>
          </w:p>
        </w:tc>
        <w:tc>
          <w:tcPr>
            <w:tcW w:w="17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fair value of underlying investments</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21" w:lineRule="exact"/>
        <w:rPr>
          <w:sz w:val="20"/>
          <w:szCs w:val="20"/>
          <w:color w:val="auto"/>
        </w:rPr>
      </w:pPr>
    </w:p>
    <w:p>
      <w:pPr>
        <w:jc w:val="both"/>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other” for the other components of benefit costs on the condensed consolidated statements of operations.</w:t>
      </w:r>
    </w:p>
    <w:p>
      <w:pPr>
        <w:spacing w:after="0" w:line="176" w:lineRule="exact"/>
        <w:rPr>
          <w:sz w:val="20"/>
          <w:szCs w:val="20"/>
          <w:color w:val="auto"/>
        </w:rPr>
      </w:pPr>
    </w:p>
    <w:p>
      <w:pPr>
        <w:ind w:right="80" w:firstLine="51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Employer Contributions to Pension Plans</w:t>
      </w:r>
      <w:r>
        <w:rPr>
          <w:rFonts w:ascii="Times New Roman" w:cs="Times New Roman" w:eastAsia="Times New Roman" w:hAnsi="Times New Roman"/>
          <w:sz w:val="17"/>
          <w:szCs w:val="17"/>
          <w:color w:val="auto"/>
        </w:rPr>
        <w:t>—The Company’s funding policy for its U.S. and non-U.S. pension plans is to fund when required or when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applicable upon an agreement with the plans’ trustees. Management also evaluates from time to time whether to make voluntary contributions to the plans.</w:t>
      </w:r>
    </w:p>
    <w:p>
      <w:pPr>
        <w:spacing w:after="0" w:line="136"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(credit) related to the Company’s pension plans for the three month periods ended March 31,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880" w:type="dxa"/>
            <w:vAlign w:val="bottom"/>
            <w:tcBorders>
              <w:bottom w:val="single" w:sz="8" w:color="auto"/>
            </w:tcBorders>
            <w:gridSpan w:val="5"/>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20" w:type="dxa"/>
            <w:vAlign w:val="bottom"/>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cost</w:t>
            </w:r>
          </w:p>
        </w:tc>
        <w:tc>
          <w:tcPr>
            <w:tcW w:w="3000" w:type="dxa"/>
            <w:vAlign w:val="bottom"/>
            <w:gridSpan w:val="2"/>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9"/>
                <w:szCs w:val="19"/>
                <w:color w:val="auto"/>
              </w:rPr>
            </w:pPr>
          </w:p>
        </w:tc>
        <w:tc>
          <w:tcPr>
            <w:tcW w:w="1140" w:type="dxa"/>
            <w:vAlign w:val="bottom"/>
            <w:gridSpan w:val="2"/>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cost</w:t>
            </w:r>
          </w:p>
        </w:tc>
        <w:tc>
          <w:tcPr>
            <w:tcW w:w="1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(7,783)</w:t>
            </w:r>
          </w:p>
        </w:tc>
      </w:tr>
      <w:tr>
        <w:trPr>
          <w:trHeight w:val="230"/>
        </w:trPr>
        <w:tc>
          <w:tcPr>
            <w:tcW w:w="5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w:t>
            </w:r>
          </w:p>
        </w:tc>
        <w:tc>
          <w:tcPr>
            <w:tcW w:w="1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Prior service cost</w:t>
            </w: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Settlement loss</w:t>
            </w:r>
          </w:p>
        </w:tc>
        <w:tc>
          <w:tcPr>
            <w:tcW w:w="19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9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40" w:firstLine="518"/>
        <w:spacing w:after="0" w:line="258" w:lineRule="auto"/>
        <w:rPr>
          <w:sz w:val="20"/>
          <w:szCs w:val="20"/>
          <w:color w:val="auto"/>
        </w:rPr>
      </w:pPr>
      <w:r>
        <w:rPr>
          <w:rFonts w:ascii="Times New Roman" w:cs="Times New Roman" w:eastAsia="Times New Roman" w:hAnsi="Times New Roman"/>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4"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The Company recorded income tax provisions of $23,187 and $24,167 for the three month periods ended March 31, 2019 and 2018, respectively, representing effective tax rates of 19.4% and 13.0%, respectively. The difference between the U.S. federal statutory rate of 21.0% and the effective tax rates reflected above principally relates to (i) excess net tax benefit for share-based incentive compensation, (ii) foreign source income (loss) not subject to U.S. income taxes (including interest on intercompany financings), (iii) taxes payable to foreign jurisdictions that are not offset against U.S. income taxes, (iv) change in the U.S. federal valuation allowance affecting the provision for income taxes, (v) U.S. state and local taxes, which are incremental to the U.S. federal statutory tax rate, and (vi) impact of U.S. tax reform, including base erosion and anti-abuse tax.</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3"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INCOME PER SHARE OF CLASS A COMMON STOCK</w:t>
      </w:r>
    </w:p>
    <w:p>
      <w:pPr>
        <w:spacing w:after="0" w:line="12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Company’s basic and diluted net income per share calculations for the three month periods ended March 31, 2019 and 2018 are computed as described below.</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Basic Net Income Per Share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Numerator</w:t>
      </w:r>
      <w:r>
        <w:rPr>
          <w:rFonts w:ascii="Times New Roman" w:cs="Times New Roman" w:eastAsia="Times New Roman" w:hAnsi="Times New Roman"/>
          <w:sz w:val="18"/>
          <w:szCs w:val="18"/>
          <w:color w:val="auto"/>
        </w:rPr>
        <w:t>—utilizes net income attributable to Lazard Ltd for the respective periods.</w:t>
      </w:r>
    </w:p>
    <w:p>
      <w:pPr>
        <w:spacing w:after="0" w:line="225" w:lineRule="exact"/>
        <w:rPr>
          <w:sz w:val="20"/>
          <w:szCs w:val="20"/>
          <w:color w:val="auto"/>
        </w:rPr>
      </w:pPr>
    </w:p>
    <w:p>
      <w:pPr>
        <w:ind w:right="5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Denominator</w:t>
      </w:r>
      <w:r>
        <w:rPr>
          <w:rFonts w:ascii="Times New Roman" w:cs="Times New Roman" w:eastAsia="Times New Roman" w:hAnsi="Times New Roman"/>
          <w:sz w:val="18"/>
          <w:szCs w:val="18"/>
          <w:color w:val="auto"/>
        </w:rPr>
        <w:t>—utilizes the weighted average number of shares of Class A common stock outstanding for the respective periods, plus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to such shares associated with shares of Class A common stock issuable on a non-contingent basis.</w:t>
      </w:r>
    </w:p>
    <w:p>
      <w:pPr>
        <w:spacing w:after="0" w:line="2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Diluted Net Income Per Share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Numerator</w:t>
      </w:r>
      <w:r>
        <w:rPr>
          <w:rFonts w:ascii="Times New Roman" w:cs="Times New Roman" w:eastAsia="Times New Roman" w:hAnsi="Times New Roman"/>
          <w:sz w:val="18"/>
          <w:szCs w:val="18"/>
          <w:color w:val="auto"/>
        </w:rPr>
        <w:t>—utilizes net income attributable to Lazard Ltd for the respective periods as in the basic net income per share calculation described above.</w:t>
      </w:r>
    </w:p>
    <w:p>
      <w:pPr>
        <w:spacing w:after="0" w:line="225" w:lineRule="exact"/>
        <w:rPr>
          <w:sz w:val="20"/>
          <w:szCs w:val="20"/>
          <w:color w:val="auto"/>
        </w:rPr>
      </w:pPr>
    </w:p>
    <w:p>
      <w:pPr>
        <w:ind w:right="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Denominator</w:t>
      </w:r>
      <w:r>
        <w:rPr>
          <w:rFonts w:ascii="Times New Roman" w:cs="Times New Roman" w:eastAsia="Times New Roman" w:hAnsi="Times New Roman"/>
          <w:sz w:val="18"/>
          <w:szCs w:val="18"/>
          <w:color w:val="auto"/>
        </w:rPr>
        <w:t>—utilizes the weighted average number of shares of Class A common stock outstanding for the respective periods as in the basic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per share calculation described above, plus, to the extent dilutive, the incremental number of shares of Class A common stock required to settle share-based incentive compensation.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calculations of the Company’s basic and diluted net income per share and weighted average shares outstanding for the three 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and 2018 are presented below: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60" w:type="dxa"/>
            <w:vAlign w:val="bottom"/>
            <w:tcBorders>
              <w:bottom w:val="single" w:sz="8" w:color="CFF0FC"/>
            </w:tcBorders>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Lazard Ltd - basic</w:t>
            </w:r>
          </w:p>
        </w:tc>
        <w:tc>
          <w:tcPr>
            <w:tcW w:w="28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97,042</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Lazard Ltd - diluted</w:t>
            </w:r>
          </w:p>
        </w:tc>
        <w:tc>
          <w:tcPr>
            <w:tcW w:w="31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FF0FC"/>
            </w:tcBorders>
            <w:vMerge w:val="continue"/>
          </w:tcPr>
          <w:p>
            <w:pPr>
              <w:spacing w:after="0"/>
              <w:rPr>
                <w:sz w:val="21"/>
                <w:szCs w:val="21"/>
                <w:color w:val="auto"/>
              </w:rPr>
            </w:pPr>
          </w:p>
        </w:tc>
        <w:tc>
          <w:tcPr>
            <w:tcW w:w="280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97,042</w:t>
            </w:r>
          </w:p>
        </w:tc>
        <w:tc>
          <w:tcPr>
            <w:tcW w:w="280" w:type="dxa"/>
            <w:vAlign w:val="bottom"/>
            <w:tcBorders>
              <w:bottom w:val="single" w:sz="8" w:color="CFF0FC"/>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159,692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0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shares of Class A common</w:t>
            </w:r>
          </w:p>
        </w:tc>
        <w:tc>
          <w:tcPr>
            <w:tcW w:w="2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outstanding</w:t>
            </w:r>
          </w:p>
        </w:tc>
        <w:tc>
          <w:tcPr>
            <w:tcW w:w="2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111,617,642</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119,695,749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Add - adjustment for shares of Class A common stock</w:t>
            </w:r>
          </w:p>
        </w:tc>
        <w:tc>
          <w:tcPr>
            <w:tcW w:w="2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issuable on a non-contingent basis</w:t>
            </w:r>
          </w:p>
        </w:tc>
        <w:tc>
          <w:tcPr>
            <w:tcW w:w="28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326,613</w:t>
            </w:r>
          </w:p>
        </w:tc>
        <w:tc>
          <w:tcPr>
            <w:tcW w:w="28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234,357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0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 of Class A common</w:t>
            </w:r>
          </w:p>
        </w:tc>
        <w:tc>
          <w:tcPr>
            <w:tcW w:w="2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outstanding - basic</w:t>
            </w:r>
          </w:p>
        </w:tc>
        <w:tc>
          <w:tcPr>
            <w:tcW w:w="2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111,944,255</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119,930,106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Add - dilutive effect, as applicable, of:</w:t>
            </w: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incremental shares of Class A</w:t>
            </w:r>
          </w:p>
        </w:tc>
        <w:tc>
          <w:tcPr>
            <w:tcW w:w="2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 issuable from share-based</w:t>
            </w:r>
          </w:p>
        </w:tc>
        <w:tc>
          <w:tcPr>
            <w:tcW w:w="2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incentive compensation</w:t>
            </w:r>
          </w:p>
        </w:tc>
        <w:tc>
          <w:tcPr>
            <w:tcW w:w="28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8,875,829</w:t>
            </w:r>
          </w:p>
        </w:tc>
        <w:tc>
          <w:tcPr>
            <w:tcW w:w="280" w:type="dxa"/>
            <w:vAlign w:val="bottom"/>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12,212,288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 of Class A common stock</w:t>
            </w:r>
          </w:p>
        </w:tc>
        <w:tc>
          <w:tcPr>
            <w:tcW w:w="2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0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outstanding - diluted</w:t>
            </w:r>
          </w:p>
        </w:tc>
        <w:tc>
          <w:tcPr>
            <w:tcW w:w="280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120,820,084</w:t>
            </w:r>
          </w:p>
        </w:tc>
        <w:tc>
          <w:tcPr>
            <w:tcW w:w="280" w:type="dxa"/>
            <w:vAlign w:val="bottom"/>
            <w:tcBorders>
              <w:bottom w:val="single" w:sz="8" w:color="CFF0FC"/>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132,142,394</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0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Net income attributable to Lazard Ltd per share of Class</w:t>
            </w:r>
          </w:p>
        </w:tc>
        <w:tc>
          <w:tcPr>
            <w:tcW w:w="2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 common stock:</w:t>
            </w:r>
          </w:p>
        </w:tc>
        <w:tc>
          <w:tcPr>
            <w:tcW w:w="2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8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86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8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0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3"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Sponsored Funds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$144,170 and $181,309 for the three month periods ended March 31, 2019 and 2018, respectively, and are included in “asset management fees” on the condensed consolidated statements of operations. Of such amounts, $52,040 and $59,304 remained as receivables at March 31, 2019 and December 31, 2018, respectively, and are included in “fees receivable” on the condensed consolidated statements of financial condition.</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right="760" w:firstLine="518"/>
        <w:spacing w:after="0" w:line="276" w:lineRule="auto"/>
        <w:rPr>
          <w:sz w:val="20"/>
          <w:szCs w:val="20"/>
          <w:color w:val="auto"/>
        </w:rPr>
      </w:pPr>
      <w:r>
        <w:rPr>
          <w:rFonts w:ascii="Times New Roman" w:cs="Times New Roman" w:eastAsia="Times New Roman" w:hAnsi="Times New Roman"/>
          <w:sz w:val="17"/>
          <w:szCs w:val="17"/>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spacing w:after="0" w:line="1" w:lineRule="exact"/>
        <w:rPr>
          <w:sz w:val="20"/>
          <w:szCs w:val="20"/>
          <w:color w:val="auto"/>
        </w:rPr>
      </w:pPr>
    </w:p>
    <w:p>
      <w:pPr>
        <w:ind w:right="40" w:firstLine="8"/>
        <w:spacing w:after="0" w:line="252" w:lineRule="auto"/>
        <w:tabs>
          <w:tab w:leader="none" w:pos="2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45%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who include certain of our executive officers, in proportion to their beneficial interests in the Trust.</w:t>
      </w:r>
    </w:p>
    <w:p>
      <w:pPr>
        <w:spacing w:after="0" w:line="19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8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For example,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8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cumulative liability relating to our obligations under the Amended and Restated Tax Receivable Agreement as of March 31, 2019 and December 31, 2018 was $246,966 and $270,640, respectively, and is recorded in “tax receivable agreement obligation” on the condensed consolidated statements of financial condition. The balance at March 31, 2019 reflects a payment made under the Amended and Restated Tax Receivable Agreement in the three months ended March 31, 2019 of $23,674.</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the first quarter of 2019, the Company recognized approximately $3,000 of investment banking and other advisory fees pertaining to financial advisory services provided to a company of which a member of the Company’s Board of Directors served as Chairman and CEO. The engagement terms were negotiated in the ordinary course of business on an arms-length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13 for information regarding related party transactions pertaining to shares repurchased from certain of our executive officers.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7" w:name="page38"/>
    <w:bookmarkEnd w:id="37"/>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3"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REGULATORY AUTHORITIES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March 31, 2019, LFNY’s regulatory net capital was $62,245, which exceeded the minimum requirement by $60,157. LFNY’s aggregate indebtedness to net capital ratio was 0.50:1 as of March 31, 2019.</w:t>
      </w:r>
    </w:p>
    <w:p>
      <w:pPr>
        <w:spacing w:after="0" w:line="188"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Certain U.K. subsidiaries of the Company, including LCL, Lazard Fund Managers Limited and Lazard Asset Management Limited (collectively, the “U.K. Subsidiaries”) are regulated by the Financial Conduct Authority. At March 31, 2019, the aggregate regulatory net capital of the U.K. Subsidiaries was $175,591, which exceeded the minimum requirement by $158,550.</w:t>
      </w:r>
    </w:p>
    <w:p>
      <w:pPr>
        <w:spacing w:after="0" w:line="176"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March 31, 2019, the consolidated regulatory net capital of CFLF was $125,741, which exceeded the minimum requirement set for regulatory capital levels by $70,978.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2018, the regulatory net capital of the combined European regulated group was $157,783, which exceeded the minimum requirement set for regulatory capital levels by $56,330.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99"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Certain other U.S. and non-U.S. subsidiaries are subject to various capital adequacy requirements promulgated by various regulatory and exchange authorities in the countries in which they operate. At March 31, 2019, for those subsidiaries with regulatory capital requirements, their aggregate net capital was $151,125, which exceeded the minimum required capital by $122,820.</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2019, each of these subsidiaries individually was in compliance with its regulatory capital requirements.</w:t>
      </w:r>
    </w:p>
    <w:p>
      <w:pPr>
        <w:spacing w:after="0" w:line="225"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Any new or expanded rules and regulations that may be adopted in countries in which we operate (including regulations that have not yet been proposed) could affect us in other ways.</w:t>
      </w:r>
    </w:p>
    <w:p>
      <w:pPr>
        <w:spacing w:after="0" w:line="347"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segment information for the three month periods ended March 31, 2019 and 2018 is prepared using the following methodology:</w:t>
      </w:r>
    </w:p>
    <w:p>
      <w:pPr>
        <w:spacing w:after="0" w:line="117" w:lineRule="exact"/>
        <w:rPr>
          <w:sz w:val="20"/>
          <w:szCs w:val="20"/>
          <w:color w:val="auto"/>
        </w:rPr>
      </w:pPr>
    </w:p>
    <w:p>
      <w:pPr>
        <w:ind w:left="900" w:hanging="379"/>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expenses directly associated with each segment are included in determining operating income.</w:t>
      </w:r>
    </w:p>
    <w:p>
      <w:pPr>
        <w:spacing w:after="0" w:line="117" w:lineRule="exact"/>
        <w:rPr>
          <w:rFonts w:ascii="Times New Roman" w:cs="Times New Roman" w:eastAsia="Times New Roman" w:hAnsi="Times New Roman"/>
          <w:sz w:val="18"/>
          <w:szCs w:val="18"/>
          <w:color w:val="auto"/>
        </w:rPr>
      </w:pPr>
    </w:p>
    <w:p>
      <w:pPr>
        <w:ind w:left="900" w:right="44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not directly associated with specific segments are allocated based on the most relevant measures applicable, including headcount, square footage and other factors.</w:t>
      </w:r>
    </w:p>
    <w:p>
      <w:pPr>
        <w:spacing w:after="0" w:line="53" w:lineRule="exact"/>
        <w:rPr>
          <w:rFonts w:ascii="Times New Roman" w:cs="Times New Roman" w:eastAsia="Times New Roman" w:hAnsi="Times New Roman"/>
          <w:sz w:val="18"/>
          <w:szCs w:val="18"/>
          <w:color w:val="auto"/>
        </w:rPr>
      </w:pPr>
    </w:p>
    <w:p>
      <w:pPr>
        <w:ind w:left="900" w:right="4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38" w:name="page39"/>
    <w:bookmarkEnd w:id="38"/>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Company allocates investment gains and losses, interest income and interest expense among the various segments based on the segment in which the underlying asset or liability is reported.</w:t>
      </w:r>
    </w:p>
    <w:p>
      <w:pPr>
        <w:spacing w:after="0" w:line="162"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4"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56"/>
        </w:trPr>
        <w:tc>
          <w:tcPr>
            <w:tcW w:w="32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tc>
        <w:tc>
          <w:tcPr>
            <w:tcW w:w="3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280,261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324,696</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84,425</w:t>
            </w:r>
          </w:p>
        </w:tc>
        <w:tc>
          <w:tcPr>
            <w:tcW w:w="100" w:type="dxa"/>
            <w:vAlign w:val="bottom"/>
            <w:shd w:val="clear" w:color="auto" w:fill="CFF0FC"/>
          </w:tcPr>
          <w:p>
            <w:pPr>
              <w:spacing w:after="0"/>
              <w:rPr>
                <w:sz w:val="19"/>
                <w:szCs w:val="19"/>
                <w:color w:val="auto"/>
              </w:rPr>
            </w:pP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301,833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207,348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229,669</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Borders>
              <w:bottom w:val="single" w:sz="8" w:color="CFF0FC"/>
            </w:tcBorders>
          </w:tcPr>
          <w:p>
            <w:pPr>
              <w:spacing w:after="0"/>
              <w:rPr>
                <w:sz w:val="19"/>
                <w:szCs w:val="19"/>
                <w:color w:val="auto"/>
              </w:rPr>
            </w:pPr>
          </w:p>
        </w:tc>
        <w:tc>
          <w:tcPr>
            <w:tcW w:w="310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94,485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124,614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100" w:type="dxa"/>
            <w:vAlign w:val="bottom"/>
            <w:shd w:val="clear" w:color="auto" w:fill="CFF0FC"/>
          </w:tcPr>
          <w:p>
            <w:pPr>
              <w:spacing w:after="0"/>
              <w:rPr>
                <w:sz w:val="19"/>
                <w:szCs w:val="19"/>
                <w:color w:val="auto"/>
              </w:rPr>
            </w:pP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643,674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524,011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568,870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119,663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gridSpan w:val="2"/>
          </w:tcPr>
          <w:p>
            <w:pPr>
              <w:spacing w:after="0"/>
              <w:rPr>
                <w:sz w:val="13"/>
                <w:szCs w:val="13"/>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CFF0FC"/>
            </w:tcBorders>
            <w:shd w:val="clear" w:color="auto" w:fill="CFF0FC"/>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Advisory</w:t>
            </w:r>
          </w:p>
        </w:tc>
        <w:tc>
          <w:tcPr>
            <w:tcW w:w="1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1,087,986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18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698,694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CFF0FC"/>
            </w:tcBorders>
          </w:tcPr>
          <w:p>
            <w:pPr>
              <w:spacing w:after="0"/>
              <w:rPr>
                <w:sz w:val="19"/>
                <w:szCs w:val="19"/>
                <w:color w:val="auto"/>
              </w:rPr>
            </w:pPr>
          </w:p>
        </w:tc>
        <w:tc>
          <w:tcPr>
            <w:tcW w:w="292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3,712,797</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3,409,715</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5,499,477</w:t>
            </w: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4,997,241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9" w:name="page40"/>
    <w:bookmarkEnd w:id="39"/>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2018 (the “Form 10-K”). All references to “2019,” “2018,” “first quarter” or “the period” refer to, as the context requires, the three month periods ended March 31, 2019 and March 31, 2018.</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Certain Factors that May Affect Our Business</w:t>
      </w:r>
    </w:p>
    <w:p>
      <w:pPr>
        <w:spacing w:after="0" w:line="12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1" w:lineRule="exact"/>
        <w:rPr>
          <w:sz w:val="20"/>
          <w:szCs w:val="20"/>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the global or regional financial markets;</w:t>
      </w:r>
    </w:p>
    <w:p>
      <w:pPr>
        <w:spacing w:after="0" w:line="117"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revenues, for example due to a decline in overall mergers and acquisitions (“M&amp;A”) activity, our share of the M&amp;A market or our assets under management (“AUM”);</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financial or other problems experienced by third parties;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unidentified or unanticipated risks;</w:t>
      </w:r>
    </w:p>
    <w:p>
      <w:pPr>
        <w:spacing w:after="0" w:line="11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lack of liquidity,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ready access to funds, for use in our businesses; and</w:t>
      </w:r>
    </w:p>
    <w:p>
      <w:pPr>
        <w:spacing w:after="0" w:line="119"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4"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goals, including ratios of compensation and benefits expense to operating revenue;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deploy surplus cash through dividends, share repurchases and debt repurchases;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offset stockholder dilution through share repurchases;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assumed future results of operations and operating cash flows;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and investment policies;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plans and the availability of short-term borrowing;</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including the consideration to be paid and the timing of consummation;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opportunities available to our businesses;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40" w:name="page41"/>
    <w:bookmarkEnd w:id="40"/>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 of investments in our technology infrastructure and data science capabilities;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our managing directors and employees;</w:t>
      </w:r>
    </w:p>
    <w:p>
      <w:pPr>
        <w:spacing w:after="0" w:line="117" w:lineRule="exact"/>
        <w:rPr>
          <w:rFonts w:ascii="Times New Roman" w:cs="Times New Roman" w:eastAsia="Times New Roman" w:hAnsi="Times New Roman"/>
          <w:sz w:val="18"/>
          <w:szCs w:val="18"/>
          <w:color w:val="auto"/>
        </w:rPr>
      </w:pPr>
    </w:p>
    <w:p>
      <w:pPr>
        <w:ind w:left="900" w:right="620" w:hanging="379"/>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levels of compensation expense, including awarded compensation and benefits expense and adjusted compensation and benefits expense, and non-compensation expense;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operating performance, achievements, productivity improvements, efficiency and cost reduction efforts;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success and impact of litigation;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tax rates, including effective tax rates;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and tax rates;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certain tax benefits, including certain potential deductions;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 of certain events or circumstances on our financial statements;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117" w:lineRule="exact"/>
        <w:rPr>
          <w:rFonts w:ascii="Times New Roman" w:cs="Times New Roman" w:eastAsia="Times New Roman" w:hAnsi="Times New Roman"/>
          <w:sz w:val="18"/>
          <w:szCs w:val="18"/>
          <w:color w:val="auto"/>
        </w:rPr>
      </w:pPr>
    </w:p>
    <w:p>
      <w:pPr>
        <w:ind w:left="900" w:right="140" w:hanging="379"/>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on our business;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new or future legislation and regulation, including tax laws and regulations, on our business.</w:t>
      </w:r>
    </w:p>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Times New Roman" w:cs="Times New Roman" w:eastAsia="Times New Roman" w:hAnsi="Times New Roman"/>
          <w:sz w:val="18"/>
          <w:szCs w:val="18"/>
          <w:i w:val="1"/>
          <w:iCs w:val="1"/>
          <w:color w:val="auto"/>
        </w:rPr>
        <w:t>http://www.lazard.com</w:t>
      </w:r>
      <w:r>
        <w:rPr>
          <w:rFonts w:ascii="Times New Roman" w:cs="Times New Roman" w:eastAsia="Times New Roman" w:hAnsi="Times New Roman"/>
          <w:sz w:val="18"/>
          <w:szCs w:val="18"/>
          <w:color w:val="auto"/>
        </w:rPr>
        <w:t>. Our websites and social media sites and the information contained therein or connected thereto shall not be deemed to be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this Form 10-Q.</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0"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76"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right="20" w:hanging="379"/>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M&amp;A, capital advisory, restructurings, shareholder advisory, sovereign advisory, capital raising and other strategic advisory, and</w:t>
      </w:r>
    </w:p>
    <w:p>
      <w:pPr>
        <w:spacing w:after="0" w:line="68" w:lineRule="exact"/>
        <w:rPr>
          <w:rFonts w:ascii="Times New Roman" w:cs="Times New Roman" w:eastAsia="Times New Roman" w:hAnsi="Times New Roman"/>
          <w:sz w:val="18"/>
          <w:szCs w:val="18"/>
          <w:color w:val="auto"/>
        </w:rPr>
      </w:pPr>
    </w:p>
    <w:p>
      <w:pPr>
        <w:ind w:left="900" w:right="180" w:hanging="379"/>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1" w:name="page42"/>
    <w:bookmarkEnd w:id="41"/>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net revenue was derived from the following segments:</w:t>
      </w:r>
    </w:p>
    <w:p>
      <w:pPr>
        <w:spacing w:after="0" w:line="300"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3"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1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and (ii) a fund targeting significant noncontrolling-stake investments in established private companies. We also make investments to seed our Asset Management strategies.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84"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On an ongoing basis, regional, macroeconomic and geopolitical factors, including trade policy and regional tax and regulatory reform, may impact our business. The U.S. economy remains healthy. The European economy’s growth rate has slowed. Global borrowing costs remain low.</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outlook with respect to our Financial Advisory and Asset Management businesses is described below.</w:t>
      </w:r>
    </w:p>
    <w:p>
      <w:pPr>
        <w:spacing w:after="0" w:line="113" w:lineRule="exact"/>
        <w:rPr>
          <w:sz w:val="20"/>
          <w:szCs w:val="20"/>
          <w:color w:val="auto"/>
        </w:rPr>
      </w:pPr>
    </w:p>
    <w:p>
      <w:pPr>
        <w:ind w:left="760" w:right="80" w:hanging="374"/>
        <w:spacing w:after="0" w:line="257"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Advisory</w:t>
      </w:r>
      <w:r>
        <w:rPr>
          <w:rFonts w:ascii="Times New Roman" w:cs="Times New Roman" w:eastAsia="Times New Roman" w:hAnsi="Times New Roman"/>
          <w:sz w:val="18"/>
          <w:szCs w:val="18"/>
          <w:color w:val="auto"/>
        </w:rPr>
        <w:t>—The fundamentals for continued M&amp;A activity appear to remain in place. We believe our Financial Advisory business is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strong competitive position as demand continues for expert, independent strategic advice that can be levered across geographies and our range of capabilities. The global scale and breadth of our Financial Advisory business allows us to advise on a wide range of strategic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88" w:lineRule="exact"/>
        <w:rPr>
          <w:rFonts w:ascii="Times New Roman" w:cs="Times New Roman" w:eastAsia="Times New Roman" w:hAnsi="Times New Roman"/>
          <w:sz w:val="18"/>
          <w:szCs w:val="18"/>
          <w:color w:val="auto"/>
        </w:rPr>
      </w:pPr>
    </w:p>
    <w:p>
      <w:pPr>
        <w:ind w:left="760" w:right="20" w:hanging="374"/>
        <w:spacing w:after="0" w:line="255"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Asset Management</w:t>
      </w:r>
      <w:r>
        <w:rPr>
          <w:rFonts w:ascii="Times New Roman" w:cs="Times New Roman" w:eastAsia="Times New Roman" w:hAnsi="Times New Roman"/>
          <w:sz w:val="18"/>
          <w:szCs w:val="18"/>
          <w:color w:val="auto"/>
        </w:rPr>
        <w:t>—In the short to intermediate term, we expect most investor demand will come from defined benefit and defined contribution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in the developed economies because of their sheer scope and size. Over the longer term, and depending upon local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various Multi-Asset strategies, an International Value strategy, a Global Equity Franchise strategy, and a Market Neutral Quantitative Equity strategy.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4"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Overall, we continue to focus on the development of our business, including the generation of stable revenue growth, earnings growth and shareholder returns, the evaluation of potential growth opportunities, the investment in new technology to support the development of existing and new business opportunities, the prudent management of our costs and expenses, the efficient use of our assets and the return of capital to our shareholders.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data with respect to our Financial Advisory and Asset Management businesses is included below.</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As reflected in the following table, which sets forth global M&amp;A industry statistics, the value and number of all completed transactions, including the subset of completed transactions involving values greater than $500 million, decreased in the first quarter of 2019 as compared to 2018. With respect to announced M&amp;A transactions, the value and number of all transactions, including the subset of announced transactions involving values greater than $500 million, decreased in the first quarter of 2019 as compared to 2018.</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2"/>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2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vMerge w:val="restart"/>
          </w:tcPr>
          <w:p>
            <w:pPr>
              <w:jc w:val="center"/>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80" w:type="dxa"/>
            <w:vAlign w:val="bottom"/>
          </w:tcPr>
          <w:p>
            <w:pPr>
              <w:jc w:val="right"/>
              <w:ind w:right="45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in billions)</w:t>
            </w:r>
          </w:p>
        </w:tc>
        <w:tc>
          <w:tcPr>
            <w:tcW w:w="1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Completed M&amp;A Transactions: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deals: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935</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4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9,547</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2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716</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310</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Announced M&amp;A Transactions:</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 deals:</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2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1,177</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9,586</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24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4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956</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80" w:type="dxa"/>
            <w:vAlign w:val="bottom"/>
          </w:tcPr>
          <w:p>
            <w:pPr>
              <w:spacing w:after="0"/>
              <w:rPr>
                <w:sz w:val="20"/>
                <w:szCs w:val="20"/>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313</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209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Source: Dealogic as of April 3, 2019.</w:t>
      </w:r>
    </w:p>
    <w:p>
      <w:pPr>
        <w:spacing w:after="0" w:line="225"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Global restructuring activity during the first quarter of 2019, as measured by the number of corporate defaults, decreased as compared to the first quarter of 2018. The number of defaulting issuers decreased to 20 in the first quarter of 2019, according to Moody’s Investors Service, Inc., as compared to 30 in the first quarter of 2018.</w:t>
      </w:r>
    </w:p>
    <w:p>
      <w:pPr>
        <w:spacing w:after="0" w:line="17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3" w:name="page44"/>
    <w:bookmarkEnd w:id="4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121"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Equity market indices for major markets at March 31, 2019 generally increased as compared to such indices at December 31, 2018. The percentage change in major equity market indices at March 31, 2019, as compared to such indices at December 31, 2018, and at March 31, 2018, is shown in the table below.</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580" w:type="dxa"/>
            <w:vAlign w:val="bottom"/>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Percentage Changes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580" w:type="dxa"/>
            <w:vAlign w:val="bottom"/>
            <w:tcBorders>
              <w:bottom w:val="single" w:sz="8" w:color="auto"/>
            </w:tcBorders>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March 31, 2019 vs.</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31"/>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60" w:type="dxa"/>
            <w:vAlign w:val="bottom"/>
          </w:tcPr>
          <w:p>
            <w:pPr>
              <w:jc w:val="center"/>
              <w:ind w:left="10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60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MSCI World Index</w:t>
            </w:r>
          </w:p>
        </w:tc>
        <w:tc>
          <w:tcPr>
            <w:tcW w:w="10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6"/>
              </w:rPr>
              <w:t>13%</w:t>
            </w:r>
          </w:p>
        </w:tc>
        <w:tc>
          <w:tcPr>
            <w:tcW w:w="10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 Stoxx</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12%</w:t>
            </w:r>
          </w:p>
        </w:tc>
        <w:tc>
          <w:tcPr>
            <w:tcW w:w="10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tcPr>
          <w:p>
            <w:pPr>
              <w:spacing w:after="0"/>
              <w:rPr>
                <w:sz w:val="19"/>
                <w:szCs w:val="19"/>
                <w:color w:val="auto"/>
              </w:rPr>
            </w:pPr>
          </w:p>
        </w:tc>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MSCI Emerging Market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6"/>
              </w:rPr>
              <w:t>10%</w:t>
            </w:r>
          </w:p>
        </w:tc>
        <w:tc>
          <w:tcPr>
            <w:tcW w:w="10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14%</w:t>
            </w:r>
          </w:p>
        </w:tc>
        <w:tc>
          <w:tcPr>
            <w:tcW w:w="100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bl>
    <w:p>
      <w:pPr>
        <w:spacing w:after="0" w:line="233"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180" w:firstLine="518"/>
        <w:spacing w:after="0" w:line="254" w:lineRule="auto"/>
        <w:rPr>
          <w:sz w:val="20"/>
          <w:szCs w:val="20"/>
          <w:color w:val="auto"/>
        </w:rPr>
      </w:pPr>
      <w:r>
        <w:rPr>
          <w:rFonts w:ascii="Times New Roman" w:cs="Times New Roman" w:eastAsia="Times New Roman" w:hAnsi="Times New Roman"/>
          <w:sz w:val="18"/>
          <w:szCs w:val="18"/>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97"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4" w:name="page45"/>
    <w:bookmarkEnd w:id="44"/>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8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0"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equity securities and investments classified as “trading”, as well as due to changes in interest and currency exchange rates and in the levels of cash, investments and indebtedness.</w:t>
      </w:r>
    </w:p>
    <w:p>
      <w:pPr>
        <w:spacing w:after="0" w:line="184" w:lineRule="exact"/>
        <w:rPr>
          <w:sz w:val="20"/>
          <w:szCs w:val="20"/>
          <w:color w:val="auto"/>
        </w:rPr>
      </w:pPr>
    </w:p>
    <w:p>
      <w:pPr>
        <w:ind w:right="440" w:firstLine="518"/>
        <w:spacing w:after="0" w:line="266" w:lineRule="auto"/>
        <w:rPr>
          <w:sz w:val="20"/>
          <w:szCs w:val="20"/>
          <w:color w:val="auto"/>
        </w:rPr>
      </w:pPr>
      <w:r>
        <w:rPr>
          <w:rFonts w:ascii="Times New Roman" w:cs="Times New Roman" w:eastAsia="Times New Roman" w:hAnsi="Times New Roman"/>
          <w:sz w:val="18"/>
          <w:szCs w:val="18"/>
          <w:color w:val="auto"/>
        </w:rPr>
        <w:t>Although Corporate segment net revenue during 2019 is not significant compared to Lazard’s net revenue, total assets in the Corporate segment represented 68% of Lazard’s consolidated total assets as of March 31, 2019, which are attributable to cash and cash equivalents, investments in debt and equity securities, interests in alternative investment, debt, equity and private equity funds, deferred tax assets and certain assets associated with LFB.</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80" w:firstLine="518"/>
        <w:spacing w:after="0" w:line="255" w:lineRule="auto"/>
        <w:rPr>
          <w:sz w:val="20"/>
          <w:szCs w:val="20"/>
          <w:color w:val="auto"/>
        </w:rPr>
      </w:pPr>
      <w:r>
        <w:rPr>
          <w:rFonts w:ascii="Times New Roman" w:cs="Times New Roman" w:eastAsia="Times New Roman" w:hAnsi="Times New Roman"/>
          <w:sz w:val="18"/>
          <w:szCs w:val="18"/>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14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8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72" w:lineRule="exact"/>
        <w:rPr>
          <w:sz w:val="20"/>
          <w:szCs w:val="20"/>
          <w:color w:val="auto"/>
        </w:rPr>
      </w:pPr>
    </w:p>
    <w:p>
      <w:pPr>
        <w:ind w:left="900" w:right="120" w:hanging="379"/>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 incentive compensation with respect to the fiscal year, which is comprised of:</w:t>
      </w:r>
    </w:p>
    <w:p>
      <w:pPr>
        <w:spacing w:after="0" w:line="115" w:lineRule="exact"/>
        <w:rPr>
          <w:rFonts w:ascii="Times New Roman" w:cs="Times New Roman" w:eastAsia="Times New Roman" w:hAnsi="Times New Roman"/>
          <w:sz w:val="18"/>
          <w:szCs w:val="18"/>
          <w:color w:val="auto"/>
        </w:rPr>
      </w:pPr>
    </w:p>
    <w:p>
      <w:pPr>
        <w:ind w:left="1420" w:right="260" w:hanging="386"/>
        <w:spacing w:after="0" w:line="290" w:lineRule="auto"/>
        <w:tabs>
          <w:tab w:leader="none" w:pos="142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deferred incentive compensation awards granted in the year-end compensation process with respect to the fiscal year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deferred incentive compensation awards granted in 2019 related to the 2018 year-end compensation process), including performance-based restricted stock unit (“PRSU”) and performance-based restricted participation unit (“PRPU”) awards (based on the target payout level);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5" w:name="page46"/>
    <w:bookmarkEnd w:id="45"/>
    <w:p>
      <w:pPr>
        <w:ind w:left="1420" w:right="480" w:hanging="386"/>
        <w:spacing w:after="0" w:line="284"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investments in people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“sign-on” bonuses or retention awards) and other special deferred incentive compensation awards that is applicable to the fiscal year the award becomes effective; and</w:t>
      </w:r>
    </w:p>
    <w:p>
      <w:pPr>
        <w:spacing w:after="0" w:line="52"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excess of the target payout level for PRSU and PRPU awards at the end of their respective performance periods;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which compares to 55.8% and 55.1%, respectively, for the year ended December 31, 2018.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9"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In 2019, non-compensation expense included expenses related to the redemption of the Company’s 4.25% senior notes due 2020 (the “2020 Notes”).</w:t>
      </w:r>
    </w:p>
    <w:p>
      <w:pPr>
        <w:spacing w:after="0" w:line="184" w:lineRule="exact"/>
        <w:rPr>
          <w:sz w:val="20"/>
          <w:szCs w:val="20"/>
          <w:color w:val="auto"/>
        </w:rPr>
      </w:pPr>
    </w:p>
    <w:p>
      <w:pPr>
        <w:ind w:right="360" w:firstLine="518"/>
        <w:spacing w:after="0" w:line="313" w:lineRule="auto"/>
        <w:rPr>
          <w:sz w:val="20"/>
          <w:szCs w:val="20"/>
          <w:color w:val="auto"/>
        </w:rPr>
      </w:pPr>
      <w:r>
        <w:rPr>
          <w:rFonts w:ascii="Times New Roman" w:cs="Times New Roman" w:eastAsia="Times New Roman" w:hAnsi="Times New Roman"/>
          <w:sz w:val="17"/>
          <w:szCs w:val="17"/>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38"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Our operating expenses also include “amortization and other acquisition-related costs” which includes the change in fair value of the contingent consideration associated with business acquisitions.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240" w:firstLine="518"/>
        <w:spacing w:after="0" w:line="258" w:lineRule="auto"/>
        <w:rPr>
          <w:sz w:val="20"/>
          <w:szCs w:val="20"/>
          <w:color w:val="auto"/>
        </w:rPr>
      </w:pPr>
      <w:r>
        <w:rPr>
          <w:rFonts w:ascii="Times New Roman" w:cs="Times New Roman" w:eastAsia="Times New Roman" w:hAnsi="Times New Roman"/>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4"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See “Critical Accounting Policies and Estimates—Income Taxes” below and Notes 16 and 18 of Notes to Condensed Consolidated Financial Statements for additional information regarding income taxes, our deferred tax assets and the tax receivable agreement obligation.</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Noncontrolling interests primarily consist of amounts related to Edgewater’s management vehicles that the Company is deemed to control but not own, and profits interest participation rights. See Note 13 of Notes to Condensed Consolidated Financial Statements for information regarding the Company’s noncontrolling interests.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9"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color w:val="auto"/>
        </w:rPr>
        <w:t>Lazard’s condensed consolidated financial statements are presented in U.S. Dollars. Many of our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46" w:name="page47"/>
    <w:bookmarkEnd w:id="46"/>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A portion of our net revenue is derived from transactions that are denominated in currencies other than the U.S. Dollar. Net revenue for the three month period ended March 31, 2019 was negatively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0"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240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643,674</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754,698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372,254</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405,047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Non-compensation</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148,287</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and other acquisition-related costs</w:t>
            </w:r>
          </w:p>
        </w:tc>
        <w:tc>
          <w:tcPr>
            <w:tcW w:w="14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3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524,011</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568,870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1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119,663</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185,828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23,187</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1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96,476</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Less - Net Income (Loss) Attributable to Noncontrolling Interests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(566)</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Lazard Ltd</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97,042</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159,692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as a % of net revenue</w:t>
            </w:r>
          </w:p>
        </w:tc>
        <w:tc>
          <w:tcPr>
            <w:tcW w:w="1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19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1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3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643,674</w:t>
            </w:r>
          </w:p>
        </w:tc>
        <w:tc>
          <w:tcPr>
            <w:tcW w:w="280" w:type="dxa"/>
            <w:vAlign w:val="bottom"/>
          </w:tcPr>
          <w:p>
            <w:pPr>
              <w:spacing w:after="0"/>
              <w:rPr>
                <w:sz w:val="19"/>
                <w:szCs w:val="19"/>
                <w:color w:val="auto"/>
              </w:rPr>
            </w:pPr>
          </w:p>
        </w:tc>
        <w:tc>
          <w:tcPr>
            <w:tcW w:w="580" w:type="dxa"/>
            <w:vAlign w:val="bottom"/>
            <w:gridSpan w:val="2"/>
          </w:tcPr>
          <w:p>
            <w:pPr>
              <w:jc w:val="right"/>
              <w:ind w:right="44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754,698</w:t>
            </w:r>
          </w:p>
        </w:tc>
        <w:tc>
          <w:tcPr>
            <w:tcW w:w="12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 (a)</w:t>
            </w: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12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Distribution fees, reimbursable deal costs and bad debt expense (b)</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(24,332)</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(39,514)</w:t>
            </w:r>
          </w:p>
        </w:tc>
      </w:tr>
      <w:tr>
        <w:trPr>
          <w:trHeight w:val="230"/>
        </w:trPr>
        <w:tc>
          <w:tcPr>
            <w:tcW w:w="6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Revenue related to noncontrolling interests (c)</w:t>
            </w: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(5,217)</w:t>
            </w:r>
          </w:p>
        </w:tc>
      </w:tr>
      <w:tr>
        <w:trPr>
          <w:trHeight w:val="230"/>
        </w:trPr>
        <w:tc>
          <w:tcPr>
            <w:tcW w:w="6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(Gains) losses on investments pertaining to LFI (d)</w:t>
            </w:r>
          </w:p>
        </w:tc>
        <w:tc>
          <w:tcPr>
            <w:tcW w:w="1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(13,870)</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FF0FC"/>
          </w:tcPr>
          <w:p>
            <w:pPr>
              <w:spacing w:after="0"/>
              <w:rPr>
                <w:sz w:val="19"/>
                <w:szCs w:val="19"/>
                <w:color w:val="auto"/>
              </w:rPr>
            </w:pPr>
          </w:p>
        </w:tc>
      </w:tr>
      <w:tr>
        <w:trPr>
          <w:trHeight w:val="223"/>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619,990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723,935</w:t>
            </w:r>
          </w:p>
        </w:tc>
        <w:tc>
          <w:tcPr>
            <w:tcW w:w="12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5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2" w:lineRule="exact"/>
        <w:rPr>
          <w:sz w:val="20"/>
          <w:szCs w:val="20"/>
          <w:color w:val="auto"/>
        </w:rPr>
      </w:pPr>
    </w:p>
    <w:p>
      <w:pPr>
        <w:ind w:left="380" w:right="40" w:hanging="372"/>
        <w:spacing w:after="0" w:line="261"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380" w:right="80" w:hanging="372"/>
        <w:spacing w:after="0" w:line="25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220" w:hanging="372"/>
        <w:spacing w:after="0" w:line="25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related to the consolidation of noncontrolling interests is excluded from operating revenue because the Company has no economic interest in such amount.</w:t>
      </w:r>
    </w:p>
    <w:p>
      <w:pPr>
        <w:ind w:left="380" w:right="460" w:hanging="372"/>
        <w:spacing w:after="0" w:line="261"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19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19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6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Compensation and Benefits Expense:</w:t>
            </w:r>
          </w:p>
        </w:tc>
        <w:tc>
          <w:tcPr>
            <w:tcW w:w="1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compensation and benefits expense</w:t>
            </w:r>
          </w:p>
        </w:tc>
        <w:tc>
          <w:tcPr>
            <w:tcW w:w="246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372,254</w:t>
            </w:r>
          </w:p>
        </w:tc>
        <w:tc>
          <w:tcPr>
            <w:tcW w:w="360" w:type="dxa"/>
            <w:vAlign w:val="bottom"/>
          </w:tcPr>
          <w:p>
            <w:pPr>
              <w:spacing w:after="0"/>
              <w:rPr>
                <w:sz w:val="19"/>
                <w:szCs w:val="19"/>
                <w:color w:val="auto"/>
              </w:rPr>
            </w:pP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405,047</w:t>
            </w:r>
          </w:p>
        </w:tc>
        <w:tc>
          <w:tcPr>
            <w:tcW w:w="180" w:type="dxa"/>
            <w:vAlign w:val="bottom"/>
          </w:tcPr>
          <w:p>
            <w:pPr>
              <w:spacing w:after="0"/>
              <w:rPr>
                <w:sz w:val="19"/>
                <w:szCs w:val="19"/>
                <w:color w:val="auto"/>
              </w:rPr>
            </w:pPr>
          </w:p>
        </w:tc>
      </w:tr>
      <w:tr>
        <w:trPr>
          <w:trHeight w:val="230"/>
        </w:trPr>
        <w:tc>
          <w:tcPr>
            <w:tcW w:w="6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Noncontrolling interests (a)</w:t>
            </w:r>
          </w:p>
        </w:tc>
        <w:tc>
          <w:tcPr>
            <w:tcW w:w="1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(1,890)</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(2,527)</w:t>
            </w:r>
          </w:p>
        </w:tc>
      </w:tr>
      <w:tr>
        <w:trPr>
          <w:trHeight w:val="230"/>
        </w:trPr>
        <w:tc>
          <w:tcPr>
            <w:tcW w:w="62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(Charges) credits pertaining to LFI (b)</w:t>
            </w:r>
          </w:p>
        </w:tc>
        <w:tc>
          <w:tcPr>
            <w:tcW w:w="1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(13,870)</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shd w:val="clear" w:color="auto" w:fill="CFF0FC"/>
          </w:tcPr>
          <w:p>
            <w:pPr>
              <w:spacing w:after="0"/>
              <w:rPr>
                <w:sz w:val="19"/>
                <w:szCs w:val="19"/>
                <w:color w:val="auto"/>
              </w:rPr>
            </w:pPr>
          </w:p>
        </w:tc>
      </w:tr>
      <w:tr>
        <w:trPr>
          <w:trHeight w:val="263"/>
        </w:trPr>
        <w:tc>
          <w:tcPr>
            <w:tcW w:w="62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152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356,494</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403,956</w:t>
            </w:r>
          </w:p>
        </w:tc>
        <w:tc>
          <w:tcPr>
            <w:tcW w:w="180" w:type="dxa"/>
            <w:vAlign w:val="bottom"/>
            <w:tcBorders>
              <w:bottom w:val="single" w:sz="8" w:color="CFF0FC"/>
            </w:tcBorders>
          </w:tcPr>
          <w:p>
            <w:pPr>
              <w:spacing w:after="0"/>
              <w:rPr>
                <w:sz w:val="22"/>
                <w:szCs w:val="22"/>
                <w:color w:val="auto"/>
              </w:rPr>
            </w:pPr>
          </w:p>
        </w:tc>
      </w:tr>
      <w:tr>
        <w:trPr>
          <w:trHeight w:val="192"/>
        </w:trPr>
        <w:tc>
          <w:tcPr>
            <w:tcW w:w="6240" w:type="dxa"/>
            <w:vAlign w:val="bottom"/>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Adjusted compensation and benefits expense, as a % of operating</w:t>
            </w:r>
          </w:p>
        </w:tc>
        <w:tc>
          <w:tcPr>
            <w:tcW w:w="15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34"/>
        </w:trPr>
        <w:tc>
          <w:tcPr>
            <w:tcW w:w="6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57.5%</w:t>
            </w:r>
          </w:p>
        </w:tc>
        <w:tc>
          <w:tcPr>
            <w:tcW w:w="5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432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3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2"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Lazard has no economic interest in such amounts.</w:t>
      </w:r>
    </w:p>
    <w:p>
      <w:pPr>
        <w:spacing w:after="0" w:line="27"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Non-Compensation Expense:</w:t>
            </w:r>
          </w:p>
        </w:tc>
        <w:tc>
          <w:tcPr>
            <w:tcW w:w="1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non-compensation expense</w:t>
            </w:r>
          </w:p>
        </w:tc>
        <w:tc>
          <w:tcPr>
            <w:tcW w:w="228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148,287</w:t>
            </w:r>
          </w:p>
        </w:tc>
        <w:tc>
          <w:tcPr>
            <w:tcW w:w="360" w:type="dxa"/>
            <w:vAlign w:val="bottom"/>
          </w:tcPr>
          <w:p>
            <w:pPr>
              <w:spacing w:after="0"/>
              <w:rPr>
                <w:sz w:val="19"/>
                <w:szCs w:val="19"/>
                <w:color w:val="auto"/>
              </w:rPr>
            </w:pP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Expenses associated with ERP system implementation (a)</w:t>
            </w: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(3,205)</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(7,426)</w:t>
            </w: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Expenses related to office space reorganization (b)</w:t>
            </w:r>
          </w:p>
        </w:tc>
        <w:tc>
          <w:tcPr>
            <w:tcW w:w="1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30"/>
        </w:trPr>
        <w:tc>
          <w:tcPr>
            <w:tcW w:w="6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Distribution fees, reimbursable deal costs and bad debt expense (c)</w:t>
            </w: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(24,332)</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(39,514)</w:t>
            </w: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Charges pertaining to senior debt refinancing (d)</w:t>
            </w:r>
          </w:p>
        </w:tc>
        <w:tc>
          <w:tcPr>
            <w:tcW w:w="1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(4,243)</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Noncontrolling interests (e)</w:t>
            </w: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(770)</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6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115,737</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non-compensation expense, as a % of operating revenue</w:t>
            </w:r>
          </w:p>
        </w:tc>
        <w:tc>
          <w:tcPr>
            <w:tcW w:w="1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associated with the Enterprise Resource Planning (“ERP”) system implementation.</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incremental rent expense and lease abandonment costs related to office space reorganization.</w:t>
      </w:r>
    </w:p>
    <w:p>
      <w:pPr>
        <w:spacing w:after="0" w:line="22" w:lineRule="exact"/>
        <w:rPr>
          <w:rFonts w:ascii="Times New Roman" w:cs="Times New Roman" w:eastAsia="Times New Roman" w:hAnsi="Times New Roman"/>
          <w:sz w:val="18"/>
          <w:szCs w:val="18"/>
          <w:color w:val="auto"/>
        </w:rPr>
      </w:pPr>
    </w:p>
    <w:p>
      <w:pPr>
        <w:ind w:left="380" w:right="80" w:hanging="372"/>
        <w:spacing w:after="0" w:line="250"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220" w:hanging="372"/>
        <w:spacing w:after="0" w:line="250"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represents charges pertaining to the partial redemption of the Company’s 2020 Notes due to the non-operating nature of such transaction. See “—Liquidity and Capital Resources—Financing Activities” below.</w:t>
      </w: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the Company has no economic interest in such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3"/>
          </w:tcPr>
          <w:p>
            <w:pPr>
              <w:jc w:val="center"/>
              <w:ind w:left="538"/>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Operations:</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3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619,990</w:t>
            </w:r>
          </w:p>
        </w:tc>
        <w:tc>
          <w:tcPr>
            <w:tcW w:w="360" w:type="dxa"/>
            <w:vAlign w:val="bottom"/>
          </w:tcPr>
          <w:p>
            <w:pPr>
              <w:spacing w:after="0"/>
              <w:rPr>
                <w:sz w:val="19"/>
                <w:szCs w:val="19"/>
                <w:color w:val="auto"/>
              </w:rPr>
            </w:pP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(356,494)</w:t>
            </w:r>
          </w:p>
        </w:tc>
        <w:tc>
          <w:tcPr>
            <w:tcW w:w="5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(403,956)</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2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(115,737)</w:t>
            </w:r>
          </w:p>
        </w:tc>
        <w:tc>
          <w:tcPr>
            <w:tcW w:w="5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(114,081)</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29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147,759</w:t>
            </w:r>
          </w:p>
        </w:tc>
        <w:tc>
          <w:tcPr>
            <w:tcW w:w="3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205,898</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operations, as a % of operating revenue</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980" w:type="dxa"/>
            <w:vAlign w:val="bottom"/>
            <w:tcBorders>
              <w:top w:val="single" w:sz="8" w:color="CFF0FC"/>
              <w:bottom w:val="single" w:sz="8" w:color="CFF0FC"/>
            </w:tcBorders>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8"/>
          <w:szCs w:val="18"/>
          <w:color w:val="auto"/>
        </w:rPr>
        <w:t>Headcount information is set forth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1"/>
        </w:trPr>
        <w:tc>
          <w:tcPr>
            <w:tcW w:w="6780" w:type="dxa"/>
            <w:vAlign w:val="bottom"/>
          </w:tcPr>
          <w:p>
            <w:pPr>
              <w:spacing w:after="0"/>
              <w:rPr>
                <w:sz w:val="11"/>
                <w:szCs w:val="11"/>
                <w:color w:val="auto"/>
              </w:rPr>
            </w:pPr>
          </w:p>
        </w:tc>
        <w:tc>
          <w:tcPr>
            <w:tcW w:w="1600" w:type="dxa"/>
            <w:vAlign w:val="bottom"/>
            <w:gridSpan w:val="2"/>
          </w:tcPr>
          <w:p>
            <w:pPr>
              <w:ind w:left="3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r>
      <w:tr>
        <w:trPr>
          <w:trHeight w:val="173"/>
        </w:trPr>
        <w:tc>
          <w:tcPr>
            <w:tcW w:w="678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Headcount:</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Directors:</w:t>
            </w: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Financial Advisory</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 Management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Corporate</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Managing Directors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Business Segment Professionals and Support Staff:</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Advisory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Asset Management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Corporate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117" w:lineRule="exact"/>
        <w:rPr>
          <w:sz w:val="20"/>
          <w:szCs w:val="20"/>
          <w:color w:val="auto"/>
        </w:rPr>
      </w:pPr>
    </w:p>
    <w:p>
      <w:pPr>
        <w:ind w:right="22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March 31, 2018</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Company reported net income attributable to Lazard Ltd of $97 million, as compared to net income attributable to Lazard Ltd of $160 million in the 2018 period.</w:t>
      </w:r>
    </w:p>
    <w:p>
      <w:pPr>
        <w:spacing w:after="0" w:line="162"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Net revenue decreased $111 million, or 15%, with operating revenue decreasing $104 million, or 14%, as compared to the 2018 period. Fee revenue from investment banking and other advisory activities decreased $73 million, or 18%, as compared to the 2018 period. Asset management fees, including incentive fees, decreased $46 million, or 14%, as compared to the 2018 period, primarily due to a decrease in average AUM. In the aggregate, interest income, other revenue and interest expense increased $8 million, or 96%, as compared to the 2018 period, primarily due to higher income attributable to investments held in connection with LFI.</w:t>
      </w:r>
    </w:p>
    <w:p>
      <w:pPr>
        <w:spacing w:after="0" w:line="184"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Compensation and benefits expense decreased $33 million, or 8%, as compared to the 2018 period, primarily associated with decreased operating revenue.</w:t>
      </w:r>
    </w:p>
    <w:p>
      <w:pPr>
        <w:spacing w:after="0" w:line="162"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Adjusted compensation and benefits expense (which excludes certain items and which we believe allows for improved comparability between periods, as described above) was $356 million, a decrease of $48 million, or 12%, as compared to $404 million in the 2018 period. The ratio of adjusted compensation and benefits expense to operating revenue was 57.5% for the 2019 period, as compared to 55.8% for the 2018 period and 55.1% for full-year 2018.</w:t>
      </w:r>
    </w:p>
    <w:p>
      <w:pPr>
        <w:spacing w:after="0" w:line="176"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Non-compensation expense decreased $15 million, or 9%, as compared to the 2018 period primarily due to higher bad debt expense in the 2018 period and lower fund administration fees in the 2019 period. Adjusted non-compensation expense was substantially unchanged as compared to the 2018 period. The ratio of adjusted non-compensation expense to operating revenue was 18.7% for the 2019 period, as compared to 15.8% for the 2018 period.</w:t>
      </w:r>
    </w:p>
    <w:p>
      <w:pPr>
        <w:spacing w:after="0" w:line="176"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Amortization and other acquisition-related costs increased $3 million, as compared to the 2018 period primarily due to the change in the fair market value of contingent consideration.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income decreased $66 million, or 36%, as compared to the 2018 period.</w:t>
      </w:r>
    </w:p>
    <w:p>
      <w:pPr>
        <w:spacing w:after="0" w:line="225"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Earnings from operations decreased $58 million, or 28%, as compared to the 2018 period, and, as a percentage of operating revenue, was 23.8%, as compared to 28.4% in the 2018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49" w:name="page50"/>
    <w:bookmarkEnd w:id="49"/>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The provision for income taxes reflects an effective tax rate of 19.4%, as compared to 13.0% for the 2018 period. The increase in the effective tax rate is primarily due to a reduction in excess net tax benefits related to share-based incentive compensation and the impact of U.S. tax reform primarily related to base erosion and anti-abuse tax.</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income attributable to noncontrolling interests decreased $3 million as compared to the 2018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ind w:right="620" w:firstLine="518"/>
        <w:spacing w:after="0" w:line="276" w:lineRule="auto"/>
        <w:rPr>
          <w:sz w:val="20"/>
          <w:szCs w:val="20"/>
          <w:color w:val="auto"/>
        </w:rPr>
      </w:pPr>
      <w:r>
        <w:rPr>
          <w:rFonts w:ascii="Times New Roman" w:cs="Times New Roman" w:eastAsia="Times New Roman" w:hAnsi="Times New Roman"/>
          <w:sz w:val="17"/>
          <w:szCs w:val="17"/>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spacing w:after="0" w:line="1" w:lineRule="exact"/>
        <w:rPr>
          <w:sz w:val="20"/>
          <w:szCs w:val="20"/>
          <w:color w:val="auto"/>
        </w:rPr>
      </w:pPr>
    </w:p>
    <w:p>
      <w:pPr>
        <w:ind w:right="20" w:firstLine="8"/>
        <w:spacing w:after="0" w:line="253" w:lineRule="auto"/>
        <w:tabs>
          <w:tab w:leader="none" w:pos="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Financial Advisory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34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338,370</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280,261</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324,696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58,109</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84,425</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2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Lazard fee and transaction statistics for the Financial Advisory segment are set forth below:</w:t>
      </w:r>
    </w:p>
    <w:p>
      <w:pPr>
        <w:spacing w:after="0" w:line="30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gridSpan w:val="2"/>
          </w:tcPr>
          <w:p>
            <w:pPr>
              <w:spacing w:after="0"/>
              <w:rPr>
                <w:sz w:val="13"/>
                <w:szCs w:val="13"/>
                <w:color w:val="auto"/>
              </w:rPr>
            </w:pPr>
          </w:p>
        </w:tc>
        <w:tc>
          <w:tcPr>
            <w:tcW w:w="11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Lazard Statistics:</w:t>
            </w: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clients with fees greater than $1 million:</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9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Financial Advisory</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63</w:t>
            </w: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74</w:t>
            </w:r>
          </w:p>
        </w:tc>
        <w:tc>
          <w:tcPr>
            <w:tcW w:w="180" w:type="dxa"/>
            <w:vAlign w:val="bottom"/>
            <w:shd w:val="clear" w:color="auto" w:fill="CFF0FC"/>
          </w:tcPr>
          <w:p>
            <w:pPr>
              <w:spacing w:after="0"/>
              <w:rPr>
                <w:sz w:val="19"/>
                <w:szCs w:val="19"/>
                <w:color w:val="auto"/>
              </w:rPr>
            </w:pPr>
          </w:p>
        </w:tc>
      </w:tr>
      <w:tr>
        <w:trPr>
          <w:trHeight w:val="211"/>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 of total Financial Advisory net revenue from top 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8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clients</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43%</w:t>
            </w: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38%</w:t>
            </w:r>
          </w:p>
        </w:tc>
      </w:tr>
      <w:tr>
        <w:trPr>
          <w:trHeight w:val="211"/>
        </w:trPr>
        <w:tc>
          <w:tcPr>
            <w:tcW w:w="8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M&amp;A transactions completed with values greater than</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89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$500 million (a)</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17</w:t>
            </w:r>
          </w:p>
        </w:tc>
        <w:tc>
          <w:tcPr>
            <w:tcW w:w="360" w:type="dxa"/>
            <w:vAlign w:val="bottom"/>
            <w:shd w:val="clear" w:color="auto" w:fill="CFF0FC"/>
          </w:tcPr>
          <w:p>
            <w:pPr>
              <w:spacing w:after="0"/>
              <w:rPr>
                <w:sz w:val="20"/>
                <w:szCs w:val="20"/>
                <w:color w:val="auto"/>
              </w:rPr>
            </w:pP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28</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Source: Dealogic as of April 3, 2019.</w:t>
      </w:r>
    </w:p>
    <w:p>
      <w:pPr>
        <w:spacing w:after="0" w:line="22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5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48</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7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0" w:name="page51"/>
    <w:bookmarkEnd w:id="50"/>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Results of Operations</w:t>
      </w:r>
    </w:p>
    <w:p>
      <w:pPr>
        <w:spacing w:after="0" w:line="117" w:lineRule="exact"/>
        <w:rPr>
          <w:sz w:val="20"/>
          <w:szCs w:val="20"/>
          <w:color w:val="auto"/>
        </w:rPr>
      </w:pPr>
    </w:p>
    <w:p>
      <w:pPr>
        <w:ind w:right="26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March 31, 2018</w:t>
      </w:r>
    </w:p>
    <w:p>
      <w:pPr>
        <w:spacing w:after="0" w:line="121"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Financial Advisory net revenue decreased $71 million, or 17%, as compared to the 2018 period, primarily due to a decrease in the number of transactions involving fees greater than $5 million as compared to 2018.</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Operating expenses decreased $44 million, or 14%, as compared to the 2018 period, primarily due to a decrease in compensation and benefits expense associated with decreased operating revenue.</w:t>
      </w:r>
    </w:p>
    <w:p>
      <w:pPr>
        <w:spacing w:after="0" w:line="162"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Financial Advisory operating income was $58 million, a decrease of $26 million, or 31%, as compared to the 2018 period and, as a percentage of net revenue, was 17.2%, as compared to 20.6% in the 2018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composition of AUM for the Asset Management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ind w:right="39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r>
      <w:tr>
        <w:trPr>
          <w:trHeight w:val="173"/>
        </w:trPr>
        <w:tc>
          <w:tcPr>
            <w:tcW w:w="48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Emerging Markets</w:t>
            </w:r>
          </w:p>
        </w:tc>
        <w:tc>
          <w:tcPr>
            <w:tcW w:w="3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45,112</w:t>
            </w:r>
          </w:p>
        </w:tc>
        <w:tc>
          <w:tcPr>
            <w:tcW w:w="6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63,112</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Equity</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195,095</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176,998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Income:</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Emerging Markets</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Global</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Local</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Fixed Income</w:t>
            </w:r>
          </w:p>
        </w:tc>
        <w:tc>
          <w:tcPr>
            <w:tcW w:w="2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234,979</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214,734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Total AUM at March 31, 2019 was $235 billion, an increase of $20 billion, or 9%, as compared to total AUM of $215 billion at December 31, 2018, due to market appreciation and net inflows, partially offset by foreign exchange depreciation. Average AUM for the first quarter of 2019 decreased 11% as compared to the first quarter of 2018 and increased 2% as compared to the fourth quarter of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As of both March 31, 2019 and December 31. 2018, approximately 88% of our AUM was managed on behalf of institutional clients, including corporations, labor unions, public pension funds, insurance companies and banks, and through sub-advisory relationships, mutual fund sponsors, broker-dealers and registered advisors. As of both March 31, 2019 and December 31, 2018, approximately 12% of our AUM was managed on behalf of individual client relationships, which are principally with family offices and individuals.</w:t>
      </w:r>
    </w:p>
    <w:p>
      <w:pPr>
        <w:spacing w:after="0" w:line="180"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As of both March 31, 2019 and December 31, 2018, AUM with foreign currency exposure represented approximately 70% of our total AUM. AUM with foreign currency exposure generally declines in value with the strengthening of the U.S. Dollar and increases in value as the U.S. Dollar weakens, with all other factors held constant.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changes in AUM by asset class for the three month periods ended March 31, 2019 and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0"/>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Inflows (a)</w:t>
            </w:r>
          </w:p>
        </w:tc>
        <w:tc>
          <w:tcPr>
            <w:tcW w:w="10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8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(7,229)</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c>
          <w:tcPr>
            <w:tcW w:w="3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214,734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right="200" w:hanging="372"/>
        <w:spacing w:after="0" w:line="261"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in the Equity asset class were primarily attributable to the Global, Emerging Markets and Multi-Regional platforms, and inflows in the Fixed Income asset class were primarily attributable to the Global, Multi-Regional and Emerging Markets platforms. Outflows in the Equity asset class were primarily attributable to the Global, Emerging Markets and Multi-Regional platforms, and outflows in the Fixed Income asset class were primarily attributable to the Emerging Markets and Global platforms.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0"/>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8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249,459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As of April 17, 2019, AUM was $240.6 billion, a $5.6 billion increase since March 31, 2019. The increase in AUM was due to market appreciation of $5.4 billion and foreign exchange appreciation of $0.4 billion, partially offset by net outflows of $0.2 billion.</w:t>
      </w:r>
    </w:p>
    <w:p>
      <w:pPr>
        <w:spacing w:after="0" w:line="162"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Average AUM for the three month periods ended March 31, 2019 and 2018 for each significant asset class is set forth below. Average AUM generally represents the average of the monthly ending AUM balances for the period.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AUM by Asset Class:</w:t>
            </w:r>
          </w:p>
        </w:tc>
        <w:tc>
          <w:tcPr>
            <w:tcW w:w="3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w:t>
            </w:r>
          </w:p>
        </w:tc>
        <w:tc>
          <w:tcPr>
            <w:tcW w:w="486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189,221</w:t>
            </w:r>
          </w:p>
        </w:tc>
        <w:tc>
          <w:tcPr>
            <w:tcW w:w="86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Income</w:t>
            </w:r>
          </w:p>
        </w:tc>
        <w:tc>
          <w:tcPr>
            <w:tcW w:w="3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Alternative Investments</w:t>
            </w:r>
          </w:p>
        </w:tc>
        <w:tc>
          <w:tcPr>
            <w:tcW w:w="3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 Equity</w:t>
            </w:r>
          </w:p>
        </w:tc>
        <w:tc>
          <w:tcPr>
            <w:tcW w:w="39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Cash Management</w:t>
            </w:r>
          </w:p>
        </w:tc>
        <w:tc>
          <w:tcPr>
            <w:tcW w:w="39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Average AUM</w:t>
            </w:r>
          </w:p>
        </w:tc>
        <w:tc>
          <w:tcPr>
            <w:tcW w:w="39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228,837</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90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2" w:name="page53"/>
    <w:bookmarkEnd w:id="52"/>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Asset Management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34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301,833</w:t>
            </w: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354,283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207,348</w:t>
            </w: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229,669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94,485</w:t>
            </w: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124,614</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2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w:t>
            </w:r>
          </w:p>
        </w:tc>
        <w:tc>
          <w:tcPr>
            <w:tcW w:w="5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3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7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Results of Operations</w:t>
      </w:r>
    </w:p>
    <w:p>
      <w:pPr>
        <w:spacing w:after="0" w:line="117" w:lineRule="exact"/>
        <w:rPr>
          <w:sz w:val="20"/>
          <w:szCs w:val="20"/>
          <w:color w:val="auto"/>
        </w:rPr>
      </w:pPr>
    </w:p>
    <w:p>
      <w:pPr>
        <w:ind w:right="58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March 31, 2018</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Asset Management net revenue decreased $52 million, or 15%, as compared to the 2018 period. Management fees and other revenue was $301 million, a decrease of $47 million, or 14%, as compared to $348 million in the 2018 period, primarily due a decrease in average AUM. Incentive fees were $1 million, a decrease of $5 million as compared to $6 million in the 2018 period.</w:t>
      </w:r>
    </w:p>
    <w:p>
      <w:pPr>
        <w:spacing w:after="0" w:line="176"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Operating expenses decreased $22 million, or 10%, as compared to the 2018 period, primarily due to a decrease in compensation and benefits expense associated with decreased operating revenue, as well as lower fund administration fees.</w:t>
      </w:r>
    </w:p>
    <w:p>
      <w:pPr>
        <w:spacing w:after="0" w:line="162"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Asset Management operating income was $94 million, a decrease of $30 million, or 24%, as compared to operating income of $125 million in the 2018 period and, as a percentage of net revenue, was 31.3%, as compared to 35.2% in the 2018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Corporate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02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(13,012)</w:t>
            </w: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Interest (Expense)</w:t>
            </w:r>
          </w:p>
        </w:tc>
        <w:tc>
          <w:tcPr>
            <w:tcW w:w="40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(14,175)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4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Revenue (Expense)</w:t>
            </w:r>
          </w:p>
        </w:tc>
        <w:tc>
          <w:tcPr>
            <w:tcW w:w="4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(32,931)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6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53" w:name="page54"/>
    <w:bookmarkEnd w:id="5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Corporate Results of Operations</w:t>
      </w:r>
    </w:p>
    <w:p>
      <w:pPr>
        <w:spacing w:after="0" w:line="117" w:lineRule="exact"/>
        <w:rPr>
          <w:sz w:val="20"/>
          <w:szCs w:val="20"/>
          <w:color w:val="auto"/>
        </w:rPr>
      </w:pPr>
    </w:p>
    <w:p>
      <w:pPr>
        <w:ind w:right="18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versus March 31, 2018</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interest expense increased $3 million, or 33%, as compared to the 2018 period.</w:t>
      </w:r>
    </w:p>
    <w:p>
      <w:pPr>
        <w:spacing w:after="0" w:line="225"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Other revenue increased $16 million as compared to the 2018 period, primarily due to higher income in the 2019 period attributable to investments held in connection with LFI.</w:t>
      </w:r>
    </w:p>
    <w:p>
      <w:pPr>
        <w:spacing w:after="0" w:line="162"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Operating expenses increased $22 million as compared to the 2018 period, primarily due to an increase in compensation and benefits expense, including an increase in charges pertaining to LFI.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were also affected in 2019 by Lazard Group’s issuance of $500 million aggregate principal amount of its 4.375% senior notes maturing in 2029 (the “2029 Notes”) and the partial redemption of the 2020 Notes.</w:t>
      </w:r>
    </w:p>
    <w:p>
      <w:pPr>
        <w:spacing w:after="0" w:line="180"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76"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 Company makes cash payments for, or in respect of, a significant portion of its incentive compensation during the first three months of each calendar year with respect to the prior year’s results. The Company also paid a special dividend in February 2019 and February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19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(a)</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operating activities (b)</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790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tcPr>
          <w:p>
            <w:pPr>
              <w:spacing w:after="0"/>
              <w:rPr>
                <w:sz w:val="19"/>
                <w:szCs w:val="19"/>
                <w:color w:val="auto"/>
              </w:rPr>
            </w:pPr>
          </w:p>
        </w:tc>
      </w:tr>
      <w:tr>
        <w:trPr>
          <w:trHeight w:val="223"/>
        </w:trPr>
        <w:tc>
          <w:tcPr>
            <w:tcW w:w="7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Financing activities (c)</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30"/>
        </w:trPr>
        <w:tc>
          <w:tcPr>
            <w:tcW w:w="7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9"/>
                <w:szCs w:val="19"/>
                <w:color w:val="auto"/>
              </w:rPr>
            </w:pPr>
          </w:p>
        </w:tc>
      </w:tr>
      <w:tr>
        <w:trPr>
          <w:trHeight w:val="22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 and Restricted Cash</w:t>
            </w: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r>
      <w:tr>
        <w:trPr>
          <w:trHeight w:val="230"/>
        </w:trPr>
        <w:tc>
          <w:tcPr>
            <w:tcW w:w="7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(d):</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90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Borders>
              <w:bottom w:val="single" w:sz="8" w:color="CFF0FC"/>
            </w:tcBorders>
          </w:tcPr>
          <w:p>
            <w:pPr>
              <w:spacing w:after="0"/>
              <w:rPr>
                <w:sz w:val="19"/>
                <w:szCs w:val="19"/>
                <w:color w:val="auto"/>
              </w:rPr>
            </w:pPr>
          </w:p>
        </w:tc>
      </w:tr>
      <w:tr>
        <w:trPr>
          <w:trHeight w:val="223"/>
        </w:trPr>
        <w:tc>
          <w:tcPr>
            <w:tcW w:w="790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5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Consists of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4" w:name="page55"/>
    <w:bookmarkEnd w:id="54"/>
    <w:tbl>
      <w:tblPr>
        <w:tblLayout w:type="fixed"/>
        <w:tblInd w:w="58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3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1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482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3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7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expenses and share-based incentive compensation</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w:t>
            </w:r>
          </w:p>
        </w:tc>
        <w:tc>
          <w:tcPr>
            <w:tcW w:w="3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other acquisition-related</w:t>
            </w:r>
          </w:p>
        </w:tc>
        <w:tc>
          <w:tcPr>
            <w:tcW w:w="4820" w:type="dxa"/>
            <w:vAlign w:val="bottom"/>
            <w:gridSpan w:val="2"/>
            <w:shd w:val="clear" w:color="auto" w:fill="CFF0FC"/>
          </w:tcPr>
          <w:p>
            <w:pPr>
              <w:jc w:val="right"/>
              <w:ind w:right="4342"/>
              <w:spacing w:after="0"/>
              <w:rPr>
                <w:sz w:val="20"/>
                <w:szCs w:val="20"/>
                <w:color w:val="auto"/>
              </w:rPr>
            </w:pPr>
            <w:r>
              <w:rPr>
                <w:rFonts w:ascii="Times New Roman" w:cs="Times New Roman" w:eastAsia="Times New Roman" w:hAnsi="Times New Roman"/>
                <w:sz w:val="18"/>
                <w:szCs w:val="18"/>
                <w:color w:val="auto"/>
              </w:rPr>
              <w:t>costs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3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9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changes in operating assets and liabilities.</w:t>
      </w:r>
    </w:p>
    <w:p>
      <w:pPr>
        <w:spacing w:after="0" w:line="27" w:lineRule="exact"/>
        <w:rPr>
          <w:rFonts w:ascii="Times New Roman" w:cs="Times New Roman" w:eastAsia="Times New Roman" w:hAnsi="Times New Roman"/>
          <w:sz w:val="18"/>
          <w:szCs w:val="18"/>
          <w:color w:val="auto"/>
        </w:rPr>
      </w:pPr>
    </w:p>
    <w:p>
      <w:pPr>
        <w:ind w:left="380" w:right="20" w:hanging="372"/>
        <w:spacing w:after="0" w:line="250"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purchases of shares of Class A common stock, tax withholdings related to the settlement of vested restricted stock units (“RSUs”), vested restricted stock awards and vested PRSUs, Class A common stock dividends, changes in customer deposits, distributions to noncontrolling interest holders and activity relating to borrowings (including in 2019, the partial redemption of the 2020 Notes and the issuance of the 2029 Notes).</w:t>
      </w:r>
    </w:p>
    <w:p>
      <w:pPr>
        <w:spacing w:after="0" w:line="1" w:lineRule="exact"/>
        <w:rPr>
          <w:rFonts w:ascii="Times New Roman" w:cs="Times New Roman" w:eastAsia="Times New Roman" w:hAnsi="Times New Roman"/>
          <w:sz w:val="18"/>
          <w:szCs w:val="18"/>
          <w:color w:val="auto"/>
        </w:rPr>
      </w:pPr>
    </w:p>
    <w:p>
      <w:pPr>
        <w:ind w:left="380" w:right="60" w:hanging="372"/>
        <w:spacing w:after="0" w:line="261"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liquidity and capital resources are derived from operating activities, financing activities and equity offerings.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40" w:firstLine="518"/>
        <w:spacing w:after="0" w:line="313" w:lineRule="auto"/>
        <w:rPr>
          <w:sz w:val="20"/>
          <w:szCs w:val="20"/>
          <w:color w:val="auto"/>
        </w:rPr>
      </w:pPr>
      <w:r>
        <w:rPr>
          <w:rFonts w:ascii="Times New Roman" w:cs="Times New Roman" w:eastAsia="Times New Roman" w:hAnsi="Times New Roman"/>
          <w:sz w:val="17"/>
          <w:szCs w:val="17"/>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3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certain managing directors, which serve to reduce their respective incentive compensation payments. We expect this seasonal pattern of cash flow to continue.</w:t>
      </w:r>
    </w:p>
    <w:p>
      <w:pPr>
        <w:spacing w:after="0" w:line="180"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quarter of 2019, as reflected on the condensed consolidated statements of financial condition, both “deposits with banks and short-term investments” and “deposits and other customer payables” increased as compared to December 31, 2018, due to a higher level of LFB customer-related demand deposits, primarily from clients and funds managed by LFG.</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Lazard’s condensed consolidated financial statements are presented in U.S. Dollars. Many of Lazard’s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88"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levels, investments in U.S. Treasury securities, credit lines, principal investment commitments, interest and principal payments on debt, capital expenditures, dividend payments, purchases of shares of Class A common stock and matters relating to liquidity and to compliance with regulatory net capital requirements. At March 31, 2019, Lazard had approximately $1,011 million of cash, with such amount including approximately $591 million held at Lazard’s operations outside the U.S. Lazard provides for income taxes on substantially all of its foreign earnings. We expect that no material amount of additional taxes would be recognized upon receipt of dividends or distributions of such earnings from our foreign operations.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628" w:right="299" w:bottom="1440" w:gutter="0" w:footer="0" w:header="0"/>
        </w:sectPr>
      </w:pPr>
    </w:p>
    <w:bookmarkStart w:id="55" w:name="page56"/>
    <w:bookmarkEnd w:id="55"/>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maintain lines of credit in excess of anticipated liquidity requirements. As of March 31, 2019, Lazard had approximately $168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w:t>
      </w:r>
    </w:p>
    <w:p>
      <w:pPr>
        <w:spacing w:after="0" w:line="176"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table below sets forth our corporate indebtedness as of March 31, 2019 and December 31, 2018. The agreements with respect to this indebtedness are discussed in more detail in our condensed consolidated financial statements and related notes included elsewhere in this Form 10-Q and in our Form 10-K.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4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1"/>
                <w:szCs w:val="11"/>
                <w:color w:val="auto"/>
              </w:rPr>
            </w:pPr>
          </w:p>
        </w:tc>
        <w:tc>
          <w:tcPr>
            <w:tcW w:w="10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1"/>
                <w:szCs w:val="11"/>
                <w:color w:val="auto"/>
              </w:rPr>
            </w:pPr>
          </w:p>
        </w:tc>
        <w:tc>
          <w:tcPr>
            <w:tcW w:w="10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9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1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Group 2025 Senior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Group 2028 Senior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Lazard Group 2029 Senior Notes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r>
              <w:rPr>
                <w:rFonts w:ascii="Times New Roman" w:cs="Times New Roman" w:eastAsia="Times New Roman" w:hAnsi="Times New Roman"/>
                <w:sz w:val="18"/>
                <w:szCs w:val="18"/>
                <w:u w:val="single" w:color="auto"/>
                <w:color w:val="auto"/>
              </w:rPr>
              <w:t>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r>
              <w:rPr>
                <w:rFonts w:ascii="Times New Roman" w:cs="Times New Roman" w:eastAsia="Times New Roman" w:hAnsi="Times New Roman"/>
                <w:sz w:val="18"/>
                <w:szCs w:val="18"/>
                <w:u w:val="single" w:color="auto"/>
                <w:color w:val="auto"/>
              </w:rPr>
              <w:t>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r>
              <w:rPr>
                <w:rFonts w:ascii="Times New Roman" w:cs="Times New Roman" w:eastAsia="Times New Roman" w:hAnsi="Times New Roman"/>
                <w:sz w:val="18"/>
                <w:szCs w:val="18"/>
                <w:u w:val="single" w:color="auto"/>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300" w:firstLine="518"/>
        <w:spacing w:after="0" w:line="266" w:lineRule="auto"/>
        <w:rPr>
          <w:sz w:val="20"/>
          <w:szCs w:val="20"/>
          <w:color w:val="auto"/>
        </w:rPr>
      </w:pPr>
      <w:r>
        <w:rPr>
          <w:rFonts w:ascii="Times New Roman" w:cs="Times New Roman" w:eastAsia="Times New Roman" w:hAnsi="Times New Roman"/>
          <w:sz w:val="18"/>
          <w:szCs w:val="18"/>
          <w:color w:val="auto"/>
        </w:rPr>
        <w:t>During March 2019, Lazard Group completed an offering of the 2029 Notes. Lazard Group used a portion of the net proceeds of the 2029 Notes to redeem or otherwise retire the remaining 2020 Notes in transactions that occurred during March 2019 and April 2019. See Note 11 of Notes to Condensed Consolidated Financial Statements.</w:t>
      </w:r>
    </w:p>
    <w:p>
      <w:pPr>
        <w:spacing w:after="0" w:line="176"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March 31, 2019, Lazard Group was in compliance with such ratios, with its Consolidated Leverage Ratio being 1.74 to 1.00 and its Consolidated Interest Coverage Ratio being 17.83 to 1.00. In any event, no amounts were outstanding under the Amended and Restated Credit Agreement as of March 31, 2019.</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March 31, 2019,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11 of Notes to Condensed Consolidated Financial Statements for additional information regarding senior debt.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At March 31, 2019, total stockholders’ equity was $771 million, as compared to $970 million at December 31, 2018, including $701 million and $917 million attributable to Lazard Ltd on the respective dates. The net activity in stockholders’ equity during the three month period ended March 31, 2019 is reflected in the table below (in millions of dollars):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 January 1, 2019</w:t>
            </w:r>
          </w:p>
        </w:tc>
        <w:tc>
          <w:tcPr>
            <w:tcW w:w="740" w:type="dxa"/>
            <w:vAlign w:val="bottom"/>
            <w:gridSpan w:val="2"/>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 of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A common stock dividends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 net</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 - March 31, 2019</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2"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quarter to quarter due to a variety of factors. Purchases with respect to such program are set forth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80"/>
        </w:trPr>
        <w:tc>
          <w:tcPr>
            <w:tcW w:w="7860" w:type="dxa"/>
            <w:vAlign w:val="bottom"/>
            <w:gridSpan w:val="2"/>
            <w:vMerge w:val="continue"/>
          </w:tcPr>
          <w:p>
            <w:pPr>
              <w:spacing w:after="0"/>
              <w:rPr>
                <w:sz w:val="15"/>
                <w:szCs w:val="15"/>
                <w:color w:val="auto"/>
              </w:rPr>
            </w:pPr>
          </w:p>
        </w:tc>
        <w:tc>
          <w:tcPr>
            <w:tcW w:w="1580" w:type="dxa"/>
            <w:vAlign w:val="bottom"/>
          </w:tcPr>
          <w:p>
            <w:pPr>
              <w:jc w:val="right"/>
              <w:ind w:right="159"/>
              <w:spacing w:after="0" w:line="160"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7"/>
        </w:trPr>
        <w:tc>
          <w:tcPr>
            <w:tcW w:w="2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58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2,662,286</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58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5,177,948</w:t>
            </w:r>
          </w:p>
        </w:tc>
        <w:tc>
          <w:tcPr>
            <w:tcW w:w="5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As of March 31, 2019, a total of $403 million of share repurchase authorization remained available under the Company’s share repurchase program, all of which will expire on December 31, 2020.</w:t>
      </w:r>
    </w:p>
    <w:p>
      <w:pPr>
        <w:spacing w:after="0" w:line="162"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 period ended March 31, 2019, the Company had in place trading plans under Rule 10b5-1 of the Securities Exchange Act of 1934, as amended, pursuant to which it effected stock repurchases in the open market.</w:t>
      </w:r>
    </w:p>
    <w:p>
      <w:pPr>
        <w:spacing w:after="0" w:line="162"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On April 24,2019, the Board of Directors of Lazard declared a quarterly dividend of $0.47 per share on our Class A common stock. The dividend is payable on May 17, 2019, to stockholders of record on May 6, 2019.</w:t>
      </w:r>
    </w:p>
    <w:p>
      <w:pPr>
        <w:spacing w:after="0" w:line="162"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See Notes 13 and 14 of Notes to Condensed Consolidated Financial Statements for additional information regarding Lazard’s stockholders’ equity and incentive plans,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19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Lazard’s contractual obligations as of March 31,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Contractual Obligations Payment Due by Period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2,392,263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153,721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(exclusive of $25,565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728,992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3,129,593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222,099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289,836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248,577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right="140" w:hanging="372"/>
        <w:spacing w:after="0" w:line="261"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2019, Lazard Group completed an offering of $500,000 aggregate principal amount of the 2029 Notes. Interest on the 2029 Notes is payable semi-annually on March 11 and September 11 of each year, beginning September 11, 2019. Lazard Group used a portion of the net proceeds of the 2029 Notes during March and April 2019 to redeem or otherwise retire the remaining $250,000 of the 2020 Notes. See Note 11 of Notes to Condensed Consolidated Financial Statements.</w:t>
      </w:r>
    </w:p>
    <w:p>
      <w:pPr>
        <w:spacing w:after="0" w:line="17" w:lineRule="exact"/>
        <w:rPr>
          <w:rFonts w:ascii="Times New Roman" w:cs="Times New Roman" w:eastAsia="Times New Roman" w:hAnsi="Times New Roman"/>
          <w:sz w:val="18"/>
          <w:szCs w:val="18"/>
          <w:color w:val="auto"/>
        </w:rPr>
      </w:pPr>
    </w:p>
    <w:p>
      <w:pPr>
        <w:ind w:left="380" w:hanging="372"/>
        <w:spacing w:after="0" w:line="26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$14,437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14" w:lineRule="exact"/>
        <w:rPr>
          <w:rFonts w:ascii="Times New Roman" w:cs="Times New Roman" w:eastAsia="Times New Roman" w:hAnsi="Times New Roman"/>
          <w:sz w:val="18"/>
          <w:szCs w:val="18"/>
          <w:color w:val="auto"/>
        </w:rPr>
      </w:pPr>
    </w:p>
    <w:p>
      <w:pPr>
        <w:ind w:left="380" w:hanging="372"/>
        <w:spacing w:after="0" w:line="255"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March 31, 2019, a tax receivable agreement obligation of $246,966 was recorded on the condensed consolidated statements of financial condition. See “Critical Accounting Policies and Estimates – Income Taxes” below. See also Notes 12, 14, 15, 16 and 18 of Notes to Condensed Consolidated Financial Statements regarding information in connection with commitments, incentive plans, employee benefit plans, income taxes and tax receivable agreement obligations,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85"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Lazard generates substantially all of its net revenue from providing Financial Advisory and Asset Management services to clients. Lazard recognizes revenue when the following criteria are met:</w:t>
      </w:r>
    </w:p>
    <w:p>
      <w:pPr>
        <w:spacing w:after="0" w:line="54" w:lineRule="exact"/>
        <w:rPr>
          <w:sz w:val="20"/>
          <w:szCs w:val="20"/>
          <w:color w:val="auto"/>
        </w:rPr>
      </w:pPr>
    </w:p>
    <w:p>
      <w:pPr>
        <w:ind w:left="900" w:hanging="379"/>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with a client has been identified;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in the contract have been identified;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or other transaction price has been determined;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or other transaction price has been allocated to each performance obligation in the contract;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satisfied the applicable performance obligation.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8" w:name="page59"/>
    <w:bookmarkEnd w:id="58"/>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0"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Liabilities</w:t>
      </w:r>
    </w:p>
    <w:p>
      <w:pPr>
        <w:spacing w:after="0" w:line="121"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84"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2018, on a consolidated basis, we recorded gross deferred tax assets of approximately $736 million, with such amount partially offset by a valuation allowance of approximately $73 million (as described below).</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9" w:name="page60"/>
    <w:bookmarkEnd w:id="59"/>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should be adjusted also considers all available information, including the following:</w:t>
      </w:r>
    </w:p>
    <w:p>
      <w:pPr>
        <w:spacing w:after="0" w:line="54" w:lineRule="exact"/>
        <w:rPr>
          <w:sz w:val="20"/>
          <w:szCs w:val="20"/>
          <w:color w:val="auto"/>
        </w:rPr>
      </w:pPr>
    </w:p>
    <w:p>
      <w:pPr>
        <w:ind w:left="900" w:hanging="379"/>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magnitude and duration of any past losses and current operating results;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near-term and medium-term financial outlook.</w:t>
      </w:r>
    </w:p>
    <w:p>
      <w:pPr>
        <w:spacing w:after="0" w:line="22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76"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$73 million of deferred tax assets held by these entities as of December 31, 2018.</w:t>
      </w:r>
    </w:p>
    <w:p>
      <w:pPr>
        <w:spacing w:after="0" w:line="184"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8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76"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See Item 1A, “Risk Factors” in our Form 10-K and Note 16 of Notes to Condensed Consolidated Financial Statements for additional information related to income taxes.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Amended and Restated Tax Receivable Agreement</w:t>
      </w:r>
    </w:p>
    <w:p>
      <w:pPr>
        <w:spacing w:after="0" w:line="11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18 of Notes to Condensed Consolidated Financial Statements for additional information regarding the Amended and Restated Tax Receivable Agreement.</w:t>
      </w:r>
    </w:p>
    <w:p>
      <w:pPr>
        <w:spacing w:after="0" w:line="18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and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89"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cumulative liability relating to our obligations under the Amended and Restated Tax Receivable Agreement recorded as of March 31, 2019 and December 31, 2018 was $247 million and $271 million, respectively, and is recorded in “tax receivable agreement obligation” on the condensed consolidated statements of financial condition.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0" w:name="page61"/>
    <w:bookmarkEnd w:id="6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Investments consist primarily of interest-bearing deposits, debt and equity securities, and interests in alternative investment, debt, equity and private equity funds.</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0"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Data relating to investments is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gridSpan w:val="7"/>
          </w:tcPr>
          <w:p>
            <w:pPr>
              <w:jc w:val="right"/>
              <w:ind w:right="1240"/>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3"/>
                <w:szCs w:val="13"/>
                <w:color w:val="auto"/>
              </w:rPr>
            </w:pPr>
          </w:p>
        </w:tc>
      </w:tr>
      <w:tr>
        <w:trPr>
          <w:trHeight w:val="230"/>
        </w:trPr>
        <w:tc>
          <w:tcPr>
            <w:tcW w:w="7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Seed investments by asset class: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Equities (a)</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83,561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73,410</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income</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10,064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9,548</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Alternative investments</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31,323</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7,131</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seed investments</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124,948</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90,089</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investments owned: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 equity (b)</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41,823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41,788</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income and other (c)</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272,880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226,346</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Total other investments owned</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315,219</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268,644</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440,167</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358,733</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 equity consolidated, not owned (d)</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13,728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14,555</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LFI (e)</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161,886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201,860</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615,781</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575,148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7020" w:type="dxa"/>
            <w:vAlign w:val="bottom"/>
            <w:gridSpan w:val="4"/>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At March 31, 2019 and December 31, 2018, seed investments in directly owned equity securities were invested as follows: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3"/>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9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0" w:type="dxa"/>
            <w:vAlign w:val="bottom"/>
          </w:tcPr>
          <w:p>
            <w:pPr>
              <w:spacing w:after="0"/>
              <w:rPr>
                <w:sz w:val="15"/>
                <w:szCs w:val="15"/>
                <w:color w:val="auto"/>
              </w:rPr>
            </w:pPr>
          </w:p>
        </w:tc>
        <w:tc>
          <w:tcPr>
            <w:tcW w:w="1340" w:type="dxa"/>
            <w:vAlign w:val="bottom"/>
            <w:tcBorders>
              <w:bottom w:val="single" w:sz="8" w:color="CFF0FC"/>
            </w:tcBorders>
          </w:tcPr>
          <w:p>
            <w:pPr>
              <w:spacing w:after="0"/>
              <w:rPr>
                <w:sz w:val="15"/>
                <w:szCs w:val="15"/>
                <w:color w:val="auto"/>
              </w:rPr>
            </w:pPr>
          </w:p>
        </w:tc>
        <w:tc>
          <w:tcPr>
            <w:tcW w:w="56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80" w:type="dxa"/>
            <w:vAlign w:val="bottom"/>
            <w:tcBorders>
              <w:bottom w:val="single" w:sz="8" w:color="CFF0FC"/>
            </w:tcBorders>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invested in:</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Financials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Industrial</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5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right="320" w:hanging="372"/>
        <w:spacing w:after="0" w:line="281"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investments include investments related to certain legacy businesses and co-investments in private equity funds managed by our Asset Management business. Co-investments owned were $27 million as of both March 31, 2019 and December 31, 2018, respectively.</w:t>
      </w:r>
    </w:p>
    <w:p>
      <w:pPr>
        <w:spacing w:after="0" w:line="1" w:lineRule="exact"/>
        <w:rPr>
          <w:rFonts w:ascii="Times New Roman" w:cs="Times New Roman" w:eastAsia="Times New Roman" w:hAnsi="Times New Roman"/>
          <w:sz w:val="18"/>
          <w:szCs w:val="18"/>
          <w:color w:val="auto"/>
        </w:rPr>
      </w:pPr>
    </w:p>
    <w:p>
      <w:pPr>
        <w:ind w:left="380" w:right="78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2019 and December 31, 2018, includes investments in U.S. Treasury securities of approximately $249 million and $200 million, respectively, with original maturities of greater than three months and less than one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1" w:name="page62"/>
    <w:bookmarkEnd w:id="61"/>
    <w:p>
      <w:pPr>
        <w:jc w:val="both"/>
        <w:ind w:left="380" w:right="100" w:hanging="372"/>
        <w:spacing w:after="0" w:line="266"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14" w:lineRule="exact"/>
        <w:rPr>
          <w:rFonts w:ascii="Times New Roman" w:cs="Times New Roman" w:eastAsia="Times New Roman" w:hAnsi="Times New Roman"/>
          <w:sz w:val="18"/>
          <w:szCs w:val="18"/>
          <w:color w:val="auto"/>
        </w:rPr>
      </w:pPr>
    </w:p>
    <w:p>
      <w:pPr>
        <w:ind w:left="380" w:hanging="372"/>
        <w:spacing w:after="0" w:line="258"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$4 million in one entity as of March 31, 2019, as compared to $69 million in three entities as of December 31, 2018.</w:t>
      </w:r>
    </w:p>
    <w:p>
      <w:pPr>
        <w:spacing w:after="0" w:line="184"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At March 31, 2019 and December 31, 2018, total investments with a fair value of $615 million and $575 million, respectively, included $81 million and $57 million, respectively, or 13% and 10%,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and December 31, 2018, the Company held seed investments of approximately $125 million and $90 million, respectively. Seed investments held in entities in which the Company maintained a controlling interest were $56 million in nine entities as of March 31, 2019, as compared to $31 million in eight entities as of December 31, 2018.</w:t>
      </w:r>
    </w:p>
    <w:p>
      <w:pPr>
        <w:spacing w:after="0" w:line="176"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As of March 31, 2019 and December 31, 2018, the Company did not consolidate or deconsolidate any seed investment entities or LFI investment entities. As such, 100% of the recorded balance of seed investments and LFI investments as of March 31, 2019 and December 31, 2018 represented the Company’s economic interest in the seed investments. See “—Consolidation of Variable Interest Entities” below for more information on the Company’s policy regarding the consolidation of seed and LFI investment entities.</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62"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76"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10 of Notes to Condensed Consolidated Financial Statements for additional information regarding goodwill.</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jc w:val="both"/>
        <w:ind w:right="420" w:firstLine="51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68" w:lineRule="exact"/>
        <w:rPr>
          <w:sz w:val="20"/>
          <w:szCs w:val="20"/>
          <w:color w:val="auto"/>
        </w:rPr>
      </w:pPr>
    </w:p>
    <w:p>
      <w:pPr>
        <w:ind w:left="900" w:right="80" w:hanging="379"/>
        <w:spacing w:after="0" w:line="266"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62" w:name="page63"/>
    <w:bookmarkEnd w:id="62"/>
    <w:p>
      <w:pPr>
        <w:ind w:left="900" w:right="100" w:hanging="379"/>
        <w:spacing w:after="0" w:line="261"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Lazard makes seed and LFI investments in certain entities that are considered VOEs and often require consolidation as a result of our investment. The impact of seed and LFI investment entities that require consolidation on the condensed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 See “Critical Accounting Policies and Estimates—Investments” above for more information regarding our investments.</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84" w:lineRule="exact"/>
        <w:rPr>
          <w:sz w:val="20"/>
          <w:szCs w:val="20"/>
          <w:color w:val="auto"/>
        </w:rPr>
      </w:pPr>
    </w:p>
    <w:p>
      <w:pPr>
        <w:jc w:val="center"/>
        <w:ind w:right="1000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17" w:lineRule="exact"/>
        <w:rPr>
          <w:sz w:val="20"/>
          <w:szCs w:val="20"/>
          <w:color w:val="auto"/>
        </w:rPr>
      </w:pPr>
    </w:p>
    <w:p>
      <w:pPr>
        <w:jc w:val="center"/>
        <w:ind w:right="100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8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0"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Equity Market Price Risk—At March 31, 2019 and December 31, 2018, the Company’s exposure to equity market price risk in its investment portfolio, which primarily relates to investments in equity securities, equity funds and hedge funds, was approximately $111 million and $84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$1.3 million and</w:t>
      </w:r>
    </w:p>
    <w:p>
      <w:pPr>
        <w:spacing w:after="0" w:line="3"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$0.8 million in the carrying value of such investments as of March 31, 2019 and December 31, 2018, respectively, including the effect of the hedging transactions.</w:t>
      </w:r>
    </w:p>
    <w:p>
      <w:pPr>
        <w:spacing w:after="0" w:line="180" w:lineRule="exact"/>
        <w:rPr>
          <w:sz w:val="20"/>
          <w:szCs w:val="20"/>
          <w:color w:val="auto"/>
        </w:rPr>
      </w:pPr>
    </w:p>
    <w:p>
      <w:pPr>
        <w:ind w:right="320" w:firstLine="518"/>
        <w:spacing w:after="0" w:line="256" w:lineRule="auto"/>
        <w:rPr>
          <w:sz w:val="20"/>
          <w:szCs w:val="20"/>
          <w:color w:val="auto"/>
        </w:rPr>
      </w:pPr>
      <w:r>
        <w:rPr>
          <w:rFonts w:ascii="Times New Roman" w:cs="Times New Roman" w:eastAsia="Times New Roman" w:hAnsi="Times New Roman"/>
          <w:sz w:val="18"/>
          <w:szCs w:val="18"/>
          <w:color w:val="auto"/>
        </w:rPr>
        <w:t>Interest Rate/Credit Spread Risk—At March 31, 2019 and December 31, 2018, the Company’s exposure to interest rate and credit spread risk in its investment portfolio related to investments in debt securities or funds which invest primarily in debt securities was $292 million and $245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$1.3 million and $0.9 million in the carrying value of such investments as of March 31, 2019 and December 31, 2018, respectively, including the effect of the hedging transactions.</w:t>
      </w:r>
    </w:p>
    <w:p>
      <w:pPr>
        <w:spacing w:after="0" w:line="188"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Foreign Exchange Rate Risk—At March 31, 2019 and December 31, 2018, the Company’s exposure to foreign exchange rate risk in its investment portfolio, which primarily relates to investments in foreign currency denominated equity and debt securities, was $49 million and $41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$0.7 million and $0.1 million in the carrying value of such investments as of March 31, 2019 and December 31, 2018, respectively, including the effect of the hedging transactions.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3" w:name="page64"/>
    <w:bookmarkEnd w:id="63"/>
    <w:p>
      <w:pPr>
        <w:ind w:firstLine="518"/>
        <w:spacing w:after="0" w:line="261" w:lineRule="auto"/>
        <w:rPr>
          <w:sz w:val="20"/>
          <w:szCs w:val="20"/>
          <w:color w:val="auto"/>
        </w:rPr>
      </w:pPr>
      <w:r>
        <w:rPr>
          <w:rFonts w:ascii="Times New Roman" w:cs="Times New Roman" w:eastAsia="Times New Roman" w:hAnsi="Times New Roman"/>
          <w:sz w:val="18"/>
          <w:szCs w:val="18"/>
          <w:color w:val="auto"/>
        </w:rPr>
        <w:t>Private Equity—The Company invests in private equity primarily as a part of its co-investment activities and in connection with certain legacy businesses. At both March 31, 2019 and December 31, 2018, the Company’s exposure to changes in fair value of such investments was approximately $42 million. The Company estimates that a hypothetical 10% adverse change in fair value would result in a decrease of approximately $4.2 million in the carrying value of such investments as of both March 31, 2019 and December 31, 2018.</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Receivables</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March 31, 2019, total receivables amounted to $695 million, net of an allowance for doubtful accounts of $43 million. As of that date, Financial Advisory and Asset Management fees, and customers and other receivables comprised 72% and 28% of total receivables, respectively. At December 31, 2018, total receivables amounted to $686 million, net of an allowance for doubtful accounts of $40 million. As of that date, Financial Advisory and Asset Management fees, and customers and other receivables comprised 73% and 27% of total receivables, respectively. At March 31, 2019 and December 31, 2018, the Company had receivables past due or deemed uncollectible of approximately $52 million and $42 million, respectively. See also “Critical Accounting Policies and Estimates—Revenue Recognition” above and Note 4 of Notes to Condensed Consolidated Financial Statements for additional information regarding receivables.</w:t>
      </w:r>
    </w:p>
    <w:p>
      <w:pPr>
        <w:spacing w:after="0" w:line="18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LFB engages in lending activities, including commitments to extend credit (primarily for clients of LFG). At March 31, 2019 and December 31, 2018, customer receivables included $69 million and $64 million, respectively, of LFB loans, with such loans being fully collateralized and closely monitored for counterparty creditworthiness.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Credit Concentrations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reduce the exposure to concentrations of credit, the Company monitors large exposures to individual counterparties.</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Derivatives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$3 million and $12 million at March 31, 2019 and December 31, 2018, respectively, and derivative liabilities, excluding the derivative liability arising from the Company’s obligation pertaining to LFI and other similar deferred compensation arrangements, amounted to $4 million and $1 million at such respective dates.</w:t>
      </w:r>
    </w:p>
    <w:p>
      <w:pPr>
        <w:spacing w:after="0" w:line="184"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$242 million and $188 million at March 31, 2019 and December 31, 2018,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40" w:firstLine="518"/>
        <w:spacing w:after="0" w:line="289" w:lineRule="auto"/>
        <w:rPr>
          <w:sz w:val="20"/>
          <w:szCs w:val="20"/>
          <w:color w:val="auto"/>
        </w:rPr>
      </w:pPr>
      <w:r>
        <w:rPr>
          <w:rFonts w:ascii="Times New Roman" w:cs="Times New Roman" w:eastAsia="Times New Roman" w:hAnsi="Times New Roman"/>
          <w:sz w:val="17"/>
          <w:szCs w:val="17"/>
          <w:color w:val="auto"/>
        </w:rPr>
        <w:t>A significant portion of the Company’s indebtedness has fixed interest rates, while its cash and cash equivalents generally have market interest rates. Based on account balances as of March 31, 2019, Lazard estimates that its annual operating income relating to cash and cash equivalents would increase by approximately $10 million in the event interest rates were to increase by 1% and decrease by approximately $10 million if rates were to decrease by 1%.</w:t>
      </w:r>
    </w:p>
    <w:p>
      <w:pPr>
        <w:spacing w:after="0" w:line="158"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color w:val="auto"/>
        </w:rPr>
        <w:t>As of March 31, 2019, the Company’s cash and cash equivalents totaled approximately $1,011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w:t>
      </w:r>
    </w:p>
    <w:p>
      <w:pPr>
        <w:spacing w:after="0" w:line="2" w:lineRule="exact"/>
        <w:rPr>
          <w:sz w:val="20"/>
          <w:szCs w:val="20"/>
          <w:color w:val="auto"/>
        </w:rPr>
      </w:pPr>
    </w:p>
    <w:p>
      <w:pPr>
        <w:ind w:right="80" w:firstLine="8"/>
        <w:spacing w:after="0" w:line="255" w:lineRule="auto"/>
        <w:tabs>
          <w:tab w:leader="none" w:pos="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short-term certificates of deposit from such banks and (iv) in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2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included under the caption “Management’s Discussion and Analysis of Financial Condition and Results of Operations—Risk Management”.</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62"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As of January 1, 2019, we implemented a new enterprise resource planning (“ERP’) system, by transitioning certain of our operations, including the general ledger, to the new ERP system. We have modified our existing controls infrastructure, as well as added other processes and internal controls, to adapt to our new ERP system and to take advantage of the increased functionality of the new system.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9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720" w:firstLine="518"/>
        <w:spacing w:after="0" w:line="282" w:lineRule="auto"/>
        <w:rPr>
          <w:sz w:val="20"/>
          <w:szCs w:val="20"/>
          <w:color w:val="auto"/>
        </w:rPr>
      </w:pPr>
      <w:r>
        <w:rPr>
          <w:rFonts w:ascii="Times New Roman" w:cs="Times New Roman" w:eastAsia="Times New Roman" w:hAnsi="Times New Roman"/>
          <w:sz w:val="18"/>
          <w:szCs w:val="18"/>
          <w:color w:val="auto"/>
        </w:rPr>
        <w:t>There were no material changes from the risk factors previously disclosed in the Company’s Annual Report on Form 10-K for the year ended December 31, 2018.</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2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Lazard’s purchases of its Class A common stock on a monthly basis during the first quarter of 2019. Share repurchases are recorded on a trade date basis.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January 1 – January 31, 2019</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2,235,000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210.8</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1 – February 28, 2019</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259,836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259,836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501.2</w:t>
            </w: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949,757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1 – March 31, 2019</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2,683,112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2,683,112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403.4</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1,452,746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5,177,948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5,177,948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403.4</w:t>
            </w: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2,443,356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2090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05" w:lineRule="exact"/>
        <w:rPr>
          <w:sz w:val="20"/>
          <w:szCs w:val="20"/>
          <w:color w:val="auto"/>
        </w:rPr>
      </w:pPr>
    </w:p>
    <w:p>
      <w:pPr>
        <w:ind w:left="380" w:right="60" w:hanging="372"/>
        <w:spacing w:after="0" w:line="282"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2019 and since 2017, the Board of Directors of Lazard authorized the repurchase of Class A common stock as set forth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320" w:type="dxa"/>
            <w:vAlign w:val="bottom"/>
            <w:gridSpan w:val="2"/>
          </w:tcPr>
          <w:p>
            <w:pPr>
              <w:jc w:val="center"/>
              <w:ind w:right="352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6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320" w:type="dxa"/>
            <w:vAlign w:val="bottom"/>
            <w:gridSpan w:val="2"/>
          </w:tcPr>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Authorization</w:t>
            </w:r>
          </w:p>
        </w:tc>
        <w:tc>
          <w:tcPr>
            <w:tcW w:w="14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14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9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April 2018</w:t>
            </w:r>
          </w:p>
        </w:tc>
        <w:tc>
          <w:tcPr>
            <w:tcW w:w="2000" w:type="dxa"/>
            <w:vAlign w:val="bottom"/>
            <w:gridSpan w:val="2"/>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94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2018</w:t>
            </w:r>
          </w:p>
        </w:tc>
        <w:tc>
          <w:tcPr>
            <w:tcW w:w="2000" w:type="dxa"/>
            <w:vAlign w:val="bottom"/>
            <w:gridSpan w:val="2"/>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94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2020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2000" w:type="dxa"/>
            <w:vAlign w:val="bottom"/>
            <w:gridSpan w:val="2"/>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9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8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64</w:t>
            </w:r>
          </w:p>
        </w:tc>
        <w:tc>
          <w:tcPr>
            <w:tcW w:w="2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6" w:name="page67"/>
    <w:bookmarkEnd w:id="66"/>
    <w:p>
      <w:pPr>
        <w:ind w:left="380"/>
        <w:spacing w:after="0" w:line="258" w:lineRule="auto"/>
        <w:rPr>
          <w:sz w:val="20"/>
          <w:szCs w:val="20"/>
          <w:color w:val="auto"/>
        </w:rPr>
      </w:pPr>
      <w:r>
        <w:rPr>
          <w:rFonts w:ascii="Times New Roman" w:cs="Times New Roman" w:eastAsia="Times New Roman" w:hAnsi="Times New Roman"/>
          <w:sz w:val="18"/>
          <w:szCs w:val="18"/>
          <w:color w:val="auto"/>
        </w:rPr>
        <w:t>A significant portion of the Company’s purchases under the share repurchase program are used to offset a portion of the shares that have been or will be issued under the 2008 Plan and the 2018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22" w:lineRule="exact"/>
        <w:rPr>
          <w:sz w:val="20"/>
          <w:szCs w:val="20"/>
          <w:color w:val="auto"/>
        </w:rPr>
      </w:pPr>
    </w:p>
    <w:p>
      <w:pPr>
        <w:ind w:left="380" w:right="60" w:hanging="372"/>
        <w:spacing w:after="0" w:line="258"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2008 Plan and the 2018 Plan, upon the vesting of RSUs, PRSUs, DSUs and delivery of restricted Class A common stock, shares of Class A common stock may be withheld by the Company to meet the minimum statutory tax withholding requirements. During the three month period ended March 31, 2019, the Company satisfied such obligations in lieu of issuing (i) 2,121,848 shares of Class A common stock upon the vesting or settlement of 6,473,925 RSUs and PRSUs and (ii) 321,508 shares of Class A common stock upon the vesting of 876,062 shares of restricted Class A common stock.</w:t>
      </w:r>
    </w:p>
    <w:p>
      <w:pPr>
        <w:spacing w:after="0" w:line="2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20" w:type="dxa"/>
            <w:vAlign w:val="bottom"/>
            <w:gridSpan w:val="29"/>
          </w:tcPr>
          <w:p>
            <w:pPr>
              <w:ind w:left="36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1038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w:t>
            </w:r>
          </w:p>
        </w:tc>
        <w:tc>
          <w:tcPr>
            <w:tcW w:w="10380" w:type="dxa"/>
            <w:vAlign w:val="bottom"/>
            <w:gridSpan w:val="37"/>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Certificate of Incorporation and Memorandum of Association of the Registrant (incorporated by reference to Exhibit 3.1 to the Registrant’s</w:t>
              </w:r>
            </w:hyperlink>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Registration Statement (File No. 333-121407) on Form S-1/A filed on March 21, 2005).</w:t>
              </w:r>
            </w:hyperlink>
          </w:p>
        </w:tc>
        <w:tc>
          <w:tcPr>
            <w:tcW w:w="3660" w:type="dxa"/>
            <w:vAlign w:val="bottom"/>
            <w:tcBorders>
              <w:top w:val="single" w:sz="8" w:color="0000EE"/>
            </w:tcBorders>
            <w:gridSpan w:val="9"/>
          </w:tcPr>
          <w:p>
            <w:pPr>
              <w:spacing w:after="0"/>
              <w:rPr>
                <w:sz w:val="17"/>
                <w:szCs w:val="17"/>
                <w:color w:val="auto"/>
              </w:rPr>
            </w:pPr>
          </w:p>
        </w:tc>
        <w:tc>
          <w:tcPr>
            <w:tcW w:w="360" w:type="dxa"/>
            <w:vAlign w:val="bottom"/>
            <w:gridSpan w:val="14"/>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w:t>
            </w:r>
          </w:p>
        </w:tc>
        <w:tc>
          <w:tcPr>
            <w:tcW w:w="10380" w:type="dxa"/>
            <w:vAlign w:val="bottom"/>
            <w:gridSpan w:val="37"/>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Certificate of Incorporation on Change of Name of the Registrant (incorporated by reference to Exhibit 3.2 to the Registrant’s Registration</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Statement (File No. 333-121407) on Form S-1/A filed on March 21, 2005).</w:t>
              </w:r>
            </w:hyperlink>
          </w:p>
        </w:tc>
        <w:tc>
          <w:tcPr>
            <w:tcW w:w="400" w:type="dxa"/>
            <w:vAlign w:val="bottom"/>
            <w:gridSpan w:val="1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3.3</w:t>
            </w:r>
          </w:p>
        </w:tc>
        <w:tc>
          <w:tcPr>
            <w:tcW w:w="101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Amended and Restated Bye-Laws of Lazard Ltd (incorporated by reference to Exhibit 3.3 to the Registrant’s Quarterly Report (File No. 001-</w:t>
              </w:r>
            </w:hyperlink>
          </w:p>
        </w:tc>
        <w:tc>
          <w:tcPr>
            <w:tcW w:w="20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32492) on Form 10-Q filed on June 16,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w:t>
            </w:r>
          </w:p>
        </w:tc>
        <w:tc>
          <w:tcPr>
            <w:tcW w:w="10380" w:type="dxa"/>
            <w:vAlign w:val="bottom"/>
            <w:gridSpan w:val="37"/>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First Amendment to Amended and Restated Bye-Laws of Lazard Ltd (incorporated by reference to Exhibit 3.4 to the Registrant’s Quarterly</w:t>
              </w:r>
            </w:hyperlink>
          </w:p>
        </w:tc>
      </w:tr>
      <w:tr>
        <w:trPr>
          <w:trHeight w:val="196"/>
        </w:trPr>
        <w:tc>
          <w:tcPr>
            <w:tcW w:w="104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Report (File No. 001-32492) on Form 10-Q filed on May 9, 2008).</w:t>
              </w:r>
            </w:hyperlink>
          </w:p>
        </w:tc>
        <w:tc>
          <w:tcPr>
            <w:tcW w:w="5240" w:type="dxa"/>
            <w:vAlign w:val="bottom"/>
            <w:tcBorders>
              <w:top w:val="single" w:sz="8" w:color="0000EE"/>
            </w:tcBorders>
            <w:gridSpan w:val="14"/>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3.5</w:t>
            </w:r>
          </w:p>
        </w:tc>
        <w:tc>
          <w:tcPr>
            <w:tcW w:w="98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Second Amendment to the Amended and Restated Bye-Laws of Lazard Ltd (incorporated by reference to Exhibit 3.5 to the Registrant’s</w:t>
              </w:r>
            </w:hyperlink>
          </w:p>
        </w:tc>
        <w:tc>
          <w:tcPr>
            <w:tcW w:w="580" w:type="dxa"/>
            <w:vAlign w:val="bottom"/>
            <w:gridSpan w:val="1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Quarterly Report (File No. 001-32492) on Form 10-Q filed on April 30, 2010).</w:t>
              </w:r>
            </w:hyperlink>
          </w:p>
        </w:tc>
        <w:tc>
          <w:tcPr>
            <w:tcW w:w="4680" w:type="dxa"/>
            <w:vAlign w:val="bottom"/>
            <w:gridSpan w:val="24"/>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4.1</w:t>
            </w:r>
          </w:p>
        </w:tc>
        <w:tc>
          <w:tcPr>
            <w:tcW w:w="101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of Specimen Certificate for Class A common stock (incorporated by reference to Exhibit 4.1 to the Registrant’s Registration Statement</w:t>
              </w:r>
            </w:hyperlink>
          </w:p>
        </w:tc>
        <w:tc>
          <w:tcPr>
            <w:tcW w:w="22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(File No. 333-121407) on Form S-1/A filed on April 11,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4.2</w:t>
            </w:r>
          </w:p>
        </w:tc>
        <w:tc>
          <w:tcPr>
            <w:tcW w:w="1026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Indenture, dated as of May 10, 2005, by and between Lazard Group LLC and The Bank of New York, as Trustee (incorporated by reference to</w:t>
              </w:r>
            </w:hyperlink>
          </w:p>
        </w:tc>
        <w:tc>
          <w:tcPr>
            <w:tcW w:w="12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Exhibit 4.1 to Lazard Group LLC’s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4.3</w:t>
            </w:r>
          </w:p>
        </w:tc>
        <w:tc>
          <w:tcPr>
            <w:tcW w:w="10380" w:type="dxa"/>
            <w:vAlign w:val="bottom"/>
            <w:gridSpan w:val="37"/>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Sixth Supplemental Indenture, dated as of February 13, 2015,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by reference to Exhibit 4.1 of the Registrant’s Current Report on Form 8-K (File No. 001-32492) filed on February 13, 2015).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4.4</w:t>
            </w:r>
          </w:p>
        </w:tc>
        <w:tc>
          <w:tcPr>
            <w:tcW w:w="101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Seventh Supplemental Indenture, dated as of November 4, 2016, between Lazard Group LLC and The Bank of New York Mellon, as trustee</w:t>
              </w:r>
            </w:hyperlink>
          </w:p>
        </w:tc>
        <w:tc>
          <w:tcPr>
            <w:tcW w:w="24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(incorporated by reference to Exhibit 4.1 of the Registrant’s Current Report on Form 8-K (File No. 001-32492) filed on November 7, 2016).</w:t>
              </w:r>
            </w:hyperlink>
          </w:p>
        </w:tc>
        <w:tc>
          <w:tcPr>
            <w:tcW w:w="260" w:type="dxa"/>
            <w:vAlign w:val="bottom"/>
            <w:gridSpan w:val="9"/>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4.5</w:t>
            </w:r>
          </w:p>
        </w:tc>
        <w:tc>
          <w:tcPr>
            <w:tcW w:w="10380" w:type="dxa"/>
            <w:vAlign w:val="bottom"/>
            <w:gridSpan w:val="37"/>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Eighth Supplemental Indenture, dated as of September 19, 2018,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(incorporated by reference to Exhibit 4.1 to the Registrant’s Current Report on Form 8-K (File No. 001-32492) filed on September 19, 2018</w:t>
              </w:r>
            </w:hyperlink>
            <w:r>
              <w:rPr>
                <w:rFonts w:ascii="Times New Roman" w:cs="Times New Roman" w:eastAsia="Times New Roman" w:hAnsi="Times New Roman"/>
                <w:sz w:val="18"/>
                <w:szCs w:val="18"/>
                <w:color w:val="000000"/>
              </w:rPr>
              <w:t>.</w:t>
            </w: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4.6</w:t>
            </w:r>
          </w:p>
        </w:tc>
        <w:tc>
          <w:tcPr>
            <w:tcW w:w="10080" w:type="dxa"/>
            <w:vAlign w:val="bottom"/>
            <w:tcBorders>
              <w:top w:val="single" w:sz="8" w:color="0000EE"/>
            </w:tcBorders>
            <w:gridSpan w:val="26"/>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Ninth Supplemental Indenture, dated as of March 11, 2019, between Lazard Group LLC and The Bank of New York Mellon, as trustee</w:t>
              </w:r>
            </w:hyperlink>
          </w:p>
        </w:tc>
        <w:tc>
          <w:tcPr>
            <w:tcW w:w="300" w:type="dxa"/>
            <w:vAlign w:val="bottom"/>
            <w:gridSpan w:val="11"/>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8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(incorporated by reference to Exhibit 4.1 to the Registrant’s Current Report on Form 8-K (File No. 001-32492) filed on March 11, 2019)</w:t>
              </w:r>
            </w:hyperlink>
          </w:p>
        </w:tc>
        <w:tc>
          <w:tcPr>
            <w:tcW w:w="500" w:type="dxa"/>
            <w:vAlign w:val="bottom"/>
            <w:gridSpan w:val="16"/>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4.7</w:t>
            </w:r>
          </w:p>
        </w:tc>
        <w:tc>
          <w:tcPr>
            <w:tcW w:w="10380" w:type="dxa"/>
            <w:vAlign w:val="bottom"/>
            <w:gridSpan w:val="3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Senior Note (included in Exhibits </w:t>
            </w:r>
            <w:hyperlink r:id="rId108">
              <w:r>
                <w:rPr>
                  <w:rFonts w:ascii="Times New Roman" w:cs="Times New Roman" w:eastAsia="Times New Roman" w:hAnsi="Times New Roman"/>
                  <w:sz w:val="18"/>
                  <w:szCs w:val="18"/>
                  <w:color w:val="0000EE"/>
                </w:rPr>
                <w:t>4.3</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color w:val="0000EE"/>
                </w:rPr>
                <w:t>4.4</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color w:val="0000EE"/>
                </w:rPr>
                <w:t>4.5</w:t>
              </w:r>
            </w:hyperlink>
            <w:r>
              <w:rPr>
                <w:rFonts w:ascii="Times New Roman" w:cs="Times New Roman" w:eastAsia="Times New Roman" w:hAnsi="Times New Roman"/>
                <w:sz w:val="18"/>
                <w:szCs w:val="18"/>
                <w:color w:val="auto"/>
              </w:rPr>
              <w:t xml:space="preserve">, and </w:t>
            </w:r>
            <w:hyperlink r:id="rId111">
              <w:r>
                <w:rPr>
                  <w:rFonts w:ascii="Times New Roman" w:cs="Times New Roman" w:eastAsia="Times New Roman" w:hAnsi="Times New Roman"/>
                  <w:sz w:val="18"/>
                  <w:szCs w:val="18"/>
                  <w:color w:val="0000EE"/>
                </w:rPr>
                <w:t>4.6</w:t>
              </w:r>
            </w:hyperlink>
            <w:r>
              <w:rPr>
                <w:rFonts w:ascii="Times New Roman" w:cs="Times New Roman" w:eastAsia="Times New Roman" w:hAnsi="Times New Roman"/>
                <w:sz w:val="18"/>
                <w:szCs w:val="18"/>
                <w:color w:val="auto"/>
              </w:rPr>
              <w:t>).</w:t>
            </w:r>
          </w:p>
        </w:tc>
      </w:tr>
      <w:tr>
        <w:trPr>
          <w:trHeight w:val="20"/>
        </w:trPr>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Borders>
              <w:left w:val="single" w:sz="8" w:color="0000EE"/>
            </w:tcBorders>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10.1</w:t>
            </w:r>
          </w:p>
        </w:tc>
        <w:tc>
          <w:tcPr>
            <w:tcW w:w="1034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Operating Agreement of Lazard Group LLC, dated as of February 4, 2019 (incorporated by reference to Exhibit 99.1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Registrant’s Current Report (File No. 001-32492) on Form 8-K filed on February 5, 2019).</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6"/>
            <w:shd w:val="clear" w:color="auto" w:fill="0000EE"/>
          </w:tcPr>
          <w:p>
            <w:pPr>
              <w:spacing w:after="0" w:line="20" w:lineRule="exact"/>
              <w:rPr>
                <w:sz w:val="1"/>
                <w:szCs w:val="1"/>
                <w:color w:val="auto"/>
              </w:rPr>
            </w:pPr>
          </w:p>
        </w:tc>
        <w:tc>
          <w:tcPr>
            <w:tcW w:w="1980" w:type="dxa"/>
            <w:vAlign w:val="bottom"/>
            <w:tcBorders>
              <w:left w:val="single" w:sz="8" w:color="0000EE"/>
            </w:tcBorders>
            <w:gridSpan w:val="5"/>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w:t>
            </w:r>
          </w:p>
        </w:tc>
        <w:tc>
          <w:tcPr>
            <w:tcW w:w="10360" w:type="dxa"/>
            <w:vAlign w:val="bottom"/>
            <w:tcBorders>
              <w:bottom w:val="single" w:sz="8" w:color="0000EE"/>
            </w:tcBorders>
            <w:gridSpan w:val="36"/>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Second Amended and Restated Tax Receivable Agreement, dated as of October 26, 2015, by and among Ltd Sub A, Ltd Sub B and LTBP Trust</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4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(incorporated by reference to Exhibit 10.2 to the Registrant’s Quarterly Report (File No. 001-32492) on Form 10-Q filed on October 28, 2015).</w:t>
              </w:r>
            </w:hyperlink>
          </w:p>
        </w:tc>
        <w:tc>
          <w:tcPr>
            <w:tcW w:w="40" w:type="dxa"/>
            <w:vAlign w:val="bottom"/>
            <w:gridSpan w:val="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w:t>
            </w:r>
          </w:p>
        </w:tc>
        <w:tc>
          <w:tcPr>
            <w:tcW w:w="1034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Lease, dated as of January 27, 1994, by and between Rockefeller Center Properties and Lazard Frères &amp; Co. LLC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Exhibit 10.19 to the Registrant’s Registration Statement (File No. 333-121407) on Form S-1/A filed on February 11,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6"/>
            <w:shd w:val="clear" w:color="auto" w:fill="0000EE"/>
          </w:tcPr>
          <w:p>
            <w:pPr>
              <w:spacing w:after="0" w:line="20" w:lineRule="exact"/>
              <w:rPr>
                <w:sz w:val="1"/>
                <w:szCs w:val="1"/>
                <w:color w:val="auto"/>
              </w:rPr>
            </w:pPr>
          </w:p>
        </w:tc>
        <w:tc>
          <w:tcPr>
            <w:tcW w:w="3500" w:type="dxa"/>
            <w:vAlign w:val="bottom"/>
            <w:tcBorders>
              <w:left w:val="single" w:sz="8" w:color="0000EE"/>
            </w:tcBorders>
            <w:gridSpan w:val="6"/>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0380" w:type="dxa"/>
            <w:vAlign w:val="bottom"/>
            <w:tcBorders>
              <w:bottom w:val="single" w:sz="8" w:color="0000EE"/>
            </w:tcBorders>
            <w:gridSpan w:val="37"/>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Fourth Amendment dated as of February 16, 2011, by and among RCPI Landmark Properties, L.L.C. (as the successor in interest to Rockefeller</w:t>
              </w:r>
            </w:hyperlink>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Center Properties), RCPI 30 Rock 22234849, L.L.C. and Lazard Group LLC (as the successor in interest to Lazard Frères &amp; Co. LLC), to the</w:t>
              </w:r>
            </w:hyperlink>
          </w:p>
        </w:tc>
        <w:tc>
          <w:tcPr>
            <w:tcW w:w="18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Lease dated as of January 27, 1994, by and among Rockefeller Center Properties and Lazard Frères &amp; Co. LLC (incorporated by reference to</w:t>
              </w:r>
            </w:hyperlink>
          </w:p>
        </w:tc>
        <w:tc>
          <w:tcPr>
            <w:tcW w:w="20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Exhibit 10.16 to the Registrant’s Quarterly Report (File No. 001-32492) on Form 10-Q filed on April 29, 2011).</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tcBorders>
              <w:right w:val="single" w:sz="8" w:color="0000EE"/>
            </w:tcBorders>
            <w:gridSpan w:val="6"/>
            <w:shd w:val="clear" w:color="auto" w:fill="0000EE"/>
          </w:tcPr>
          <w:p>
            <w:pPr>
              <w:spacing w:after="0" w:line="20" w:lineRule="exact"/>
              <w:rPr>
                <w:sz w:val="1"/>
                <w:szCs w:val="1"/>
                <w:color w:val="auto"/>
              </w:rPr>
            </w:pPr>
          </w:p>
        </w:tc>
        <w:tc>
          <w:tcPr>
            <w:tcW w:w="3500" w:type="dxa"/>
            <w:vAlign w:val="bottom"/>
            <w:tcBorders>
              <w:left w:val="single" w:sz="8" w:color="0000EE"/>
            </w:tcBorders>
            <w:gridSpan w:val="6"/>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Lazard Ltd 2005 Equity Incentive Plan (incorporated by reference to Exhibit 10.21 to the Registrant’s Registration Statement (File No. 333-</w:t>
              </w:r>
            </w:hyperlink>
          </w:p>
        </w:tc>
        <w:tc>
          <w:tcPr>
            <w:tcW w:w="28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7"/>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121407) on Form S-1/A filed on May 2,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10.6*</w:t>
            </w:r>
          </w:p>
        </w:tc>
        <w:tc>
          <w:tcPr>
            <w:tcW w:w="98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Lazard Ltd 2008 Incentive Compensation Plan (incorporated by reference to Annex B to the Registrant’s Definitive Proxy Statement on</w:t>
              </w:r>
            </w:hyperlink>
          </w:p>
        </w:tc>
        <w:tc>
          <w:tcPr>
            <w:tcW w:w="580" w:type="dxa"/>
            <w:vAlign w:val="bottom"/>
            <w:gridSpan w:val="1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5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Schedule 14A (File No. 001-32492) filed on March 24, 2008).</w:t>
              </w:r>
            </w:hyperlink>
          </w:p>
        </w:tc>
        <w:tc>
          <w:tcPr>
            <w:tcW w:w="5820" w:type="dxa"/>
            <w:vAlign w:val="bottom"/>
            <w:gridSpan w:val="27"/>
          </w:tcPr>
          <w:p>
            <w:pPr>
              <w:spacing w:after="0"/>
              <w:rPr>
                <w:sz w:val="17"/>
                <w:szCs w:val="17"/>
                <w:color w:val="auto"/>
              </w:rPr>
            </w:pPr>
          </w:p>
        </w:tc>
      </w:tr>
      <w:tr>
        <w:trPr>
          <w:trHeight w:val="277"/>
        </w:trPr>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10.7*</w:t>
            </w:r>
          </w:p>
        </w:tc>
        <w:tc>
          <w:tcPr>
            <w:tcW w:w="1032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Lazard Ltd 2016 French Sub-plan (incorporated by reference to Annex B to the Registrant’s Definitive Proxy Statement on Schedule 14A (File</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No. 001-32492) filed on March 10, 2016).</w:t>
              </w:r>
            </w:hyperlink>
          </w:p>
        </w:tc>
        <w:tc>
          <w:tcPr>
            <w:tcW w:w="7320" w:type="dxa"/>
            <w:vAlign w:val="bottom"/>
            <w:gridSpan w:val="36"/>
          </w:tcPr>
          <w:p>
            <w:pPr>
              <w:spacing w:after="0"/>
              <w:rPr>
                <w:sz w:val="17"/>
                <w:szCs w:val="17"/>
                <w:color w:val="auto"/>
              </w:rPr>
            </w:pPr>
          </w:p>
        </w:tc>
      </w:tr>
      <w:tr>
        <w:trPr>
          <w:trHeight w:val="534"/>
        </w:trPr>
        <w:tc>
          <w:tcPr>
            <w:tcW w:w="1040" w:type="dxa"/>
            <w:vAlign w:val="bottom"/>
          </w:tcPr>
          <w:p>
            <w:pPr>
              <w:spacing w:after="0"/>
              <w:rPr>
                <w:sz w:val="24"/>
                <w:szCs w:val="24"/>
                <w:color w:val="auto"/>
              </w:rPr>
            </w:pPr>
          </w:p>
        </w:tc>
        <w:tc>
          <w:tcPr>
            <w:tcW w:w="4820" w:type="dxa"/>
            <w:vAlign w:val="bottom"/>
            <w:gridSpan w:val="11"/>
          </w:tcPr>
          <w:p>
            <w:pPr>
              <w:ind w:left="4580"/>
              <w:spacing w:after="0"/>
              <w:rPr>
                <w:sz w:val="20"/>
                <w:szCs w:val="20"/>
                <w:color w:val="auto"/>
              </w:rPr>
            </w:pPr>
            <w:r>
              <w:rPr>
                <w:rFonts w:ascii="Times New Roman" w:cs="Times New Roman" w:eastAsia="Times New Roman" w:hAnsi="Times New Roman"/>
                <w:sz w:val="18"/>
                <w:szCs w:val="18"/>
                <w:color w:val="auto"/>
              </w:rPr>
              <w:t>66</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8" w:name="page69"/>
    <w:bookmarkEnd w:id="68"/>
    <w:p>
      <w:pPr>
        <w:ind w:left="940" w:right="580" w:hanging="94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21">
        <w:r>
          <w:rPr>
            <w:rFonts w:ascii="Times New Roman" w:cs="Times New Roman" w:eastAsia="Times New Roman" w:hAnsi="Times New Roman"/>
            <w:sz w:val="18"/>
            <w:szCs w:val="18"/>
            <w:u w:val="single" w:color="auto"/>
            <w:color w:val="0000EE"/>
          </w:rPr>
          <w:t>Lazard Ltd 2018 Incentive Compensation Plan (incorporated by reference to Annex B to the Registrant’s Definitive Proxy Statement on</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Schedule 14A (File No. 001-32492) filed on March 15, 2018).</w:t>
        </w:r>
      </w:hyperlink>
    </w:p>
    <w:p>
      <w:pPr>
        <w:spacing w:after="0" w:line="27" w:lineRule="exact"/>
        <w:rPr>
          <w:sz w:val="20"/>
          <w:szCs w:val="20"/>
          <w:color w:val="auto"/>
        </w:rPr>
      </w:pPr>
    </w:p>
    <w:p>
      <w:pPr>
        <w:ind w:left="940" w:right="80" w:hanging="949"/>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22">
        <w:r>
          <w:rPr>
            <w:rFonts w:ascii="Times New Roman" w:cs="Times New Roman" w:eastAsia="Times New Roman" w:hAnsi="Times New Roman"/>
            <w:sz w:val="18"/>
            <w:szCs w:val="18"/>
            <w:u w:val="single" w:color="auto"/>
            <w:color w:val="0000EE"/>
          </w:rPr>
          <w:t>Amended and Restated Agreement relating to Retention and Noncompetition and Other Covenants, dated as of March 29, 2019, by and among</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the Registrant, Lazard Group LLC and Kenneth M. Jacobs (incorporated by reference to Exhibit 10.1 to the Registrant’s Current Report on</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Form 8-K (File No. 001-32492) filed on April 3, 2019).</w:t>
        </w:r>
      </w:hyperlink>
    </w:p>
    <w:p>
      <w:pPr>
        <w:spacing w:after="0" w:line="41" w:lineRule="exact"/>
        <w:rPr>
          <w:rFonts w:ascii="Times New Roman" w:cs="Times New Roman" w:eastAsia="Times New Roman" w:hAnsi="Times New Roman"/>
          <w:sz w:val="18"/>
          <w:szCs w:val="18"/>
          <w:u w:val="single" w:color="auto"/>
          <w:color w:val="0000EE"/>
        </w:rPr>
      </w:pPr>
    </w:p>
    <w:p>
      <w:pPr>
        <w:jc w:val="both"/>
        <w:ind w:left="940" w:hanging="949"/>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23">
        <w:r>
          <w:rPr>
            <w:rFonts w:ascii="Times New Roman" w:cs="Times New Roman" w:eastAsia="Times New Roman" w:hAnsi="Times New Roman"/>
            <w:sz w:val="18"/>
            <w:szCs w:val="18"/>
            <w:u w:val="single" w:color="auto"/>
            <w:color w:val="0000EE"/>
          </w:rPr>
          <w:t>Amended and Restated Agreement relating to Retention and Noncompetition and Other Covenants, dated as of March 29, 2019, by and among</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the Registrant, Lazard Group LLC and Ashish Bhutani (incorporated by reference to Exhibit 10.3 to the Registrant’s Current Report on Form 8-</w:t>
        </w:r>
      </w:hyperlink>
      <w:hyperlink r:id="rId123">
        <w:r>
          <w:rPr>
            <w:rFonts w:ascii="Times New Roman" w:cs="Times New Roman" w:eastAsia="Times New Roman" w:hAnsi="Times New Roman"/>
            <w:sz w:val="18"/>
            <w:szCs w:val="18"/>
            <w:u w:val="single" w:color="auto"/>
            <w:color w:val="0000EE"/>
          </w:rPr>
          <w:t>K (File No. 001-32492) filed on April 3, 2019).</w:t>
        </w:r>
      </w:hyperlink>
    </w:p>
    <w:p>
      <w:pPr>
        <w:spacing w:after="0" w:line="41" w:lineRule="exact"/>
        <w:rPr>
          <w:rFonts w:ascii="Times New Roman" w:cs="Times New Roman" w:eastAsia="Times New Roman" w:hAnsi="Times New Roman"/>
          <w:sz w:val="18"/>
          <w:szCs w:val="18"/>
          <w:u w:val="single" w:color="auto"/>
          <w:color w:val="0000EE"/>
        </w:rPr>
      </w:pPr>
    </w:p>
    <w:p>
      <w:pPr>
        <w:jc w:val="both"/>
        <w:ind w:left="940" w:right="40" w:hanging="949"/>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24">
        <w:r>
          <w:rPr>
            <w:rFonts w:ascii="Times New Roman" w:cs="Times New Roman" w:eastAsia="Times New Roman" w:hAnsi="Times New Roman"/>
            <w:sz w:val="18"/>
            <w:szCs w:val="18"/>
            <w:u w:val="single" w:color="auto"/>
            <w:color w:val="0000EE"/>
          </w:rPr>
          <w:t>Amended and Restated Agreement relating to Retention and Noncompetition and Other Covenants, dated as of March 29, 2019, by and among</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the Registrant, Lazard Group LLC and Scott D. Hoffman (incorporated by reference to Exhibit 10.4 to the Registrant’s Current Report on Form</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8-K (File No. 001-32492) filed on April 3, 2019).</w:t>
        </w:r>
      </w:hyperlink>
    </w:p>
    <w:p>
      <w:pPr>
        <w:spacing w:after="0" w:line="41" w:lineRule="exact"/>
        <w:rPr>
          <w:rFonts w:ascii="Times New Roman" w:cs="Times New Roman" w:eastAsia="Times New Roman" w:hAnsi="Times New Roman"/>
          <w:sz w:val="18"/>
          <w:szCs w:val="18"/>
          <w:u w:val="single" w:color="auto"/>
          <w:color w:val="0000EE"/>
        </w:rPr>
      </w:pPr>
    </w:p>
    <w:p>
      <w:pPr>
        <w:ind w:left="940" w:right="160" w:hanging="949"/>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25">
        <w:r>
          <w:rPr>
            <w:rFonts w:ascii="Times New Roman" w:cs="Times New Roman" w:eastAsia="Times New Roman" w:hAnsi="Times New Roman"/>
            <w:sz w:val="18"/>
            <w:szCs w:val="18"/>
            <w:u w:val="single" w:color="auto"/>
            <w:color w:val="0000EE"/>
          </w:rPr>
          <w:t>Agreement relating to Retention and Noncompetition and Other Covenants, dated as of March 29, 2019, by and among the Registrant, Lazard</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Group LLC and Evan L. Russo (incorporated by reference to Exhibit 10.2 to the Registrant’s Current Report on Form 8-K (File No. 001-</w:t>
        </w:r>
      </w:hyperlink>
      <w:hyperlink r:id="rId125">
        <w:r>
          <w:rPr>
            <w:rFonts w:ascii="Times New Roman" w:cs="Times New Roman" w:eastAsia="Times New Roman" w:hAnsi="Times New Roman"/>
            <w:sz w:val="18"/>
            <w:szCs w:val="18"/>
            <w:u w:val="single" w:color="auto"/>
            <w:color w:val="0000EE"/>
          </w:rPr>
          <w:t>324927) filed April 3, 2019).</w:t>
        </w:r>
      </w:hyperlink>
    </w:p>
    <w:p>
      <w:pPr>
        <w:spacing w:after="0" w:line="41" w:lineRule="exact"/>
        <w:rPr>
          <w:rFonts w:ascii="Times New Roman" w:cs="Times New Roman" w:eastAsia="Times New Roman" w:hAnsi="Times New Roman"/>
          <w:sz w:val="18"/>
          <w:szCs w:val="18"/>
          <w:u w:val="single" w:color="auto"/>
          <w:color w:val="0000EE"/>
        </w:rPr>
      </w:pPr>
    </w:p>
    <w:p>
      <w:pPr>
        <w:ind w:left="940" w:right="80" w:hanging="949"/>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26">
        <w:r>
          <w:rPr>
            <w:rFonts w:ascii="Times New Roman" w:cs="Times New Roman" w:eastAsia="Times New Roman" w:hAnsi="Times New Roman"/>
            <w:sz w:val="18"/>
            <w:szCs w:val="18"/>
            <w:u w:val="single" w:color="auto"/>
            <w:color w:val="0000EE"/>
          </w:rPr>
          <w:t>Amended and Restated Agreement relating to Retention and Noncompetition and Other Covenants, dated as of March 29, 2019, by and among</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the Registrant, Lazard Group LLC and Alexander F. Stern (incorporated by reference to Exhibit 10.5 to the Registrant’s Current Report on</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Form 8-K (File No. 001-32492) filed on April 3, 2019).</w:t>
        </w:r>
      </w:hyperlink>
    </w:p>
    <w:p>
      <w:pPr>
        <w:spacing w:after="0" w:line="41" w:lineRule="exact"/>
        <w:rPr>
          <w:rFonts w:ascii="Times New Roman" w:cs="Times New Roman" w:eastAsia="Times New Roman" w:hAnsi="Times New Roman"/>
          <w:sz w:val="18"/>
          <w:szCs w:val="18"/>
          <w:u w:val="single" w:color="auto"/>
          <w:color w:val="0000EE"/>
        </w:rPr>
      </w:pPr>
    </w:p>
    <w:p>
      <w:pPr>
        <w:ind w:left="940" w:right="180" w:hanging="94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27">
        <w:r>
          <w:rPr>
            <w:rFonts w:ascii="Times New Roman" w:cs="Times New Roman" w:eastAsia="Times New Roman" w:hAnsi="Times New Roman"/>
            <w:sz w:val="18"/>
            <w:szCs w:val="18"/>
            <w:u w:val="single" w:color="auto"/>
            <w:color w:val="0000EE"/>
          </w:rPr>
          <w:t>Form of Award Letter for Annual Grant of Deferred Stock Units to Non-Executive Directors (incorporated by reference to Exhibit 99.1 to the</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Registrant’s Current Report on Form 8-K (File No. 001-32492) filed on September 8, 2005).</w:t>
        </w:r>
      </w:hyperlink>
    </w:p>
    <w:p>
      <w:pPr>
        <w:spacing w:after="0" w:line="27" w:lineRule="exact"/>
        <w:rPr>
          <w:sz w:val="20"/>
          <w:szCs w:val="20"/>
          <w:color w:val="auto"/>
        </w:rPr>
      </w:pPr>
    </w:p>
    <w:p>
      <w:pPr>
        <w:ind w:left="940" w:right="320" w:hanging="94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28">
        <w:r>
          <w:rPr>
            <w:rFonts w:ascii="Times New Roman" w:cs="Times New Roman" w:eastAsia="Times New Roman" w:hAnsi="Times New Roman"/>
            <w:sz w:val="18"/>
            <w:szCs w:val="18"/>
            <w:u w:val="single" w:color="auto"/>
            <w:color w:val="0000EE"/>
          </w:rPr>
          <w:t>Form of Agreement evidencing a grant of Restricted Stock Units to Executive Officers under the 2008 Incentive Compensation Plan</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(incorporated by reference to Exhibit 10.41 to the Registrant’s Annual Report (File No. 001-32492) on Form 10-K filed on March 2, 2009).</w:t>
        </w:r>
      </w:hyperlink>
    </w:p>
    <w:p>
      <w:pPr>
        <w:spacing w:after="0" w:line="27" w:lineRule="exact"/>
        <w:rPr>
          <w:sz w:val="20"/>
          <w:szCs w:val="20"/>
          <w:color w:val="auto"/>
        </w:rPr>
      </w:pPr>
    </w:p>
    <w:p>
      <w:pPr>
        <w:ind w:left="940" w:right="580" w:hanging="94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29">
        <w:r>
          <w:rPr>
            <w:rFonts w:ascii="Times New Roman" w:cs="Times New Roman" w:eastAsia="Times New Roman" w:hAnsi="Times New Roman"/>
            <w:sz w:val="18"/>
            <w:szCs w:val="18"/>
            <w:u w:val="single" w:color="auto"/>
            <w:color w:val="0000EE"/>
          </w:rPr>
          <w:t>Form of Agreement evidencing a grant of Deferred Cash Award to Executive Officers (incorporated by reference to Exhibit 10.42 to the</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Registrant’s Annual Report (File No. 001-32492) on Form 10-K filed on March 2, 2009).</w:t>
        </w:r>
      </w:hyperlink>
    </w:p>
    <w:p>
      <w:pPr>
        <w:spacing w:after="0" w:line="27" w:lineRule="exact"/>
        <w:rPr>
          <w:sz w:val="20"/>
          <w:szCs w:val="20"/>
          <w:color w:val="auto"/>
        </w:rPr>
      </w:pPr>
    </w:p>
    <w:p>
      <w:pPr>
        <w:ind w:left="940" w:right="360" w:hanging="94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30">
        <w:r>
          <w:rPr>
            <w:rFonts w:ascii="Times New Roman" w:cs="Times New Roman" w:eastAsia="Times New Roman" w:hAnsi="Times New Roman"/>
            <w:sz w:val="18"/>
            <w:szCs w:val="18"/>
            <w:u w:val="single" w:color="auto"/>
            <w:color w:val="0000EE"/>
          </w:rPr>
          <w:t>Directors’ Fee Deferral Unit Plan (incorporated by reference to Exhibit 10.39 to the Registrant’s Quarterly Report (File No. 001-32492) on</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Form 10-Q filed on May 11, 2006).</w:t>
        </w:r>
      </w:hyperlink>
    </w:p>
    <w:p>
      <w:pPr>
        <w:spacing w:after="0" w:line="27" w:lineRule="exact"/>
        <w:rPr>
          <w:sz w:val="20"/>
          <w:szCs w:val="20"/>
          <w:color w:val="auto"/>
        </w:rPr>
      </w:pPr>
    </w:p>
    <w:p>
      <w:pPr>
        <w:jc w:val="both"/>
        <w:ind w:left="940" w:right="340" w:hanging="949"/>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31">
        <w:r>
          <w:rPr>
            <w:rFonts w:ascii="Times New Roman" w:cs="Times New Roman" w:eastAsia="Times New Roman" w:hAnsi="Times New Roman"/>
            <w:sz w:val="18"/>
            <w:szCs w:val="18"/>
            <w:u w:val="single" w:color="auto"/>
            <w:color w:val="0000EE"/>
          </w:rPr>
          <w:t>Amended and Restated Credit Agreement, dated as of September 25, 2015, among Lazard Group LLC, the Banks from time to time parties</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thereto, and Citibank, N.A., as Administrative Agent (incorporated by reference to Exhibit 10.27 to the Registrant’s Quarterly Report (File</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No. 001-32492) on Form 10-Q filed on October 28, 2015).</w:t>
        </w:r>
      </w:hyperlink>
    </w:p>
    <w:p>
      <w:pPr>
        <w:spacing w:after="0" w:line="41" w:lineRule="exact"/>
        <w:rPr>
          <w:rFonts w:ascii="Times New Roman" w:cs="Times New Roman" w:eastAsia="Times New Roman" w:hAnsi="Times New Roman"/>
          <w:sz w:val="18"/>
          <w:szCs w:val="18"/>
          <w:u w:val="single" w:color="auto"/>
          <w:color w:val="0000EE"/>
        </w:rPr>
      </w:pPr>
    </w:p>
    <w:p>
      <w:pPr>
        <w:ind w:left="940" w:right="260" w:hanging="94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32">
        <w:r>
          <w:rPr>
            <w:rFonts w:ascii="Times New Roman" w:cs="Times New Roman" w:eastAsia="Times New Roman" w:hAnsi="Times New Roman"/>
            <w:sz w:val="18"/>
            <w:szCs w:val="18"/>
            <w:u w:val="single" w:color="auto"/>
            <w:color w:val="0000EE"/>
          </w:rPr>
          <w:t>Form of Agreement evidencing a grant of Lazard Fund Interests to Named Executive Officers (incorporated by reference to Exhibit 10.55 to</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the Registrant’s Quarterly Report (File No. 001-32492) on Form 10-Q filed on May 1, 2013).</w:t>
        </w:r>
      </w:hyperlink>
    </w:p>
    <w:p>
      <w:pPr>
        <w:spacing w:after="0" w:line="27" w:lineRule="exact"/>
        <w:rPr>
          <w:sz w:val="20"/>
          <w:szCs w:val="20"/>
          <w:color w:val="auto"/>
        </w:rPr>
      </w:pPr>
    </w:p>
    <w:p>
      <w:pPr>
        <w:ind w:left="940" w:right="360" w:hanging="94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33">
        <w:r>
          <w:rPr>
            <w:rFonts w:ascii="Times New Roman" w:cs="Times New Roman" w:eastAsia="Times New Roman" w:hAnsi="Times New Roman"/>
            <w:sz w:val="18"/>
            <w:szCs w:val="18"/>
            <w:u w:val="single" w:color="auto"/>
            <w:color w:val="0000EE"/>
          </w:rPr>
          <w:t>Form of Agreement evidencing a February 20, 2014 grant of Performance-Based Stock Units under the 2008 Incentive Compensation Plan</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(incorporated by reference to Exhibit 10.55 to the Registrant’s Quarterly Report (File No. 001-32492) on Form 10-Q filed May 6, 2014).</w:t>
        </w:r>
      </w:hyperlink>
    </w:p>
    <w:p>
      <w:pPr>
        <w:spacing w:after="0" w:line="27" w:lineRule="exact"/>
        <w:rPr>
          <w:sz w:val="20"/>
          <w:szCs w:val="20"/>
          <w:color w:val="auto"/>
        </w:rPr>
      </w:pPr>
    </w:p>
    <w:p>
      <w:pPr>
        <w:ind w:left="940" w:right="420" w:hanging="949"/>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34">
        <w:r>
          <w:rPr>
            <w:rFonts w:ascii="Times New Roman" w:cs="Times New Roman" w:eastAsia="Times New Roman" w:hAnsi="Times New Roman"/>
            <w:sz w:val="18"/>
            <w:szCs w:val="18"/>
            <w:u w:val="single" w:color="auto"/>
            <w:color w:val="0000EE"/>
          </w:rPr>
          <w:t>Agreement between the Company and Kenneth M. Jacobs, dated as of February 20, 2014, evidencing a grant of Performance-Based Stock</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Units under the 2008 Incentive Compensation Plan (incorporated by reference to Exhibit 10.56 to the Registrant’s Quarterly Report</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(File No. 001-32492) on Form 10-Q filed on May 6, 2014).</w:t>
        </w:r>
      </w:hyperlink>
    </w:p>
    <w:p>
      <w:pPr>
        <w:spacing w:after="0" w:line="41" w:lineRule="exact"/>
        <w:rPr>
          <w:rFonts w:ascii="Times New Roman" w:cs="Times New Roman" w:eastAsia="Times New Roman" w:hAnsi="Times New Roman"/>
          <w:sz w:val="18"/>
          <w:szCs w:val="18"/>
          <w:u w:val="single" w:color="auto"/>
          <w:color w:val="0000EE"/>
        </w:rPr>
      </w:pPr>
    </w:p>
    <w:p>
      <w:pPr>
        <w:spacing w:after="0"/>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35">
        <w:r>
          <w:rPr>
            <w:rFonts w:ascii="Times New Roman" w:cs="Times New Roman" w:eastAsia="Times New Roman" w:hAnsi="Times New Roman"/>
            <w:sz w:val="18"/>
            <w:szCs w:val="18"/>
            <w:u w:val="single" w:color="auto"/>
            <w:color w:val="0000EE"/>
          </w:rPr>
          <w:t>Form of Agreement evidencing a grant of Restricted Stock under the 2008 Incentive Compensation Plan (incorporated by reference to Exhibit</w:t>
        </w:r>
      </w:hyperlink>
    </w:p>
    <w:p>
      <w:pPr>
        <w:spacing w:after="0" w:line="27" w:lineRule="exact"/>
        <w:rPr>
          <w:rFonts w:ascii="Times New Roman" w:cs="Times New Roman" w:eastAsia="Times New Roman" w:hAnsi="Times New Roman"/>
          <w:sz w:val="18"/>
          <w:szCs w:val="18"/>
          <w:u w:val="single" w:color="auto"/>
          <w:color w:val="0000EE"/>
        </w:rPr>
      </w:pPr>
    </w:p>
    <w:p>
      <w:pPr>
        <w:ind w:left="940"/>
        <w:spacing w:after="0"/>
        <w:rPr>
          <w:rFonts w:ascii="Times New Roman" w:cs="Times New Roman" w:eastAsia="Times New Roman" w:hAnsi="Times New Roman"/>
          <w:sz w:val="18"/>
          <w:szCs w:val="18"/>
          <w:u w:val="single" w:color="auto"/>
          <w:color w:val="0000EE"/>
        </w:rPr>
      </w:pPr>
      <w:hyperlink r:id="rId135">
        <w:r>
          <w:rPr>
            <w:rFonts w:ascii="Times New Roman" w:cs="Times New Roman" w:eastAsia="Times New Roman" w:hAnsi="Times New Roman"/>
            <w:sz w:val="18"/>
            <w:szCs w:val="18"/>
            <w:u w:val="single" w:color="auto"/>
            <w:color w:val="0000EE"/>
          </w:rPr>
          <w:t>10.55 to the Registrant’s Quarterly Report (File No. 001-32492) on Form 10-Q filed on April 30, 2010).</w:t>
        </w:r>
      </w:hyperlink>
    </w:p>
    <w:p>
      <w:pPr>
        <w:spacing w:after="0" w:line="72" w:lineRule="exact"/>
        <w:rPr>
          <w:rFonts w:ascii="Times New Roman" w:cs="Times New Roman" w:eastAsia="Times New Roman" w:hAnsi="Times New Roman"/>
          <w:sz w:val="18"/>
          <w:szCs w:val="18"/>
          <w:u w:val="single" w:color="auto"/>
          <w:color w:val="0000EE"/>
        </w:rPr>
      </w:pPr>
    </w:p>
    <w:p>
      <w:pPr>
        <w:ind w:left="940" w:right="500" w:hanging="949"/>
        <w:spacing w:after="0" w:line="282"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36">
        <w:r>
          <w:rPr>
            <w:rFonts w:ascii="Times New Roman" w:cs="Times New Roman" w:eastAsia="Times New Roman" w:hAnsi="Times New Roman"/>
            <w:sz w:val="18"/>
            <w:szCs w:val="18"/>
            <w:u w:val="single" w:color="auto"/>
            <w:color w:val="0000EE"/>
          </w:rPr>
          <w:t>Form of Agreement evidencing a grant of Lazard Fund Interests (incorporated by reference to Exhibit 10.55 to the Registrant’s Quarterly</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Report (File No. 001-32492) on Form 10-Q filed on April 29, 2011).</w:t>
        </w:r>
      </w:hyperlink>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40" w:top="337"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10200" w:type="dxa"/>
            <w:vAlign w:val="bottom"/>
            <w:gridSpan w:val="6"/>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Form of Agreement for Performance-Based Profits Interest Participation Right Units under the 2018 Incentive Compensation Plan.</w:t>
              </w:r>
            </w:hyperlink>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37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Rule 13a-14(a) Certification of Kenneth M. Jacobs.</w:t>
              </w:r>
            </w:hyperlink>
          </w:p>
        </w:tc>
        <w:tc>
          <w:tcPr>
            <w:tcW w:w="572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200" w:type="dxa"/>
            <w:vAlign w:val="bottom"/>
            <w:gridSpan w:val="6"/>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36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Section 1350 Certification for Kenneth M. Jacobs.</w:t>
              </w:r>
            </w:hyperlink>
          </w:p>
        </w:tc>
        <w:tc>
          <w:tcPr>
            <w:tcW w:w="6560" w:type="dxa"/>
            <w:vAlign w:val="bottom"/>
            <w:gridSpan w:val="3"/>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200" w:type="dxa"/>
            <w:vAlign w:val="bottom"/>
            <w:gridSpan w:val="6"/>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Section 1350 Certification for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r>
      <w:tr>
        <w:trPr>
          <w:trHeight w:val="29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iXBRL tags are embedded within the</w:t>
            </w:r>
          </w:p>
        </w:tc>
      </w:tr>
      <w:tr>
        <w:trPr>
          <w:trHeight w:val="234"/>
        </w:trPr>
        <w:tc>
          <w:tcPr>
            <w:tcW w:w="104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0"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324" w:right="4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w:t>
            </w:r>
          </w:p>
        </w:tc>
        <w:tc>
          <w:tcPr>
            <w:tcW w:w="32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1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29, 2019</w:t>
            </w:r>
          </w:p>
        </w:tc>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32"/>
        </w:trPr>
        <w:tc>
          <w:tcPr>
            <w:tcW w:w="6840" w:type="dxa"/>
            <w:vAlign w:val="bottom"/>
            <w:gridSpan w:val="2"/>
          </w:tcPr>
          <w:p>
            <w:pPr>
              <w:ind w:left="5720"/>
              <w:spacing w:after="0"/>
              <w:rPr>
                <w:sz w:val="20"/>
                <w:szCs w:val="20"/>
                <w:color w:val="auto"/>
              </w:rPr>
            </w:pPr>
            <w:r>
              <w:rPr>
                <w:rFonts w:ascii="Times New Roman" w:cs="Times New Roman" w:eastAsia="Times New Roman" w:hAnsi="Times New Roman"/>
                <w:sz w:val="18"/>
                <w:szCs w:val="18"/>
                <w:color w:val="auto"/>
                <w:w w:val="97"/>
              </w:rPr>
              <w:t>LAZARD LTD</w:t>
            </w:r>
          </w:p>
        </w:tc>
        <w:tc>
          <w:tcPr>
            <w:tcW w:w="4580" w:type="dxa"/>
            <w:vAlign w:val="bottom"/>
          </w:tcPr>
          <w:p>
            <w:pPr>
              <w:spacing w:after="0"/>
              <w:rPr>
                <w:sz w:val="24"/>
                <w:szCs w:val="24"/>
                <w:color w:val="auto"/>
              </w:rPr>
            </w:pPr>
          </w:p>
        </w:tc>
      </w:tr>
      <w:tr>
        <w:trPr>
          <w:trHeight w:val="432"/>
        </w:trPr>
        <w:tc>
          <w:tcPr>
            <w:tcW w:w="65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Evan L. Russo</w:t>
            </w:r>
          </w:p>
        </w:tc>
      </w:tr>
      <w:tr>
        <w:trPr>
          <w:trHeight w:val="191"/>
        </w:trPr>
        <w:tc>
          <w:tcPr>
            <w:tcW w:w="6520" w:type="dxa"/>
            <w:vAlign w:val="bottom"/>
          </w:tcPr>
          <w:p>
            <w:pPr>
              <w:ind w:left="57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Evan L. Russo</w:t>
            </w:r>
          </w:p>
        </w:tc>
      </w:tr>
      <w:tr>
        <w:trPr>
          <w:trHeight w:val="234"/>
        </w:trPr>
        <w:tc>
          <w:tcPr>
            <w:tcW w:w="65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65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Dominick Ragone</w:t>
            </w:r>
          </w:p>
        </w:tc>
      </w:tr>
      <w:tr>
        <w:trPr>
          <w:trHeight w:val="191"/>
        </w:trPr>
        <w:tc>
          <w:tcPr>
            <w:tcW w:w="6520" w:type="dxa"/>
            <w:vAlign w:val="bottom"/>
          </w:tcPr>
          <w:p>
            <w:pPr>
              <w:ind w:left="57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Dominick Ragone</w:t>
            </w:r>
          </w:p>
        </w:tc>
      </w:tr>
      <w:tr>
        <w:trPr>
          <w:trHeight w:val="234"/>
        </w:trPr>
        <w:tc>
          <w:tcPr>
            <w:tcW w:w="65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333" w:right="239" w:bottom="1440" w:gutter="0" w:footer="0" w:header="0"/>
        </w:sectPr>
      </w:pPr>
    </w:p>
    <w:bookmarkStart w:id="71" w:name="page72"/>
    <w:bookmarkEnd w:id="71"/>
    <w:p>
      <w:pPr>
        <w:ind w:left="10200"/>
        <w:spacing w:after="0"/>
        <w:rPr>
          <w:sz w:val="20"/>
          <w:szCs w:val="20"/>
          <w:color w:val="auto"/>
        </w:rPr>
      </w:pPr>
      <w:r>
        <w:rPr>
          <w:rFonts w:ascii="Times New Roman" w:cs="Times New Roman" w:eastAsia="Times New Roman" w:hAnsi="Times New Roman"/>
          <w:sz w:val="17"/>
          <w:szCs w:val="17"/>
          <w:b w:val="1"/>
          <w:bCs w:val="1"/>
          <w:color w:val="auto"/>
        </w:rPr>
        <w:t>EXHIBIT 10.24</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PROFITS INTEREST PARTICIPATION RIGHT UNIT AGREEMENT</w:t>
      </w:r>
    </w:p>
    <w:p>
      <w:pPr>
        <w:spacing w:after="0" w:line="182" w:lineRule="exact"/>
        <w:rPr>
          <w:sz w:val="20"/>
          <w:szCs w:val="20"/>
          <w:color w:val="auto"/>
        </w:rPr>
      </w:pPr>
    </w:p>
    <w:p>
      <w:pPr>
        <w:ind w:right="400" w:firstLine="1755"/>
        <w:spacing w:after="0" w:line="258" w:lineRule="auto"/>
        <w:rPr>
          <w:sz w:val="20"/>
          <w:szCs w:val="20"/>
          <w:color w:val="auto"/>
        </w:rPr>
      </w:pPr>
      <w:r>
        <w:rPr>
          <w:rFonts w:ascii="Times New Roman" w:cs="Times New Roman" w:eastAsia="Times New Roman" w:hAnsi="Times New Roman"/>
          <w:sz w:val="22"/>
          <w:szCs w:val="22"/>
          <w:color w:val="auto"/>
        </w:rPr>
        <w:t>THIS AGREEMENT, dated as of by, and among Lazard Ltd, a Bermuda exempted company (the “Company”), Lazard Group LLC, a Delaware limited liability company (“Lazard Group”), and (the “Member”).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10" w:lineRule="exact"/>
        <w:rPr>
          <w:sz w:val="20"/>
          <w:szCs w:val="20"/>
          <w:color w:val="auto"/>
        </w:rPr>
      </w:pPr>
    </w:p>
    <w:p>
      <w:pPr>
        <w:ind w:right="560" w:firstLine="1755"/>
        <w:spacing w:after="0" w:line="258" w:lineRule="auto"/>
        <w:rPr>
          <w:sz w:val="20"/>
          <w:szCs w:val="20"/>
          <w:color w:val="auto"/>
        </w:rPr>
      </w:pPr>
      <w:r>
        <w:rPr>
          <w:rFonts w:ascii="Times New Roman" w:cs="Times New Roman" w:eastAsia="Times New Roman" w:hAnsi="Times New Roman"/>
          <w:sz w:val="22"/>
          <w:szCs w:val="22"/>
          <w:color w:val="auto"/>
        </w:rPr>
        <w:t>In consideration of the mutual promises and covenants made herein and the mutual benefits to be derived herefrom, the parties hereto agree as follows:</w:t>
      </w:r>
    </w:p>
    <w:p>
      <w:pPr>
        <w:spacing w:after="0" w:line="154" w:lineRule="exact"/>
        <w:rPr>
          <w:sz w:val="20"/>
          <w:szCs w:val="20"/>
          <w:color w:val="auto"/>
        </w:rPr>
      </w:pPr>
    </w:p>
    <w:p>
      <w:pPr>
        <w:ind w:left="2040" w:hanging="277"/>
        <w:spacing w:after="0"/>
        <w:tabs>
          <w:tab w:leader="none" w:pos="2040" w:val="left"/>
        </w:tabs>
        <w:numPr>
          <w:ilvl w:val="1"/>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and Vesting of PIPR Interest.</w:t>
      </w:r>
    </w:p>
    <w:p>
      <w:pPr>
        <w:spacing w:after="0" w:line="210" w:lineRule="exact"/>
        <w:rPr>
          <w:rFonts w:ascii="Times New Roman" w:cs="Times New Roman" w:eastAsia="Times New Roman" w:hAnsi="Times New Roman"/>
          <w:sz w:val="22"/>
          <w:szCs w:val="22"/>
          <w:b w:val="1"/>
          <w:bCs w:val="1"/>
          <w:color w:val="auto"/>
        </w:rPr>
      </w:pPr>
    </w:p>
    <w:p>
      <w:pPr>
        <w:ind w:right="40" w:firstLine="885"/>
        <w:spacing w:after="0" w:line="247" w:lineRule="auto"/>
        <w:tabs>
          <w:tab w:leader="none" w:pos="122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this Agreement, the provisions of the Company’s 2018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the Amended and Restated Operating Agreement of Lazard Group, as amended from time to time (the “</w:t>
      </w:r>
      <w:r>
        <w:rPr>
          <w:rFonts w:ascii="Times New Roman" w:cs="Times New Roman" w:eastAsia="Times New Roman" w:hAnsi="Times New Roman"/>
          <w:sz w:val="21"/>
          <w:szCs w:val="21"/>
          <w:u w:val="single" w:color="auto"/>
          <w:color w:val="auto"/>
        </w:rPr>
        <w:t>Operating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(all capitalized terms used herein, to the extent not defined, shall have the meaning set forth in the Operating Agreement, unless otherwise specified), Lazard Group hereby grants to the Member, as of the date set forth above (the “</w:t>
      </w:r>
      <w:r>
        <w:rPr>
          <w:rFonts w:ascii="Times New Roman" w:cs="Times New Roman" w:eastAsia="Times New Roman" w:hAnsi="Times New Roman"/>
          <w:sz w:val="21"/>
          <w:szCs w:val="21"/>
          <w:u w:val="single" w:color="auto"/>
          <w:color w:val="auto"/>
        </w:rPr>
        <w:t>Grant</w:t>
      </w:r>
    </w:p>
    <w:p>
      <w:pPr>
        <w:spacing w:after="0" w:line="2"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 PIPR Interest issued on the date hereof as</w:t>
      </w:r>
      <w:r>
        <w:rPr>
          <w:sz w:val="20"/>
          <w:szCs w:val="20"/>
          <w:color w:val="auto"/>
        </w:rPr>
        <w:tab/>
      </w:r>
      <w:r>
        <w:rPr>
          <w:rFonts w:ascii="Times New Roman" w:cs="Times New Roman" w:eastAsia="Times New Roman" w:hAnsi="Times New Roman"/>
          <w:sz w:val="21"/>
          <w:szCs w:val="21"/>
          <w:color w:val="auto"/>
        </w:rPr>
        <w:t>PIPR Units.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PIPR Interest is an “Other Equity-Based Award” within the meaning of Section 8 of the Plan. These PIPR Units 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performance-based restricted participation units, or PRPUs, and are Performance PIPRs for purposes of the Operating</w:t>
      </w:r>
    </w:p>
    <w:p>
      <w:pPr>
        <w:spacing w:after="0"/>
        <w:rPr>
          <w:sz w:val="20"/>
          <w:szCs w:val="20"/>
          <w:color w:val="auto"/>
        </w:rPr>
      </w:pPr>
      <w:r>
        <w:rPr>
          <w:rFonts w:ascii="Times New Roman" w:cs="Times New Roman" w:eastAsia="Times New Roman" w:hAnsi="Times New Roman"/>
          <w:sz w:val="21"/>
          <w:szCs w:val="21"/>
          <w:color w:val="auto"/>
        </w:rPr>
        <w:t>Agreement. Subject to the terms and conditions set forth in this Agreement, the Member will earn (or be deemed to earn) a number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PIPR Units that is between 0% and 100% of the number of PIPR Units subject to this Agreement, such number of earned PIPR</w:t>
      </w:r>
    </w:p>
    <w:p>
      <w:pPr>
        <w:spacing w:after="0" w:line="232" w:lineRule="auto"/>
        <w:rPr>
          <w:sz w:val="20"/>
          <w:szCs w:val="20"/>
          <w:color w:val="auto"/>
        </w:rPr>
      </w:pPr>
      <w:r>
        <w:rPr>
          <w:rFonts w:ascii="Times New Roman" w:cs="Times New Roman" w:eastAsia="Times New Roman" w:hAnsi="Times New Roman"/>
          <w:sz w:val="22"/>
          <w:szCs w:val="22"/>
          <w:color w:val="auto"/>
        </w:rPr>
        <w:t>Units to be determined based on the achievement of the performance goals set forth on Appendix A (the “</w:t>
      </w:r>
      <w:r>
        <w:rPr>
          <w:rFonts w:ascii="Times New Roman" w:cs="Times New Roman" w:eastAsia="Times New Roman" w:hAnsi="Times New Roman"/>
          <w:sz w:val="22"/>
          <w:szCs w:val="22"/>
          <w:u w:val="single" w:color="auto"/>
          <w:color w:val="auto"/>
        </w:rPr>
        <w:t>Performance</w:t>
      </w:r>
    </w:p>
    <w:p>
      <w:pPr>
        <w:spacing w:after="0"/>
        <w:rPr>
          <w:sz w:val="20"/>
          <w:szCs w:val="20"/>
          <w:color w:val="auto"/>
        </w:rPr>
      </w:pPr>
      <w:r>
        <w:rPr>
          <w:rFonts w:ascii="Times New Roman" w:cs="Times New Roman" w:eastAsia="Times New Roman" w:hAnsi="Times New Roman"/>
          <w:sz w:val="22"/>
          <w:szCs w:val="22"/>
          <w:u w:val="single" w:color="auto"/>
          <w:color w:val="auto"/>
        </w:rPr>
        <w:t>Conditions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right="160" w:firstLine="885"/>
        <w:spacing w:after="0" w:line="244" w:lineRule="auto"/>
        <w:tabs>
          <w:tab w:leader="none" w:pos="123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to the provisions of the Plan, each PIPR Unit shall vest and, subject to the Operating Agreement, no longer be subject to forfeiture, upon the date on which all of the following conditions have been satisfied:</w:t>
      </w:r>
    </w:p>
    <w:p>
      <w:pPr>
        <w:spacing w:after="0" w:line="174" w:lineRule="exact"/>
        <w:rPr>
          <w:sz w:val="20"/>
          <w:szCs w:val="20"/>
          <w:color w:val="auto"/>
        </w:rPr>
      </w:pPr>
    </w:p>
    <w:p>
      <w:pPr>
        <w:ind w:right="1000" w:firstLine="885"/>
        <w:spacing w:after="0" w:line="258" w:lineRule="auto"/>
        <w:tabs>
          <w:tab w:leader="none" w:pos="113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PIPR Unit has become an Equitized PIPR Unit (such date, as applicable to the relevant PIPR Unit, the “</w:t>
      </w:r>
      <w:r>
        <w:rPr>
          <w:rFonts w:ascii="Times New Roman" w:cs="Times New Roman" w:eastAsia="Times New Roman" w:hAnsi="Times New Roman"/>
          <w:sz w:val="22"/>
          <w:szCs w:val="22"/>
          <w:u w:val="single" w:color="auto"/>
          <w:color w:val="auto"/>
        </w:rPr>
        <w:t>Equitization Date</w:t>
      </w:r>
      <w:r>
        <w:rPr>
          <w:rFonts w:ascii="Times New Roman" w:cs="Times New Roman" w:eastAsia="Times New Roman" w:hAnsi="Times New Roman"/>
          <w:sz w:val="22"/>
          <w:szCs w:val="22"/>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2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w w:val="98"/>
              </w:rPr>
              <w:t>(ii) the Member has remained in continuous service to the Company or any of its Affiliates until</w:t>
            </w:r>
          </w:p>
        </w:tc>
        <w:tc>
          <w:tcPr>
            <w:tcW w:w="164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2"/>
              </w:rPr>
              <w:t>(such</w:t>
            </w:r>
          </w:p>
        </w:tc>
      </w:tr>
      <w:tr>
        <w:trPr>
          <w:trHeight w:val="230"/>
        </w:trPr>
        <w:tc>
          <w:tcPr>
            <w:tcW w:w="922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condition, the “Service Condition”); and</w:t>
            </w:r>
          </w:p>
        </w:tc>
        <w:tc>
          <w:tcPr>
            <w:tcW w:w="1640" w:type="dxa"/>
            <w:vAlign w:val="bottom"/>
          </w:tcPr>
          <w:p>
            <w:pPr>
              <w:spacing w:after="0"/>
              <w:rPr>
                <w:sz w:val="20"/>
                <w:szCs w:val="20"/>
                <w:color w:val="auto"/>
              </w:rPr>
            </w:pPr>
          </w:p>
        </w:tc>
      </w:tr>
      <w:tr>
        <w:trPr>
          <w:trHeight w:val="20"/>
        </w:trPr>
        <w:tc>
          <w:tcPr>
            <w:tcW w:w="13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76"/>
        </w:trPr>
        <w:tc>
          <w:tcPr>
            <w:tcW w:w="922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(iii) the Committee (as defined in the Plan) concludes that during the period beginning on</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and ending on</w:t>
            </w:r>
          </w:p>
        </w:tc>
      </w:tr>
    </w:tbl>
    <w:p>
      <w:pPr>
        <w:ind w:right="160" w:firstLine="1206"/>
        <w:spacing w:after="0" w:line="233"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xml:space="preserve">”), the Company has achieved the Performance Conditions and specifies the level at which the PIPR Units shall vest, based on the scoring, adjustment and weighting provisions set forth in Appendix 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Committee, in its sole discretion, may interpret the goals and scoring set forth in Appendix A as it deems necessary or appropriate (including, without limitation, to the extent necessary to address extraordinary events or circumstances). The ultimate score achieved based on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72" w:name="page73"/>
    <w:bookmarkEnd w:id="72"/>
    <w:p>
      <w:pPr>
        <w:spacing w:after="0"/>
        <w:tabs>
          <w:tab w:leader="none" w:pos="6020" w:val="left"/>
        </w:tabs>
        <w:rPr>
          <w:sz w:val="20"/>
          <w:szCs w:val="20"/>
          <w:color w:val="auto"/>
        </w:rPr>
      </w:pPr>
      <w:r>
        <w:rPr>
          <w:rFonts w:ascii="Times New Roman" w:cs="Times New Roman" w:eastAsia="Times New Roman" w:hAnsi="Times New Roman"/>
          <w:sz w:val="22"/>
          <w:szCs w:val="22"/>
          <w:color w:val="auto"/>
        </w:rPr>
        <w:t>A (which may range from 0.0 to 2.0) will be multiplied by</w:t>
      </w:r>
      <w:r>
        <w:rPr>
          <w:sz w:val="20"/>
          <w:szCs w:val="20"/>
          <w:color w:val="auto"/>
        </w:rPr>
        <w:tab/>
      </w:r>
      <w:r>
        <w:rPr>
          <w:rFonts w:ascii="Times New Roman" w:cs="Times New Roman" w:eastAsia="Times New Roman" w:hAnsi="Times New Roman"/>
          <w:sz w:val="21"/>
          <w:szCs w:val="21"/>
          <w:color w:val="auto"/>
        </w:rPr>
        <w:t>PIPR Units (the “</w:t>
      </w:r>
      <w:r>
        <w:rPr>
          <w:rFonts w:ascii="Times New Roman" w:cs="Times New Roman" w:eastAsia="Times New Roman" w:hAnsi="Times New Roman"/>
          <w:sz w:val="21"/>
          <w:szCs w:val="21"/>
          <w:u w:val="single" w:color="auto"/>
          <w:color w:val="auto"/>
        </w:rPr>
        <w:t>Target PIPR Units</w:t>
      </w:r>
      <w:r>
        <w:rPr>
          <w:rFonts w:ascii="Times New Roman" w:cs="Times New Roman" w:eastAsia="Times New Roman" w:hAnsi="Times New Roman"/>
          <w:sz w:val="21"/>
          <w:szCs w:val="21"/>
          <w:color w:val="auto"/>
        </w:rPr>
        <w:t>”) in order to determine</w:t>
      </w:r>
    </w:p>
    <w:p>
      <w:pPr>
        <w:spacing w:after="0" w:line="1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the number of PIPR Units, if any, that may vest upon satisfaction of the Service Condition. Furthermore, the Committee shall determine, following the end of each fiscal year, during the Performance Period and in accordance with the methodology described in the first sentence of this Section 1(b)(iii), the extent to which the Company has achieved the Performance Conditions with respect to such fiscal year and, in the event that the Performance Conditions in that year have been achieved at the target level (i.e., the 1.0 level) or above, the Performance Conditions will be deemed satisfied with respect to twenty-five percent (25%) of the Target PIPR Units (any such PIPR Units that are earned in accordance with this sentence, the “</w:t>
      </w:r>
      <w:r>
        <w:rPr>
          <w:rFonts w:ascii="Times New Roman" w:cs="Times New Roman" w:eastAsia="Times New Roman" w:hAnsi="Times New Roman"/>
          <w:sz w:val="22"/>
          <w:szCs w:val="22"/>
          <w:u w:val="single" w:color="auto"/>
          <w:color w:val="auto"/>
        </w:rPr>
        <w:t>Fiscal Year PIPR Units</w:t>
      </w:r>
      <w:r>
        <w:rPr>
          <w:rFonts w:ascii="Times New Roman" w:cs="Times New Roman" w:eastAsia="Times New Roman" w:hAnsi="Times New Roman"/>
          <w:sz w:val="22"/>
          <w:szCs w:val="22"/>
          <w:color w:val="auto"/>
        </w:rPr>
        <w:t>”). Any Fiscal Year PIPR Units will vest upon satisfaction (or deemed satisfaction) of the Service Condition and the occurrence of the relevant Equitization Date on or before the fifth anniversary of the date of grant (such date, the “</w:t>
      </w:r>
      <w:r>
        <w:rPr>
          <w:rFonts w:ascii="Times New Roman" w:cs="Times New Roman" w:eastAsia="Times New Roman" w:hAnsi="Times New Roman"/>
          <w:sz w:val="22"/>
          <w:szCs w:val="22"/>
          <w:u w:val="single" w:color="auto"/>
          <w:color w:val="auto"/>
        </w:rPr>
        <w:t>Final Equitization Date</w:t>
      </w:r>
      <w:r>
        <w:rPr>
          <w:rFonts w:ascii="Times New Roman" w:cs="Times New Roman" w:eastAsia="Times New Roman" w:hAnsi="Times New Roman"/>
          <w:sz w:val="22"/>
          <w:szCs w:val="22"/>
          <w:color w:val="auto"/>
        </w:rPr>
        <w:t>”) in accordance with Section 1(b)(i), 1(b)(ii), 1(c), 1(d) or 1(e). In the event that the Committee makes any conclusion regarding the achievement of the Performance Conditions for the full Performance Period (or, in the case of Section 1(c)(i) or 1(e)(i), for a portion thereof), then any Fiscal Year PIPR Units will be applied to reduce the number of PIPR Units that would otherwise be earned in accordance with this Agreement.</w:t>
      </w:r>
    </w:p>
    <w:p>
      <w:pPr>
        <w:spacing w:after="0" w:line="187" w:lineRule="exact"/>
        <w:rPr>
          <w:sz w:val="20"/>
          <w:szCs w:val="20"/>
          <w:color w:val="auto"/>
        </w:rPr>
      </w:pPr>
    </w:p>
    <w:p>
      <w:pPr>
        <w:ind w:right="40" w:firstLine="877"/>
        <w:spacing w:after="0" w:line="255" w:lineRule="auto"/>
        <w:rPr>
          <w:sz w:val="20"/>
          <w:szCs w:val="20"/>
          <w:color w:val="auto"/>
        </w:rPr>
      </w:pPr>
      <w:r>
        <w:rPr>
          <w:rFonts w:ascii="Times New Roman" w:cs="Times New Roman" w:eastAsia="Times New Roman" w:hAnsi="Times New Roman"/>
          <w:sz w:val="21"/>
          <w:szCs w:val="21"/>
          <w:color w:val="auto"/>
        </w:rPr>
        <w:t>The date that both the Performance Condition and the Service Condition have been satisfied with respect to an Unvested Award (as defined below) is referred to herein as the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and an Unvested PIPR Unit or any Share (as defined in the Plan) that the Member receives in exchange for an Equitized PIPR Unit pursuant to Section 4 or receives pursuant to Section 10(a) (each such Share, a “</w:t>
      </w:r>
      <w:r>
        <w:rPr>
          <w:rFonts w:ascii="Times New Roman" w:cs="Times New Roman" w:eastAsia="Times New Roman" w:hAnsi="Times New Roman"/>
          <w:sz w:val="21"/>
          <w:szCs w:val="21"/>
          <w:u w:val="single" w:color="auto"/>
          <w:color w:val="auto"/>
        </w:rPr>
        <w:t>Restricted Share</w:t>
      </w:r>
      <w:r>
        <w:rPr>
          <w:rFonts w:ascii="Times New Roman" w:cs="Times New Roman" w:eastAsia="Times New Roman" w:hAnsi="Times New Roman"/>
          <w:sz w:val="21"/>
          <w:szCs w:val="21"/>
          <w:color w:val="auto"/>
        </w:rPr>
        <w:t>”) that is outstanding prior to the Vesting Date is referred to as an “</w:t>
      </w:r>
      <w:r>
        <w:rPr>
          <w:rFonts w:ascii="Times New Roman" w:cs="Times New Roman" w:eastAsia="Times New Roman" w:hAnsi="Times New Roman"/>
          <w:sz w:val="21"/>
          <w:szCs w:val="21"/>
          <w:u w:val="single" w:color="auto"/>
          <w:color w:val="auto"/>
        </w:rPr>
        <w:t>Unvested Award</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Notwithstanding anything in this Agreement or in the Plan to the contrary, except as provided in this Section 1(b) and Section 1(e), the Member will forfeit all Unvested Awards and all rights thereunder will terminate in the event that the Member incurs a Termination of Employment (as defined in the Plan) prior to the Vesting Date for any reason not set forth in Section 1(c), which Termination of Employment and forfeiture shall be deemed to occur on the date that the Member provides notice of termination to the Company, in the case of a resignation by the Member, or on the Date of Termination (as defined in Appendix B), in the case of Termination of Employment by the Company. In addition, all Unvested Awards, but excluding any Fiscal Year PIPR Units (or any Restricted Shares received in exchange for Fiscal Year PIPR Units), shall be forfeited by the Member to the extent that, following the last day of the Performance Period (or such earlier date as specified in Section 1(c)(i) or 1(e)(i)), the Performance Conditions with respect to such Unvested Awards have not been satisfied. The Member’s PIPR Capital with respect to a PIPR Unit that has been forfeited, canceled or terminated shall be treated as provided in Section 4.03(c)(iv) of the Operating Agreement.</w:t>
      </w:r>
    </w:p>
    <w:p>
      <w:pPr>
        <w:spacing w:after="0" w:line="177" w:lineRule="exact"/>
        <w:rPr>
          <w:sz w:val="20"/>
          <w:szCs w:val="20"/>
          <w:color w:val="auto"/>
        </w:rPr>
      </w:pPr>
    </w:p>
    <w:p>
      <w:pPr>
        <w:ind w:firstLine="885"/>
        <w:spacing w:after="0" w:line="236" w:lineRule="auto"/>
        <w:tabs>
          <w:tab w:leader="none" w:pos="122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Except as set forth in Section 1(e), in the event that the Member incurs a Termination of Employment prior to the Vesting Date due to (A) the Member’s Disability (as defined in the Plan), (B) the Member’s death or (C) a Termination of Employment by the Company other than for Cause, the Member shall no longer be required to remain in continuous service to satisfy the Service Condition and the Unvested Awards shall no longer be subject to the Performance Conditions, but (other than in the case of death) the Unvested Awards shall remain outstanding and subject to forfeiture pursuant to Section 1(d) through the Vesting Date</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73" w:name="page74"/>
    <w:bookmarkEnd w:id="73"/>
    <w:p>
      <w:pPr>
        <w:ind w:right="120"/>
        <w:spacing w:after="0" w:line="235" w:lineRule="auto"/>
        <w:rPr>
          <w:sz w:val="20"/>
          <w:szCs w:val="20"/>
          <w:color w:val="auto"/>
        </w:rPr>
      </w:pPr>
      <w:r>
        <w:rPr>
          <w:rFonts w:ascii="Times New Roman" w:cs="Times New Roman" w:eastAsia="Times New Roman" w:hAnsi="Times New Roman"/>
          <w:sz w:val="22"/>
          <w:szCs w:val="22"/>
          <w:color w:val="auto"/>
        </w:rPr>
        <w:t xml:space="preserve">(for the avoidance of doubt, each PIPR Unit will remain outstanding subject to the occurrence of the relevant Equitization Date on or before the Final Equitization Date), and (other than in the case of death) will be subject to forfeiture pursuant to Section 1(d) through the Vesting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Performance Conditions shall be deemed satisfied with respect to the Unvested Awards based on (1) the actual performance level during the period beginning on the first day of the Performance Period and ending on the last day of the most recent fiscal quarter preceding the Date of Termination (or, if the Date of Termination occurs more than halfway through a fiscal quarter, the last day of such current fiscal quarter), as determined by the Committee, and (2) deemed performance at the target level for the period beginning on the first day of the following fiscal quarter through the last day of the Performance Period.</w:t>
      </w:r>
    </w:p>
    <w:p>
      <w:pPr>
        <w:spacing w:after="0" w:line="180" w:lineRule="exact"/>
        <w:rPr>
          <w:sz w:val="20"/>
          <w:szCs w:val="20"/>
          <w:color w:val="auto"/>
        </w:rPr>
      </w:pPr>
    </w:p>
    <w:p>
      <w:pPr>
        <w:ind w:right="80" w:firstLine="885"/>
        <w:spacing w:after="0" w:line="233" w:lineRule="auto"/>
        <w:tabs>
          <w:tab w:leader="none" w:pos="119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1(e), in the event that the Member incurs a Termination of Employment prior to the Vesting Date due to the Member’s Retirement (as defined below), the Member shall no longer be required to remain in continuous service to satisfy the Service Condition, but the Unvested Awards shall remain outstanding and subject to forfeiture pursuant to Section 1(d) through the Vesting Date (for the avoidance of doubt, each PIPR Unit will remain outstanding subject to the occurrence of the relevant Equitization Date on or before the Final Equitization Date, and will be subject to forfeiture pursuant to Section 1(d) through the Vesting Date) and, except for any Fiscal Year PIPR Units (or Restricted Shares received in exchange for Fiscal Year PIPR Units), shall remain subject to the Performance Conditions. Such Unvested Awards (excluding Fiscal Year PIPR Units or any Restricted Shares received in exchange for Fiscal Year PIPR Units) shall vest at the level determined by the Committee following the last day of the Performance Period, based on actual performance during the Performance Period. For purposes of this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that the Member voluntarily incurs a Termination of Employment on or after the date on which the Member meets all of the requirements of the retirement policy applicable to equity awards granted under the Plan, as in effect from time to time.</w:t>
      </w:r>
    </w:p>
    <w:p>
      <w:pPr>
        <w:spacing w:after="0" w:line="186" w:lineRule="exact"/>
        <w:rPr>
          <w:sz w:val="20"/>
          <w:szCs w:val="20"/>
          <w:color w:val="auto"/>
        </w:rPr>
      </w:pPr>
    </w:p>
    <w:p>
      <w:pPr>
        <w:ind w:firstLine="885"/>
        <w:spacing w:after="0" w:line="233" w:lineRule="auto"/>
        <w:tabs>
          <w:tab w:leader="none" w:pos="129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in the event that the Member incurs a Termination of Employment by the Company other than for Cause or a Termination of Employment due to Retirement in accordance with Section 1(c)(ii), in either case, prior to a Change in Control (as defined in the Plan), the Unvested Awards shall be treated as provided in Section 1(c)(i) or Section 1(c)(ii), as applicable, only if the Member (or the Member’s estate, if applicable) signs a customary release of claims in favor of the Company and its Affiliates that is acceptable to the Company, and such release becomes effective and irrevocable on or before the 65th day following the Member’s Termination of Employment. In the event the Member (or the Member’s estate, if applicable) does not sign such release or revokes such release before it becomes effective, the Member shall forfeit all rights to any Unvested Awards. In the event that, prior to a Change in Control or prior to a Termination of Employment (including by reason of Retirement in accordance with Section 1(c)(ii)) following a Change in Control, as applicable, the Member violates any of the restrictive covenants set forth in Appendix B, which are incorporated herein by reference (the “</w:t>
      </w:r>
      <w:r>
        <w:rPr>
          <w:rFonts w:ascii="Times New Roman" w:cs="Times New Roman" w:eastAsia="Times New Roman" w:hAnsi="Times New Roman"/>
          <w:sz w:val="22"/>
          <w:szCs w:val="22"/>
          <w:u w:val="single" w:color="auto"/>
          <w:color w:val="auto"/>
        </w:rPr>
        <w:t>Restrictive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all outstanding Unvested Awards (including Fiscal Year PIPR Units (and Restricted Shares received in exchange for Fiscal Year PIPR Units)) shall be forfeited and canceled. For the avoidance of doubt, in no event shall a violation of the Restrictive Covenants following a Termination of Employment serve as a basis for forfeiture of Unvested Awards from and after a Change in Control. Notwithstanding that certain Restrictive Covenants apply for only a limited period following Termination of Employment, in the event that the Member incurs a Termination of</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74" w:name="page75"/>
    <w:bookmarkEnd w:id="74"/>
    <w:p>
      <w:pPr>
        <w:spacing w:after="0" w:line="259" w:lineRule="auto"/>
        <w:rPr>
          <w:sz w:val="20"/>
          <w:szCs w:val="20"/>
          <w:color w:val="auto"/>
        </w:rPr>
      </w:pPr>
      <w:r>
        <w:rPr>
          <w:rFonts w:ascii="Times New Roman" w:cs="Times New Roman" w:eastAsia="Times New Roman" w:hAnsi="Times New Roman"/>
          <w:sz w:val="22"/>
          <w:szCs w:val="22"/>
          <w:color w:val="auto"/>
        </w:rPr>
        <w:t>Employment by reason of Retirement, the Member will forfeit any outstanding Unvested Awards if the Member does not comply with all of the Restrictive Covenants until the Vesting Date.</w:t>
      </w:r>
    </w:p>
    <w:p>
      <w:pPr>
        <w:spacing w:after="0" w:line="15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12" w:right="479" w:bottom="1440" w:gutter="0" w:footer="0" w:header="0"/>
        </w:sectPr>
      </w:pPr>
    </w:p>
    <w:bookmarkStart w:id="75" w:name="page76"/>
    <w:bookmarkEnd w:id="75"/>
    <w:p>
      <w:pPr>
        <w:ind w:left="-40" w:firstLine="885"/>
        <w:spacing w:after="0" w:line="242" w:lineRule="auto"/>
        <w:tabs>
          <w:tab w:leader="none" w:pos="1185"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Notwithstanding any provision of this Agreement to the contrary, in the event of a Change in Control that occurs prior to the end of the Performance Period (without regard to whether the Member’s Retirement has occurred on or prior to the date of such Change in Control), the Performance Conditions shall no longer apply and, instead, shall be deemed to have been satisfied as of immediately prior to the Change in Control at the greater of (A) the target level and (B) the actual performance level achieved during the period beginning at the start of the Performance Period and ending on the date of such Change in Control, as determined by the Committee prior to the Change in Control with any necessary exercise of discretion determined by the Committee prior to the Change in Control (the greater of (A) and (B), the “</w:t>
      </w:r>
      <w:r>
        <w:rPr>
          <w:rFonts w:ascii="Times New Roman" w:cs="Times New Roman" w:eastAsia="Times New Roman" w:hAnsi="Times New Roman"/>
          <w:sz w:val="21"/>
          <w:szCs w:val="21"/>
          <w:u w:val="single" w:color="auto"/>
          <w:color w:val="auto"/>
        </w:rPr>
        <w:t>Deemed Performance Level</w:t>
      </w:r>
      <w:r>
        <w:rPr>
          <w:rFonts w:ascii="Times New Roman" w:cs="Times New Roman" w:eastAsia="Times New Roman" w:hAnsi="Times New Roman"/>
          <w:sz w:val="21"/>
          <w:szCs w:val="21"/>
          <w:color w:val="auto"/>
        </w:rPr>
        <w:t xml:space="preserve">”). Upon a Change in Control, an Equitized PIPR Unit or a Restricted Share may be converted into an award in respect of stock of, or other equity interests in, the acquirer (or one of its affiliates) based on the value of such Unvested Award (in the case of an Equitized PIPR Unit that is in Parity, which value shall be determined as if exchanged for a Share on a one-for-one basis) at the time of such Change in Control and, following conversion, any such award will be considered an Unvested Award to the extent provided in this Agreement. A Non-Equitized PIPR Unit outstanding as of a Change in Control may either (i) remain outstanding or (ii) be converted into replacement awards in accordance with Section 10(a) of this Agreement and Section 4.03(c)(iv) of the Operating Agreement in respect of stock of, or other equity interests in, the acquirer (or one of its affiliates). Except as otherwise provided in this Section 1(e)(i) and Section 1(e) (ii), following a Change in Control, the Unvested Awards shall remain subject to the Service Condition;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that the Member incurs a Termination of Employment upon or following a Change in Control but prior to the Vesting Date under any of the circumstances described in Section 1(c), the Service Condition shall be deemed to have been satisfied immediately upon such Termination of Employment, and the date of such Termination of Employment shall be deemed to be the Vesting Date for purposes of such Unvested Awards (and any related Unvested Dividend Amount (as defined in Section 6 of this Agreement)). Furthermore, in the event that the Member incurs a Termination of Employment under any of the circumstances described in Section 1(c) prior to the Vesting Date and prior to a Change in Control, upon a Change in Control, the date of the Change in Control shall be deemed to be the Vesting Date for purposes of any Unvested Awards (and any related Unvested Dividend Amount). Notwithstanding the forgoing, solely to the extent required to avoid taxation and penalties under Section 409A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the Unvested Awards (and any related Unvested Dividend Amount) shall be settled no later than March 15th of the calendar year (or, if applicable, two and one-half months after the end of the applicable service recipient’s fiscal year) following the later of (i) the calendar year (or fiscal year, as applicable) in which the Change in Control occurs and (ii) the calendar year (or fiscal year, as applicable) in which the Unvested Awards (and any related Unvested Dividend Amount) are no longer subject to a “substantial risk of forfeiture” within the meaning of Section 409A of the Code. In the event of settlement of any Unvested Awards (and any related Unvested Dividend Amount) prior to the Vesting Date (or deemed Vesting Date) in accordance with the immediately preceding sentence, a portion of the Shares (or acquirer shares) may be sold pursuant to Section 1(e)(iv) below, and the remainder of the Unvested Award (and any related Unvested Dividend Amount) will remain forfeitable until the Vesting Date (or deemed Vesting Date).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204470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112" w:right="259" w:bottom="1440" w:gutter="0" w:footer="0" w:header="0"/>
        </w:sectPr>
      </w:pPr>
    </w:p>
    <w:bookmarkStart w:id="76" w:name="page77"/>
    <w:bookmarkEnd w:id="76"/>
    <w:p>
      <w:pPr>
        <w:ind w:left="-20" w:right="20" w:firstLine="885"/>
        <w:spacing w:after="0" w:line="233" w:lineRule="auto"/>
        <w:tabs>
          <w:tab w:leader="none" w:pos="117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in the event of a Change in Control prior to the Vesting Date, unless (A) either (1) the Unvested Awards remain outstanding following the Change in Control or (2) provision is made in connection with the Change in Control for assumption of Unvested Awards or substitution of such Unvested Awards for new awards covering equity interests in a successor entity, with appropriate adjustments to the number of Unvested Awards, as determined by the Committee (as defined in the Plan) in accordance with Section 1(e)(i) of this Agreement and Section 4.03(c)(iv) of the Operating Agreement, prior to the Change in Control pursuant to Section 3(b)(ii) of the Plan and (B) the material terms and conditions of such Unvested Awards as in effect immediately prior to the Change in Control are preserved following the Change in Control (including, without limitation, with respect to the vesting schedule, the intrinsic value of the Unvested Awards (or similar potential fair value in accordance with Section 10(a) of this Agreement and Section 4.03(c)(iv) of the Operating Agreement, in the case of a Non-Equitized PIPR Unit) and transferability of the Unvested Awards (and interests into which the Unvested Awards may be converted or exchanged) prior to and following the Change in Control), the Service Condition shall be deemed satisfied and the Performance Conditions shall be deemed satisfied at the Deemed Performance Level immediately upon such Change in Control, and the date of the Change in Control shall be deemed to be the Vesting Date for purposes of such Unvested Awards (and any related Unvested Dividend Amount).</w:t>
      </w:r>
    </w:p>
    <w:p>
      <w:pPr>
        <w:spacing w:after="0" w:line="181" w:lineRule="exact"/>
        <w:rPr>
          <w:rFonts w:ascii="Times New Roman" w:cs="Times New Roman" w:eastAsia="Times New Roman" w:hAnsi="Times New Roman"/>
          <w:sz w:val="22"/>
          <w:szCs w:val="22"/>
          <w:color w:val="auto"/>
        </w:rPr>
      </w:pPr>
    </w:p>
    <w:p>
      <w:pPr>
        <w:ind w:left="-20" w:firstLine="885"/>
        <w:spacing w:after="0" w:line="238" w:lineRule="auto"/>
        <w:tabs>
          <w:tab w:leader="none" w:pos="123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10(a) of the Plan, except as set forth in Section 1(e)(ii), in the event that the Member incurs a Termination of Employment upon or following a Change in Control but prior to the Vesting Date, under any circumstances other than those described in Section 1(c) or this Section 1(e) (including a voluntary resignation if the individual is not retirement eligible (in accordance with the Company’s policies as in effect prior to the Change in Control) or a termination for Cause), then any outstanding Unvested Awards shall be immediately forfeited.</w:t>
      </w:r>
    </w:p>
    <w:p>
      <w:pPr>
        <w:spacing w:after="0" w:line="177" w:lineRule="exact"/>
        <w:rPr>
          <w:rFonts w:ascii="Times New Roman" w:cs="Times New Roman" w:eastAsia="Times New Roman" w:hAnsi="Times New Roman"/>
          <w:sz w:val="22"/>
          <w:szCs w:val="22"/>
          <w:color w:val="auto"/>
        </w:rPr>
      </w:pPr>
    </w:p>
    <w:p>
      <w:pPr>
        <w:ind w:left="-20" w:right="320" w:firstLine="885"/>
        <w:spacing w:after="0" w:line="236" w:lineRule="auto"/>
        <w:tabs>
          <w:tab w:leader="none" w:pos="122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conversion, assumption or substitution of the PIPR Units in connection with a Change in Control would result in the Member incurring tax liability with respect to such PIPR Units, subject to applicable law and any policies of the Company or any successor that impose trading restrictions (such as blackout periods), the Member shall be permitted to sell the number of Shares (or acquirer shares) subject to the replacement award that the Company determines to be necessary to satisfy the Member’s tax liability incurred in connection with such exchange. Any such Shares (or acquirer shares) that the Member is entitled to sell pursuant to this Section 1(e)(iv) will no longer be considered Unvested Awards.</w:t>
      </w:r>
    </w:p>
    <w:p>
      <w:pPr>
        <w:spacing w:after="0" w:line="178" w:lineRule="exact"/>
        <w:rPr>
          <w:rFonts w:ascii="Times New Roman" w:cs="Times New Roman" w:eastAsia="Times New Roman" w:hAnsi="Times New Roman"/>
          <w:sz w:val="22"/>
          <w:szCs w:val="22"/>
          <w:color w:val="auto"/>
        </w:rPr>
      </w:pPr>
    </w:p>
    <w:p>
      <w:pPr>
        <w:ind w:left="2020" w:hanging="277"/>
        <w:spacing w:after="0"/>
        <w:tabs>
          <w:tab w:leader="none" w:pos="2020"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Capital.</w:t>
      </w:r>
    </w:p>
    <w:p>
      <w:pPr>
        <w:spacing w:after="0" w:line="210" w:lineRule="exact"/>
        <w:rPr>
          <w:sz w:val="20"/>
          <w:szCs w:val="20"/>
          <w:color w:val="auto"/>
        </w:rPr>
      </w:pPr>
    </w:p>
    <w:p>
      <w:pPr>
        <w:jc w:val="both"/>
        <w:ind w:left="-20" w:right="300" w:firstLine="885"/>
        <w:spacing w:after="0" w:line="239" w:lineRule="auto"/>
        <w:tabs>
          <w:tab w:leader="none" w:pos="120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Contribution. Each Member of Lazard Group has made or shall be required to make an initial capital contribution to Lazard Group. In the event that the Member fails to make the required capital contribution prior to the date specified by Lazard Group, the PIPR Units will be immediately forfeited and the Member will have no further rights pursuant to this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204470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111" w:right="259" w:bottom="1440" w:gutter="0" w:footer="0" w:header="0"/>
        </w:sectPr>
      </w:pPr>
    </w:p>
    <w:bookmarkStart w:id="77" w:name="page78"/>
    <w:bookmarkEnd w:id="77"/>
    <w:p>
      <w:pPr>
        <w:ind w:left="880"/>
        <w:spacing w:after="0"/>
        <w:rPr>
          <w:sz w:val="20"/>
          <w:szCs w:val="20"/>
          <w:color w:val="auto"/>
        </w:rPr>
      </w:pPr>
      <w:r>
        <w:rPr>
          <w:rFonts w:ascii="Times New Roman" w:cs="Times New Roman" w:eastAsia="Times New Roman" w:hAnsi="Times New Roman"/>
          <w:sz w:val="22"/>
          <w:szCs w:val="22"/>
          <w:color w:val="auto"/>
        </w:rPr>
        <w:t>(b) PIPR Capital Accounts.</w:t>
      </w:r>
    </w:p>
    <w:p>
      <w:pPr>
        <w:spacing w:after="0" w:line="207" w:lineRule="exact"/>
        <w:rPr>
          <w:sz w:val="20"/>
          <w:szCs w:val="20"/>
          <w:color w:val="auto"/>
        </w:rPr>
      </w:pPr>
    </w:p>
    <w:p>
      <w:pPr>
        <w:ind w:right="60" w:firstLine="885"/>
        <w:spacing w:after="0" w:line="255" w:lineRule="auto"/>
        <w:tabs>
          <w:tab w:leader="none" w:pos="113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Grant Date, the Member’s initial PIPR Capital Account shall have a balance of zero, provided that in the event that the Member has made a capital contribution to Lazard Group pursuant to Section 2(a) above, then the Member’s initial PIPR Capital Account balance shall equal the amount of such contribution. The Member shall not be entitled to withdraw or otherwise receive any distributions in respect of, or any return on, any PIPR Capital except as provided in the Operating Agreement.</w:t>
      </w:r>
    </w:p>
    <w:p>
      <w:pPr>
        <w:spacing w:after="0" w:line="162" w:lineRule="exact"/>
        <w:rPr>
          <w:rFonts w:ascii="Times New Roman" w:cs="Times New Roman" w:eastAsia="Times New Roman" w:hAnsi="Times New Roman"/>
          <w:sz w:val="21"/>
          <w:szCs w:val="21"/>
          <w:color w:val="auto"/>
        </w:rPr>
      </w:pPr>
    </w:p>
    <w:p>
      <w:pPr>
        <w:ind w:right="120" w:firstLine="885"/>
        <w:spacing w:after="0" w:line="258" w:lineRule="auto"/>
        <w:tabs>
          <w:tab w:leader="none" w:pos="119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adjustments to the Member’s PIPR Capital Account shall be handled in the manner specified in Section 5.04 of the Operating Agreement (the date of any such adjustment, a “</w:t>
      </w:r>
      <w:r>
        <w:rPr>
          <w:rFonts w:ascii="Times New Roman" w:cs="Times New Roman" w:eastAsia="Times New Roman" w:hAnsi="Times New Roman"/>
          <w:sz w:val="22"/>
          <w:szCs w:val="22"/>
          <w:u w:val="single" w:color="auto"/>
          <w:color w:val="auto"/>
        </w:rPr>
        <w:t>Revaluation Date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3. Achievement of Equitizing Target Capital.</w:t>
      </w:r>
    </w:p>
    <w:p>
      <w:pPr>
        <w:spacing w:after="0" w:line="210" w:lineRule="exact"/>
        <w:rPr>
          <w:sz w:val="20"/>
          <w:szCs w:val="20"/>
          <w:color w:val="auto"/>
        </w:rPr>
      </w:pPr>
    </w:p>
    <w:p>
      <w:pPr>
        <w:ind w:firstLine="877"/>
        <w:spacing w:after="0" w:line="235" w:lineRule="auto"/>
        <w:rPr>
          <w:sz w:val="20"/>
          <w:szCs w:val="20"/>
          <w:color w:val="auto"/>
        </w:rPr>
      </w:pPr>
      <w:r>
        <w:rPr>
          <w:rFonts w:ascii="Times New Roman" w:cs="Times New Roman" w:eastAsia="Times New Roman" w:hAnsi="Times New Roman"/>
          <w:sz w:val="22"/>
          <w:szCs w:val="22"/>
          <w:color w:val="auto"/>
        </w:rPr>
        <w:t xml:space="preserve">Upon any Revaluation Date, PIPR Units shall become Equitized PIPR Units subject to the conditions set forth in the Operating Agreement. Except as otherwise set forth in this Agreement, any Non-Equitized PIPR Unit that does not become an Equitized PIPR Unit on such Revaluation Date shall remain outstanding and shall be eligible to become an Equitized PIPR Unit on each subsequent Revaluation Date in accordance with the Operating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Non-Equitized PIPR Unit that has not become an Equitized PIPR Unit on or prior to the Final Equitization Date shall be automatically forfeited. For the avoidance of doubt, from and after the relevant Equitization Date, the Equitized PIPR Units shall remain Unvested Awards until the Vesting Date.</w:t>
      </w:r>
    </w:p>
    <w:p>
      <w:pPr>
        <w:spacing w:after="0" w:line="180" w:lineRule="exact"/>
        <w:rPr>
          <w:sz w:val="20"/>
          <w:szCs w:val="20"/>
          <w:color w:val="auto"/>
        </w:rPr>
      </w:pPr>
    </w:p>
    <w:p>
      <w:pPr>
        <w:ind w:left="2040" w:hanging="277"/>
        <w:spacing w:after="0"/>
        <w:tabs>
          <w:tab w:leader="none" w:pos="2040"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Exchange of Equitized PIPR Units for Shares.</w:t>
      </w:r>
    </w:p>
    <w:p>
      <w:pPr>
        <w:spacing w:after="0" w:line="210" w:lineRule="exact"/>
        <w:rPr>
          <w:rFonts w:ascii="Times New Roman" w:cs="Times New Roman" w:eastAsia="Times New Roman" w:hAnsi="Times New Roman"/>
          <w:sz w:val="22"/>
          <w:szCs w:val="22"/>
          <w:b w:val="1"/>
          <w:bCs w:val="1"/>
          <w:color w:val="auto"/>
        </w:rPr>
      </w:pPr>
    </w:p>
    <w:p>
      <w:pPr>
        <w:ind w:right="20" w:firstLine="885"/>
        <w:spacing w:after="0" w:line="251" w:lineRule="auto"/>
        <w:tabs>
          <w:tab w:leader="none" w:pos="122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of the Vesting Date, the Member shall have the right to exchange all of the Member’s Equitized PIPR Units that are Exchangeable PIPR Units for Shares at such times, on the terms, and subject to the conditions set forth in Section 7.03 of the Operating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in Section 7.03(a) of the Operating Agreement to the contrary, in no event shall Lazard Group be permitted to defer an exchange of the Member’s Exchangeable PIPR Units if the Member is an “officer” within the meaning of Section 16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right="140" w:firstLine="885"/>
        <w:spacing w:after="0" w:line="236" w:lineRule="auto"/>
        <w:tabs>
          <w:tab w:leader="none" w:pos="123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right to require the exchange of any or all Equitized PIPR Units that the Member has received pursuant to this Agreement for Shares in accordance with Section 7.03 of the Operating Agreement. In the event that the Committee requires any such exchange prior to the Vesting Date, then the Shares that the Member receives will be considered an Unvested Award until the Vesting Date and will be subject to the forfeiture provisions in Section 1 of this</w:t>
      </w:r>
    </w:p>
    <w:p>
      <w:pPr>
        <w:spacing w:after="0" w:line="1" w:lineRule="exact"/>
        <w:rPr>
          <w:rFonts w:ascii="Times New Roman" w:cs="Times New Roman" w:eastAsia="Times New Roman" w:hAnsi="Times New Roman"/>
          <w:sz w:val="22"/>
          <w:szCs w:val="22"/>
          <w:color w:val="auto"/>
        </w:rPr>
      </w:pPr>
    </w:p>
    <w:p>
      <w:pPr>
        <w:ind w:right="2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Agreement. Notwithstanding anything in this Agreement, the Plan or the Operating Agreement to the contrary, in the event that the Committee requires an exchange of Equitized PIPR Units for Shares, subject to Section 7.03(f) of the Operating Agreement, applicable law and any Company policies that impose trading restrictions (such as blackout periods), the Shares will be subject to the same vesting conditions that were applicable to the Equitized PIPR Units;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Member shall be permitted to sell the number of Shares that the Company determines to be necessary to satisfy the Member’s tax liability incurred with respect to such Shares and in connection with such exchange. Any such Shares that the Member is entitled to sell pursuant to this Section 4(b) will no longer be considered Unvested Awards.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8" w:name="page79"/>
    <w:bookmarkEnd w:id="78"/>
    <w:p>
      <w:pPr>
        <w:ind w:left="2040" w:hanging="277"/>
        <w:spacing w:after="0"/>
        <w:tabs>
          <w:tab w:leader="none" w:pos="2040" w:val="left"/>
        </w:tabs>
        <w:numPr>
          <w:ilvl w:val="1"/>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w:t>
      </w:r>
    </w:p>
    <w:p>
      <w:pPr>
        <w:spacing w:after="0" w:line="210" w:lineRule="exact"/>
        <w:rPr>
          <w:rFonts w:ascii="Times New Roman" w:cs="Times New Roman" w:eastAsia="Times New Roman" w:hAnsi="Times New Roman"/>
          <w:sz w:val="22"/>
          <w:szCs w:val="22"/>
          <w:b w:val="1"/>
          <w:bCs w:val="1"/>
          <w:color w:val="auto"/>
        </w:rPr>
      </w:pPr>
    </w:p>
    <w:p>
      <w:pPr>
        <w:ind w:right="120" w:firstLine="885"/>
        <w:spacing w:after="0" w:line="235" w:lineRule="auto"/>
        <w:tabs>
          <w:tab w:leader="none" w:pos="122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by the Committee, the PIPR Units shall not be transferrable by the Member except as set forth in Section 7.02(c) of the Operating Agreement, and the Restricted Shares shall not be transferable by the Member by means of sale, assignment, exchange, encumbrance, pledge, hedge or otherwise, except (i) upon the death of the Member, a transfer by operation of law to the Member’s estate, direct descendants or spouse or (ii) to an affiliate of the Company in exchange solely for affiliate equity interests. In the event of any transfer pursuant Section 7.02(c) of the Operating Agreement or any transfer pursuant to the preceding clause (i) or (ii) of this Section 5(a), any obligations of the Member to claim tax benefits or to refund amounts to the Company or Lazard Group shall be binding upon the relevant Transferee.</w:t>
      </w:r>
    </w:p>
    <w:p>
      <w:pPr>
        <w:spacing w:after="0" w:line="183" w:lineRule="exact"/>
        <w:rPr>
          <w:rFonts w:ascii="Times New Roman" w:cs="Times New Roman" w:eastAsia="Times New Roman" w:hAnsi="Times New Roman"/>
          <w:sz w:val="22"/>
          <w:szCs w:val="22"/>
          <w:color w:val="auto"/>
        </w:rPr>
      </w:pPr>
    </w:p>
    <w:p>
      <w:pPr>
        <w:ind w:right="180" w:firstLine="885"/>
        <w:spacing w:after="0" w:line="255" w:lineRule="auto"/>
        <w:tabs>
          <w:tab w:leader="none" w:pos="1237"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Unvested Awards that are Shares shall be evidenced in such manner as the Committee may deem appropriate, including book-entry registration or issuance of one or more stock certificates. Any certificate or book entry credit delivered or entered in respect thereof pursuant to Section 4(b) of this Agreement shall be registered in the name of the Member and shall bear an appropriate legend referring to the terms, conditions and restrictions applicable thereto, substantially in the following form:</w:t>
      </w:r>
    </w:p>
    <w:p>
      <w:pPr>
        <w:spacing w:after="0" w:line="162" w:lineRule="exact"/>
        <w:rPr>
          <w:sz w:val="20"/>
          <w:szCs w:val="20"/>
          <w:color w:val="auto"/>
        </w:rPr>
      </w:pPr>
    </w:p>
    <w:p>
      <w:pPr>
        <w:ind w:left="880" w:right="140"/>
        <w:spacing w:after="0" w:line="255" w:lineRule="auto"/>
        <w:rPr>
          <w:sz w:val="20"/>
          <w:szCs w:val="20"/>
          <w:color w:val="auto"/>
        </w:rPr>
      </w:pPr>
      <w:r>
        <w:rPr>
          <w:rFonts w:ascii="Times New Roman" w:cs="Times New Roman" w:eastAsia="Times New Roman" w:hAnsi="Times New Roman"/>
          <w:sz w:val="21"/>
          <w:szCs w:val="21"/>
          <w:color w:val="auto"/>
        </w:rPr>
        <w:t>“The transferability of this certificate (if certificated) and the shares of stock represented hereby is subject to the terms and conditions (including forfeiture) of the Lazard Ltd 2018 Incentive Compensation Plan, the Amended and Restated Operating Agreement of Lazard Group LLC and an Award Agreement, as well as the terms and conditions of applicable law. Copies of such Plan, Operating Agreement and Award Agreement are on file at the offices of Lazard Ltd.”</w:t>
      </w:r>
    </w:p>
    <w:p>
      <w:pPr>
        <w:spacing w:after="0" w:line="162"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The Committee is likely to require that the certificates or book entry credits evidencing title of the Restricted Shares be held in custody by the escrow agent (if any) that is designated by the Company (the “</w:t>
      </w:r>
      <w:r>
        <w:rPr>
          <w:rFonts w:ascii="Times New Roman" w:cs="Times New Roman" w:eastAsia="Times New Roman" w:hAnsi="Times New Roman"/>
          <w:sz w:val="22"/>
          <w:szCs w:val="22"/>
          <w:u w:val="single" w:color="auto"/>
          <w:color w:val="auto"/>
        </w:rPr>
        <w:t>Designated Escrow Agent</w:t>
      </w:r>
      <w:r>
        <w:rPr>
          <w:rFonts w:ascii="Times New Roman" w:cs="Times New Roman" w:eastAsia="Times New Roman" w:hAnsi="Times New Roman"/>
          <w:sz w:val="22"/>
          <w:szCs w:val="22"/>
          <w:color w:val="auto"/>
        </w:rPr>
        <w:t>” which, in the absence of any such designation, shall mean the Company) until the restrictions thereon shall have lapsed and that, as a condition of receiving the Restricted Shares, the Member shall have delivered to the Company a stock power, endorsed in blank, relating to such Restricted Shares. If and when the Vesting Date occurs with respect to the Restricted Shares or the Restricted Shares otherwise become vested in accordance with Section 1(c)(i) or 1(e), provided that the Restricted Shares have not been forfeited pursuant to Section 1(b), 1(d) or 1(e)(iii), the legend set forth above shall be removed from the certificates or book entry credits evidencing such Shares within 30 days following such date. Notwithstanding the foregoing, the Designated Escrow Agent shall be entitled to hold the Restricted Shares until the Company shall have received from the Member a duly executed Form W-9 and any other information or completed forms the Company may reasonably require.</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6. Allocations, Distributions and Dividends.</w:t>
      </w:r>
    </w:p>
    <w:p>
      <w:pPr>
        <w:spacing w:after="0" w:line="210" w:lineRule="exact"/>
        <w:rPr>
          <w:sz w:val="20"/>
          <w:szCs w:val="20"/>
          <w:color w:val="auto"/>
        </w:rPr>
      </w:pPr>
    </w:p>
    <w:p>
      <w:pPr>
        <w:ind w:right="120" w:firstLine="877"/>
        <w:spacing w:after="0" w:line="238" w:lineRule="auto"/>
        <w:rPr>
          <w:sz w:val="20"/>
          <w:szCs w:val="20"/>
          <w:color w:val="auto"/>
        </w:rPr>
      </w:pPr>
      <w:r>
        <w:rPr>
          <w:rFonts w:ascii="Times New Roman" w:cs="Times New Roman" w:eastAsia="Times New Roman" w:hAnsi="Times New Roman"/>
          <w:sz w:val="22"/>
          <w:szCs w:val="22"/>
          <w:color w:val="auto"/>
        </w:rPr>
        <w:t>Allocations and distributions with respect to the PIPR Units (including tax distributions) shall be handled in the manner specified in the Operating Agreement. In the case of any Restricted Shares, any dividends or other distributions that are paid on such Restricted Shares prior to the Vesting Date (whether payable in cash or in kind) will be held by the Designated Escrow Agent and shall vest and be paid (less any taxes required to be withheld) at the time the corresponding Restricted Shares vest (it being understood that the provisions of this sentence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1"/>
          <w:szCs w:val="21"/>
          <w:color w:val="auto"/>
        </w:rPr>
        <w:t>shall not apply to any extraordinary dividends or distributions, which are addressed in Section 9 of this Agreement and Section 3(c)</w:t>
      </w:r>
    </w:p>
    <w:p>
      <w:pPr>
        <w:spacing w:after="0" w:line="26" w:lineRule="exact"/>
        <w:rPr>
          <w:sz w:val="20"/>
          <w:szCs w:val="20"/>
          <w:color w:val="auto"/>
        </w:rPr>
      </w:pPr>
    </w:p>
    <w:p>
      <w:pPr>
        <w:ind w:firstLine="8"/>
        <w:spacing w:after="0" w:line="241" w:lineRule="auto"/>
        <w:tabs>
          <w:tab w:leader="none" w:pos="25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Plan). In the event that any Restricted Shares are forfeited in accordance with Section 1(b), 1(d) or 1(e)(iii), all dividends held by the Designated Escrow Agent with respect to such Restricted Shares shall also be forfeited. The amount of any distributions credited under Section 6.03 of the Operating Agreement to the Member’s PIPR Units prior to the Vesting Date and any amounts that are held by the Designated Escrow Agent, are referred to herein as “</w:t>
      </w:r>
      <w:r>
        <w:rPr>
          <w:rFonts w:ascii="Times New Roman" w:cs="Times New Roman" w:eastAsia="Times New Roman" w:hAnsi="Times New Roman"/>
          <w:sz w:val="21"/>
          <w:szCs w:val="21"/>
          <w:u w:val="single" w:color="auto"/>
          <w:color w:val="auto"/>
        </w:rPr>
        <w:t>Unvested Dividend Amounts</w:t>
      </w:r>
      <w:r>
        <w:rPr>
          <w:rFonts w:ascii="Times New Roman" w:cs="Times New Roman" w:eastAsia="Times New Roman" w:hAnsi="Times New Roman"/>
          <w:sz w:val="21"/>
          <w:szCs w:val="21"/>
          <w:color w:val="auto"/>
        </w:rPr>
        <w:t>”. Any such Unvested Dividend Amounts shall be settled through a cash payment (less any prior tax distributions pursuant to Section 6.02 of the Operating Agreement in respect of Unvested Dividend Amounts) to the Member upon the Member’s satisfaction of the Service Condition and the Performance Conditions applicable to the Unvested Awards to which such Unvested Dividend Amounts</w:t>
      </w:r>
    </w:p>
    <w:p>
      <w:pPr>
        <w:spacing w:after="0" w:line="4" w:lineRule="exact"/>
        <w:rPr>
          <w:rFonts w:ascii="Times New Roman" w:cs="Times New Roman" w:eastAsia="Times New Roman" w:hAnsi="Times New Roman"/>
          <w:sz w:val="21"/>
          <w:szCs w:val="21"/>
          <w:color w:val="auto"/>
        </w:rPr>
      </w:pPr>
    </w:p>
    <w:p>
      <w:pPr>
        <w:ind w:right="8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Upon the forfeiture of an Unvested Award pursuant to the terms of this Agreement, all Unvested Dividend Amounts (including the amount of cash tax distributions previously paid pursuant to Section 6.02 of the Operating Agreement) allocated to the Member’s forfeited PIPR Units and any amounts that are held by the Designated Escrow Agent with respect to such Unvested Award, shall also be forfeited. The Member’s PIPR Capital that has been forfeited, canceled or terminated shall be treated as provided in Section 4.03(c)(iv) of the Operating Agreement, as applicable. From and after the Vesting Date, the rights of the Member to receive distributions with respect to any PIPR Unit shall be governed by the Operating Agreement, and the rights of the Member to receive distributions with respect to the Shares shall be the same as regular shareholders of the Company.</w:t>
      </w:r>
    </w:p>
    <w:p>
      <w:pPr>
        <w:spacing w:after="0" w:line="171" w:lineRule="exact"/>
        <w:rPr>
          <w:rFonts w:ascii="Times New Roman" w:cs="Times New Roman" w:eastAsia="Times New Roman" w:hAnsi="Times New Roman"/>
          <w:sz w:val="21"/>
          <w:szCs w:val="21"/>
          <w:color w:val="auto"/>
        </w:rPr>
      </w:pPr>
    </w:p>
    <w:p>
      <w:pPr>
        <w:ind w:left="2040" w:hanging="277"/>
        <w:spacing w:after="0"/>
        <w:tabs>
          <w:tab w:leader="none" w:pos="2040" w:val="left"/>
        </w:tabs>
        <w:numPr>
          <w:ilvl w:val="1"/>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Distributions.</w:t>
      </w:r>
    </w:p>
    <w:p>
      <w:pPr>
        <w:spacing w:after="0" w:line="210" w:lineRule="exact"/>
        <w:rPr>
          <w:sz w:val="20"/>
          <w:szCs w:val="20"/>
          <w:color w:val="auto"/>
        </w:rPr>
      </w:pPr>
    </w:p>
    <w:p>
      <w:pPr>
        <w:ind w:right="200" w:firstLine="877"/>
        <w:spacing w:after="0" w:line="248" w:lineRule="auto"/>
        <w:rPr>
          <w:sz w:val="20"/>
          <w:szCs w:val="20"/>
          <w:color w:val="auto"/>
        </w:rPr>
      </w:pPr>
      <w:r>
        <w:rPr>
          <w:rFonts w:ascii="Times New Roman" w:cs="Times New Roman" w:eastAsia="Times New Roman" w:hAnsi="Times New Roman"/>
          <w:sz w:val="21"/>
          <w:szCs w:val="21"/>
          <w:color w:val="auto"/>
        </w:rPr>
        <w:t>Tax distributions in respect of the PIPR Units shall be handled in the manner specified in Section 6.02 of the Operating Agreement. Notwithstanding anything in Section 6.02 of the Operating Agreement, if the Member forfeits any Unvested Awards because the Member is not permitted to retire pursuant to Section 1(c)(ii) above and resigns prior to the Vesting Date or is terminated by the Company for Cause and if the Member is not entitled to a sufficient amount of distributions pursuant to Section 6.02 or Section 6.03 of the Operating Agreement, then, subject to the limitations set forth in Section 6.02 of the Operating Agreement, Lazard Group shall be permitted to require the Member to repay, and the Member agrees to repay and shall be obligated to repay, Lazard Group the amount of such advance not later than 30 days following such forfeiture.</w:t>
      </w:r>
    </w:p>
    <w:p>
      <w:pPr>
        <w:spacing w:after="0" w:line="16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8. Section 83(b) Election.</w:t>
      </w:r>
    </w:p>
    <w:p>
      <w:pPr>
        <w:spacing w:after="0" w:line="210"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The Member agrees that the Member will make a protective election to be taxed immediately on the value of the PIPR Interest on the Grant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Member shall have no liability to the Company if the Member fails to comply with this Section 8. In order to do so, the Member must file an election with the Internal Revenue Service pursuant to Section 83(b) of the Code, and the applicable Treasury Regulations thereunder (a “</w:t>
      </w:r>
      <w:r>
        <w:rPr>
          <w:rFonts w:ascii="Times New Roman" w:cs="Times New Roman" w:eastAsia="Times New Roman" w:hAnsi="Times New Roman"/>
          <w:sz w:val="22"/>
          <w:szCs w:val="22"/>
          <w:u w:val="single" w:color="auto"/>
          <w:color w:val="auto"/>
        </w:rPr>
        <w:t>Section 83(b) Election</w:t>
      </w:r>
      <w:r>
        <w:rPr>
          <w:rFonts w:ascii="Times New Roman" w:cs="Times New Roman" w:eastAsia="Times New Roman" w:hAnsi="Times New Roman"/>
          <w:sz w:val="22"/>
          <w:szCs w:val="22"/>
          <w:color w:val="auto"/>
        </w:rPr>
        <w:t>”) with respect to the PIPR Interest within 30 days following the Grant Date. The Member further agrees that, in the event that the Member receives Restricted Shares pursuant to Section 4(b) of this Agreement, the Member will make a Section 83(b) Election with respect to such Restricted Shares within 30 days following the date the Member receives such Restricted Shares. The Member will provide a copy of each such Section 83(b) Election to Lazard Group not later than ten (10) days after filing the election with the Internal Revenue Service or other governmental authority.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0" w:name="page81"/>
    <w:bookmarkEnd w:id="80"/>
    <w:p>
      <w:pPr>
        <w:ind w:left="2020" w:hanging="277"/>
        <w:spacing w:after="0"/>
        <w:tabs>
          <w:tab w:leader="none" w:pos="2020"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Transfer Taxes, Fees and Other Expenses.</w:t>
      </w:r>
    </w:p>
    <w:p>
      <w:pPr>
        <w:spacing w:after="0" w:line="210" w:lineRule="exact"/>
        <w:rPr>
          <w:rFonts w:ascii="Times New Roman" w:cs="Times New Roman" w:eastAsia="Times New Roman" w:hAnsi="Times New Roman"/>
          <w:sz w:val="22"/>
          <w:szCs w:val="22"/>
          <w:b w:val="1"/>
          <w:bCs w:val="1"/>
          <w:color w:val="auto"/>
        </w:rPr>
      </w:pPr>
    </w:p>
    <w:p>
      <w:pPr>
        <w:ind w:left="-20" w:right="240" w:firstLine="885"/>
        <w:spacing w:after="0" w:line="239" w:lineRule="auto"/>
        <w:tabs>
          <w:tab w:leader="none" w:pos="120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or to cause its applicable Affiliate to pay, any and all original issue taxes and stock transfer taxes that may be imposed on the delivery of any PIPR Units or Shares (including any Restricted Shares) pursuant to this Agreement, together with any and all other fees and expenses necessarily incurred by the Company or any of its Affiliates in connection therewith.</w:t>
      </w:r>
    </w:p>
    <w:p>
      <w:pPr>
        <w:spacing w:after="0" w:line="180" w:lineRule="exact"/>
        <w:rPr>
          <w:rFonts w:ascii="Times New Roman" w:cs="Times New Roman" w:eastAsia="Times New Roman" w:hAnsi="Times New Roman"/>
          <w:sz w:val="22"/>
          <w:szCs w:val="22"/>
          <w:color w:val="auto"/>
        </w:rPr>
      </w:pPr>
    </w:p>
    <w:p>
      <w:pPr>
        <w:ind w:left="-20" w:right="20" w:firstLine="885"/>
        <w:spacing w:after="0" w:line="246" w:lineRule="auto"/>
        <w:tabs>
          <w:tab w:leader="none" w:pos="121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or its applicable Affiliate, pays any taxes (including any related interest, penalties or additions to tax) in respect of PIPR Units or Shares (including any Restricted Shares) on the Member’s behalf, (i) except if the Member is an “executive officer” (within the meaning of Rule 3b-7 under the Exchange Act), as may be required to comply with the Sarbanes-Oxley Act, if requested by Lazard Group, the Member agrees to reimburse and shall reimburse Lazard Group for such taxes within 30 days following the Company’s request or (ii) if such taxes are paid by Lazard Group, Lazard Group may treat any such taxes as an advance to the Member to be repaid by reducing the amount of distributions that would otherwise be made to the Member under this Agreement and the Operating Agreement; provided that the Member shall be treated as receiving such distributions, unreduced by this Section 9, for all other purposes of this Agreement and the Operating Agreement. For the avoidance of doubt, all determinations of the Managing Members in accordance with Section 5.05 of the Operating Agreement, the Tax Representative and Lazard Group in accordance with Section 5.07 of the Operating Agreement shall be binding on the Member and any Transferee.</w:t>
      </w:r>
    </w:p>
    <w:p>
      <w:pPr>
        <w:spacing w:after="0" w:line="171" w:lineRule="exact"/>
        <w:rPr>
          <w:rFonts w:ascii="Times New Roman" w:cs="Times New Roman" w:eastAsia="Times New Roman" w:hAnsi="Times New Roman"/>
          <w:sz w:val="21"/>
          <w:szCs w:val="21"/>
          <w:color w:val="auto"/>
        </w:rPr>
      </w:pPr>
    </w:p>
    <w:p>
      <w:pPr>
        <w:ind w:left="-20" w:firstLine="885"/>
        <w:spacing w:after="0" w:line="239" w:lineRule="auto"/>
        <w:tabs>
          <w:tab w:leader="none" w:pos="120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9(a), Section 9(b) and Section 13, the Member shall be solely responsible for the payment of any taxes in respect of PIPR Units or Shares (including any Restricted Shares) (including any related interest, penalties or additions to tax) and shall hold the Company and its Affiliates and their respective directors, officers and employees harmless from any liability arising from the Member’s failure to comply with the foregoing provisions of this Section 9(c).</w:t>
      </w:r>
    </w:p>
    <w:p>
      <w:pPr>
        <w:spacing w:after="0" w:line="176" w:lineRule="exact"/>
        <w:rPr>
          <w:rFonts w:ascii="Times New Roman" w:cs="Times New Roman" w:eastAsia="Times New Roman" w:hAnsi="Times New Roman"/>
          <w:sz w:val="22"/>
          <w:szCs w:val="22"/>
          <w:color w:val="auto"/>
        </w:rPr>
      </w:pPr>
    </w:p>
    <w:p>
      <w:pPr>
        <w:ind w:left="2120" w:hanging="377"/>
        <w:spacing w:after="0"/>
        <w:tabs>
          <w:tab w:leader="none" w:pos="2120" w:val="left"/>
        </w:tabs>
        <w:numPr>
          <w:ilvl w:val="1"/>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Unvested Awards; Adjustment Provisions.</w:t>
      </w:r>
    </w:p>
    <w:p>
      <w:pPr>
        <w:spacing w:after="0" w:line="210" w:lineRule="exact"/>
        <w:rPr>
          <w:sz w:val="20"/>
          <w:szCs w:val="20"/>
          <w:color w:val="auto"/>
        </w:rPr>
      </w:pPr>
    </w:p>
    <w:p>
      <w:pPr>
        <w:ind w:left="-20" w:right="140" w:firstLine="885"/>
        <w:spacing w:after="0" w:line="236" w:lineRule="auto"/>
        <w:tabs>
          <w:tab w:leader="none" w:pos="120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right to terminate any Non-Equitized PIPR Units on the terms and subject to the conditions set forth in Section 4.03(c)(iv) of the Operating Agreement. For purposes of Section 4.03(c)(iv) of the Operating Agreement, “replacement awards” for the terminated Non-Equitized PIPR Units shall constitute restricted stock units in respect of Shares (or acquirer shares) or Restricted Shares (or restricted stock of an acquirer) or any other stock or cash-based Award (as defined in the Plan), which in the case of replacement awards with respect to Unvested Awards would have the same remaining vesting conditions as the applicable Non-Equitized PIPR Units.</w:t>
      </w:r>
    </w:p>
    <w:p>
      <w:pPr>
        <w:spacing w:after="0" w:line="182" w:lineRule="exact"/>
        <w:rPr>
          <w:rFonts w:ascii="Times New Roman" w:cs="Times New Roman" w:eastAsia="Times New Roman" w:hAnsi="Times New Roman"/>
          <w:sz w:val="22"/>
          <w:szCs w:val="22"/>
          <w:color w:val="auto"/>
        </w:rPr>
      </w:pPr>
    </w:p>
    <w:p>
      <w:pPr>
        <w:ind w:left="-20" w:right="220" w:firstLine="885"/>
        <w:spacing w:after="0" w:line="238" w:lineRule="auto"/>
        <w:tabs>
          <w:tab w:leader="none" w:pos="121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extraordinary dividend or other extraordinary distribution (whether in the form of cash, Shares, other securities or other property), recapitalization, rights offering, stock split, reverse stock split, split-up or spin-off or any other event that constitutes an “equity restructuring” within the meaning of Topic 718 in the FASB Accounting Standards Codification with respect to Shares, the Committee shall, in the manner determined appropriate or desirable by the Committee, adjust any outstanding PIPR Units.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204470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108" w:right="239" w:bottom="1440" w:gutter="0" w:footer="0" w:header="0"/>
        </w:sectPr>
      </w:pPr>
    </w:p>
    <w:bookmarkStart w:id="81" w:name="page82"/>
    <w:bookmarkEnd w:id="81"/>
    <w:p>
      <w:pPr>
        <w:ind w:left="1760"/>
        <w:spacing w:after="0"/>
        <w:rPr>
          <w:sz w:val="20"/>
          <w:szCs w:val="20"/>
          <w:color w:val="auto"/>
        </w:rPr>
      </w:pPr>
      <w:r>
        <w:rPr>
          <w:rFonts w:ascii="Times New Roman" w:cs="Times New Roman" w:eastAsia="Times New Roman" w:hAnsi="Times New Roman"/>
          <w:sz w:val="22"/>
          <w:szCs w:val="22"/>
          <w:b w:val="1"/>
          <w:bCs w:val="1"/>
          <w:color w:val="auto"/>
        </w:rPr>
        <w:t>11. Effect of Agreement.</w:t>
      </w:r>
    </w:p>
    <w:p>
      <w:pPr>
        <w:spacing w:after="0" w:line="211" w:lineRule="exact"/>
        <w:rPr>
          <w:sz w:val="20"/>
          <w:szCs w:val="20"/>
          <w:color w:val="auto"/>
        </w:rPr>
      </w:pPr>
    </w:p>
    <w:p>
      <w:pPr>
        <w:ind w:right="40" w:firstLine="877"/>
        <w:spacing w:after="0" w:line="235" w:lineRule="auto"/>
        <w:rPr>
          <w:sz w:val="20"/>
          <w:szCs w:val="20"/>
          <w:color w:val="auto"/>
        </w:rPr>
      </w:pPr>
      <w:r>
        <w:rPr>
          <w:rFonts w:ascii="Times New Roman" w:cs="Times New Roman" w:eastAsia="Times New Roman" w:hAnsi="Times New Roman"/>
          <w:sz w:val="22"/>
          <w:szCs w:val="22"/>
          <w:color w:val="auto"/>
        </w:rPr>
        <w:t>Except as otherwise provided hereunder, this Agreement shall be binding upon and shall inure to the benefit of any successor or successors of the Company or Lazard Group. The invalidity or enforceability of any provision of this Agreement shall not affect the validity or enforceability of any other provision of this Agreement. Nothing in this Agreement or the Plan shall confer upon the Member any right to continue in the employ of the Company or any of its Affiliates or interfere in any way with the right of the Company or any such Affiliates to terminate the Member’s service at any time. Until Shares are actually delivered to the Member upon exchange of Equitized PIPR Units for Shares, the Member shall not have any rights as a shareholder, except as specifically provided herein.</w:t>
      </w:r>
    </w:p>
    <w:p>
      <w:pPr>
        <w:spacing w:after="0" w:line="180" w:lineRule="exact"/>
        <w:rPr>
          <w:sz w:val="20"/>
          <w:szCs w:val="20"/>
          <w:color w:val="auto"/>
        </w:rPr>
      </w:pPr>
    </w:p>
    <w:p>
      <w:pPr>
        <w:ind w:left="2140" w:hanging="377"/>
        <w:spacing w:after="0"/>
        <w:tabs>
          <w:tab w:leader="none" w:pos="2140" w:val="left"/>
        </w:tabs>
        <w:numPr>
          <w:ilvl w:val="1"/>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Laws Applicable to Construction; Consent to Jurisdiction.</w:t>
      </w:r>
    </w:p>
    <w:p>
      <w:pPr>
        <w:spacing w:after="0" w:line="210" w:lineRule="exact"/>
        <w:rPr>
          <w:rFonts w:ascii="Times New Roman" w:cs="Times New Roman" w:eastAsia="Times New Roman" w:hAnsi="Times New Roman"/>
          <w:sz w:val="22"/>
          <w:szCs w:val="22"/>
          <w:b w:val="1"/>
          <w:bCs w:val="1"/>
          <w:color w:val="auto"/>
        </w:rPr>
      </w:pPr>
    </w:p>
    <w:p>
      <w:pPr>
        <w:ind w:firstLine="885"/>
        <w:spacing w:after="0" w:line="235" w:lineRule="auto"/>
        <w:tabs>
          <w:tab w:leader="none" w:pos="122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Operating Agreement to the contrary, this Agreement shall be governed by and construed in accordance with the laws of the State of New York (United States of America), without regard to principles of conflict of laws that could cause the application of the law of any jurisdiction other than the State of New York. In addition to the terms and conditions set forth in this Agreement and the Restrictive Covenants, the Unvested Awards are subject to the terms and conditions of the Plan, which is hereby incorporated by reference, and the PIPR Units are subject to the Operating Agreement, which is hereby incorporated by reference. By signing this Agreement, the Member agrees to and is bound by the Plan, the Operating Agreement and the Restrictive Covenants.</w:t>
      </w:r>
    </w:p>
    <w:p>
      <w:pPr>
        <w:spacing w:after="0" w:line="183" w:lineRule="exact"/>
        <w:rPr>
          <w:rFonts w:ascii="Times New Roman" w:cs="Times New Roman" w:eastAsia="Times New Roman" w:hAnsi="Times New Roman"/>
          <w:sz w:val="22"/>
          <w:szCs w:val="22"/>
          <w:color w:val="auto"/>
        </w:rPr>
      </w:pPr>
    </w:p>
    <w:p>
      <w:pPr>
        <w:ind w:right="80" w:firstLine="885"/>
        <w:spacing w:after="0" w:line="236" w:lineRule="auto"/>
        <w:tabs>
          <w:tab w:leader="none" w:pos="123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Operating Agreement to the contrary, subject to the provisions of Section 12(c), any controversy or claim between the Member and the Company, Lazard Group or any of its or their Affiliates arising out of or relating to or concerning the provisions of this Agreement or the Plan shall be finally settled by arbitration in New York City before, and in accordance with the rules then obtaining of,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or, if FINRA declines to arbitrate the matter, the American Arbitration Association (the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in accordance with the commercial arbitration rules of the AAA.</w:t>
      </w:r>
    </w:p>
    <w:p>
      <w:pPr>
        <w:spacing w:after="0" w:line="182" w:lineRule="exact"/>
        <w:rPr>
          <w:rFonts w:ascii="Times New Roman" w:cs="Times New Roman" w:eastAsia="Times New Roman" w:hAnsi="Times New Roman"/>
          <w:sz w:val="22"/>
          <w:szCs w:val="22"/>
          <w:color w:val="auto"/>
        </w:rPr>
      </w:pPr>
    </w:p>
    <w:p>
      <w:pPr>
        <w:ind w:right="40" w:firstLine="885"/>
        <w:spacing w:after="0" w:line="234" w:lineRule="auto"/>
        <w:tabs>
          <w:tab w:leader="none" w:pos="122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12(b), and in addition to its right to submit any dispute or controversy to arbitration in accordance with Section 12(b), the Company or Lazard Group may submit any dispute or controversy hereunder to arbitration in accordance with Section 10.05 of the Operating Agreement or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12(c), the Member (i) expressly consents to the application of Section 12(d)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the Company as the Member’s agent for service of process in connection with any such action or proceeding, who shall promptly advise the Member of any such service of process by notifying the Member at the last address on file in the Company’s records.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2" w:name="page83"/>
    <w:bookmarkEnd w:id="82"/>
    <w:p>
      <w:pPr>
        <w:ind w:right="40" w:firstLine="885"/>
        <w:spacing w:after="0" w:line="245" w:lineRule="auto"/>
        <w:tabs>
          <w:tab w:leader="none" w:pos="1237"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 Operating Agreement to the contrary, the Member, the Company and Lazard Group hereby irrevocably submit to the exclusive jurisdiction of any state or federal court located in the City of New York over any suit, action, or proceeding arising out of, relating to or in connection with this Agreement or the Plan that is not otherwise required to be arbitrated or resolved in accordance with the provisions of Section 12(b). This includes any suit, action or proceeding to compel arbitration or to enforce an arbitration award. The Member, the Company and Lazard Group acknowledge that the forum designated by this Section 12(d) has a reasonable relation to this Agreement, and to the Member’s relationship to the</w:t>
      </w:r>
    </w:p>
    <w:p>
      <w:pPr>
        <w:spacing w:after="0" w:line="3" w:lineRule="exact"/>
        <w:rPr>
          <w:rFonts w:ascii="Times New Roman" w:cs="Times New Roman" w:eastAsia="Times New Roman" w:hAnsi="Times New Roman"/>
          <w:sz w:val="21"/>
          <w:szCs w:val="21"/>
          <w:color w:val="auto"/>
        </w:rPr>
      </w:pPr>
    </w:p>
    <w:p>
      <w:pPr>
        <w:ind w:right="2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Notwithstanding the foregoing, nothing herein shall preclude the Company, Lazard Group or the Member from bringing any action or proceeding in any other court for the purpose of enforcing the provisions of Section 12(a) or this Section 12(d). The agreement of the Company, Lazard Group and the Member as to forum is independent of the law that may be applied in the action, and the Company, Lazard Group and the Member agree to such forum even if the forum may under applicable law choose to apply non-forum law. The Member, the Company and Lazard Group hereby waive, to the fullest extent permitted by applicable law, any objection which the Member, the Company or Lazard Group now or hereafter may have to personal jurisdiction or to the laying of venue of any such suit, action or proceeding in any court referred to in this Section 12(d). The Member, the Company and Lazard Group undertake not to commence any action arising out of or relating to or in connection with this Agreement in any forum other than a forum described in this Section 12(d), or, to the extent applicable, Section 12(b). The Member, the Company and Lazard Group agree that, to the fullest extent permitted by applicable law, a final and non-appealable judgment in any such suit, action or proceeding in any such court shall be conclusive and binding upon the Member, the Company and Lazard Group, as applicable.</w:t>
      </w:r>
    </w:p>
    <w:p>
      <w:pPr>
        <w:spacing w:after="0" w:line="172" w:lineRule="exact"/>
        <w:rPr>
          <w:rFonts w:ascii="Times New Roman" w:cs="Times New Roman" w:eastAsia="Times New Roman" w:hAnsi="Times New Roman"/>
          <w:sz w:val="21"/>
          <w:szCs w:val="21"/>
          <w:color w:val="auto"/>
        </w:rPr>
      </w:pPr>
    </w:p>
    <w:p>
      <w:pPr>
        <w:ind w:left="2140" w:hanging="377"/>
        <w:spacing w:after="0"/>
        <w:tabs>
          <w:tab w:leader="none" w:pos="2140" w:val="left"/>
        </w:tabs>
        <w:numPr>
          <w:ilvl w:val="1"/>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 of the Code.</w:t>
      </w:r>
    </w:p>
    <w:p>
      <w:pPr>
        <w:spacing w:after="0" w:line="210" w:lineRule="exact"/>
        <w:rPr>
          <w:sz w:val="20"/>
          <w:szCs w:val="20"/>
          <w:color w:val="auto"/>
        </w:rPr>
      </w:pPr>
    </w:p>
    <w:p>
      <w:pPr>
        <w:ind w:firstLine="877"/>
        <w:spacing w:after="0" w:line="233" w:lineRule="auto"/>
        <w:rPr>
          <w:sz w:val="20"/>
          <w:szCs w:val="20"/>
          <w:color w:val="auto"/>
        </w:rPr>
      </w:pPr>
      <w:r>
        <w:rPr>
          <w:rFonts w:ascii="Times New Roman" w:cs="Times New Roman" w:eastAsia="Times New Roman" w:hAnsi="Times New Roman"/>
          <w:sz w:val="22"/>
          <w:szCs w:val="22"/>
          <w:color w:val="auto"/>
        </w:rPr>
        <w:t>It is intended that the PIPR Units shall comply with or shall be exempt from Section 409A of the Code. In the event that it shall be determined that the PIPR Units are subject to and are not in compliance with Section 409A of the Code and any payment that is paid or payable in respect of the PIPR Units pursuant to this Agreement, the Plan or the Operating Agreement is subject to the additional tax described in Section 409A(a)(1)(B)(i)(II) of the Code (to the extent that the Member incurs the additional tax) or any penalties are incurred by the Member with respect to such additional tax or any premium interest tax under Section 409A of the Code (such tax, together with any such penalties and premium interest tax, are hereinafter collectively referred to as the “</w:t>
      </w:r>
      <w:r>
        <w:rPr>
          <w:rFonts w:ascii="Times New Roman" w:cs="Times New Roman" w:eastAsia="Times New Roman" w:hAnsi="Times New Roman"/>
          <w:sz w:val="22"/>
          <w:szCs w:val="22"/>
          <w:u w:val="single" w:color="auto"/>
          <w:color w:val="auto"/>
        </w:rPr>
        <w:t>409A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then the Member shall be entitled to receive an additional payment (an “</w:t>
      </w:r>
      <w:r>
        <w:rPr>
          <w:rFonts w:ascii="Times New Roman" w:cs="Times New Roman" w:eastAsia="Times New Roman" w:hAnsi="Times New Roman"/>
          <w:sz w:val="22"/>
          <w:szCs w:val="22"/>
          <w:u w:val="single" w:color="auto"/>
          <w:color w:val="auto"/>
        </w:rPr>
        <w:t>Indemnity Payment</w:t>
      </w:r>
      <w:r>
        <w:rPr>
          <w:rFonts w:ascii="Times New Roman" w:cs="Times New Roman" w:eastAsia="Times New Roman" w:hAnsi="Times New Roman"/>
          <w:sz w:val="22"/>
          <w:szCs w:val="22"/>
          <w:color w:val="auto"/>
        </w:rPr>
        <w:t>”) in an amount such that after payment by the Member of all taxes (including any interest or penalties imposed with respect to such taxes), including, without limitation, any income taxes (and any interest and penalties imposed with respect thereto) and 409A Tax imposed upon the Indemnity Payment, the Member retains an amount of the Indemnity Payment equal to the 409A Tax imposed upon the payments. All determinations required to be made under this Section 13, including whether and when a Indemnity Payment is required and the amount of such Indemnity Payment and the assumptions to be utilized in arriving at such determination, shall be made by the Managing Members in accordance with Section 5.05 of the Operating Agreement.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83" w:name="page84"/>
    <w:bookmarkEnd w:id="83"/>
    <w:p>
      <w:pPr>
        <w:ind w:right="40" w:firstLine="877"/>
        <w:spacing w:after="0" w:line="246" w:lineRule="auto"/>
        <w:rPr>
          <w:sz w:val="20"/>
          <w:szCs w:val="20"/>
          <w:color w:val="auto"/>
        </w:rPr>
      </w:pPr>
      <w:r>
        <w:rPr>
          <w:rFonts w:ascii="Times New Roman" w:cs="Times New Roman" w:eastAsia="Times New Roman" w:hAnsi="Times New Roman"/>
          <w:sz w:val="21"/>
          <w:szCs w:val="21"/>
          <w:color w:val="auto"/>
        </w:rPr>
        <w:t xml:space="preserve">Any Indemnity Payment, as determined pursuant to this Section 13, shall be paid by Lazard Group to the Member within 30 days of the receipt of the Managing Members’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Indemnity Payment shall in all events be paid no later than the end of the Member’s taxable year next following the Member’s taxable year in which the 409A Tax (and any income or other related taxes or interest or penalties thereon) on a payment are remitted to the Internal Revenue Service or any other applicable taxing authority or, in the case of amounts relating to a claim that does not result in the remittance of any federal, state, local and foreign income, excise, social security and other taxes, the calendar year in which the claim is finally settled or otherwise resolved. Notwithstanding any other provision of this Section 13, Lazard Group may, in its sole discretion, following reasonable notice to the Member, withhold and pay over to the Internal Revenue Service or any other applicable taxing authority, for the benefit of the Member, all or any portion of any Indemnity Payment, and the Member hereby consents to such withholding.</w:t>
      </w:r>
    </w:p>
    <w:p>
      <w:pPr>
        <w:spacing w:after="0" w:line="177" w:lineRule="exact"/>
        <w:rPr>
          <w:sz w:val="20"/>
          <w:szCs w:val="20"/>
          <w:color w:val="auto"/>
        </w:rPr>
      </w:pPr>
    </w:p>
    <w:p>
      <w:pPr>
        <w:ind w:right="140" w:firstLine="877"/>
        <w:spacing w:after="0" w:line="244" w:lineRule="auto"/>
        <w:rPr>
          <w:sz w:val="20"/>
          <w:szCs w:val="20"/>
          <w:color w:val="auto"/>
        </w:rPr>
      </w:pPr>
      <w:r>
        <w:rPr>
          <w:rFonts w:ascii="Times New Roman" w:cs="Times New Roman" w:eastAsia="Times New Roman" w:hAnsi="Times New Roman"/>
          <w:sz w:val="22"/>
          <w:szCs w:val="22"/>
          <w:color w:val="auto"/>
        </w:rPr>
        <w:t>For purposes of Section 409A of the Code, each installment payable to the Member pursuant to this Agreement shall be deemed to be a “separate payment” within the meaning of Treas. Reg. Section 1.409A-2(b)(iii) or any successor thereto. The provisions of Section 12 of the Plan are hereby incorporated by reference.</w:t>
      </w:r>
    </w:p>
    <w:p>
      <w:pPr>
        <w:spacing w:after="0" w:line="17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14. Conflicts and Interpretation.</w:t>
      </w:r>
    </w:p>
    <w:p>
      <w:pPr>
        <w:spacing w:after="0" w:line="210"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 xml:space="preserve">In the event of any conflict between the terms of the Operating Agreement, the Plan and/or this Agreement relating to PIPR Units, the agreements shall take precedence in the following order: (a) this Agreement, (b) the Operating Agreement and (c) the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Sections 7.03(b) and 10.02 of the Operating Agreement shall take precedence over the terms of this Agreement. Except as expressly set forth in this Agreement with respect to PIPR Units, the Operating Agreement shall govern the Member’s rights and obligations with respect to Lazard Group under the Operating Agreement. In the event of any ambiguity in this Agreement, or any matters as to which this Agreement is silent, the Plan shall govern including, without limitation, the provisions thereof pursuant to which the Committee has the power, among others, to (i) interpret the Plan, (ii) prescribe, amend and rescind rules and regulations relating to the Plan, and (iii) make all other determinations deemed necessary or advisable for the administration of the Plan.</w:t>
      </w:r>
    </w:p>
    <w:p>
      <w:pPr>
        <w:spacing w:after="0" w:line="18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15. Amendment.</w:t>
      </w:r>
    </w:p>
    <w:p>
      <w:pPr>
        <w:spacing w:after="0" w:line="210" w:lineRule="exact"/>
        <w:rPr>
          <w:sz w:val="20"/>
          <w:szCs w:val="20"/>
          <w:color w:val="auto"/>
        </w:rPr>
      </w:pPr>
    </w:p>
    <w:p>
      <w:pPr>
        <w:ind w:firstLine="877"/>
        <w:spacing w:after="0" w:line="234" w:lineRule="auto"/>
        <w:rPr>
          <w:sz w:val="20"/>
          <w:szCs w:val="20"/>
          <w:color w:val="auto"/>
        </w:rPr>
      </w:pPr>
      <w:r>
        <w:rPr>
          <w:rFonts w:ascii="Times New Roman" w:cs="Times New Roman" w:eastAsia="Times New Roman" w:hAnsi="Times New Roman"/>
          <w:sz w:val="22"/>
          <w:szCs w:val="22"/>
          <w:color w:val="auto"/>
        </w:rPr>
        <w:t>Except for the actions specifically described in Section 10 of this Agreement, any modification, amendment or waiver to this Agreement that shall materially impair the rights of the Member shall require an instrument in writing to be signed by the Member, the Company and Lazard Group, except such a modification, amendment or waiver made to cause the Plan, the Operating Agreement or this Agreement to comply with applicable law, tax rules, stock exchange rules or accounting rules and which is made to similarly situated service providers. Any compensation or benefits that are provided to the Member in connection with any such amendment shall be taken into account for purposes of determining whether the Member’s rights would be materially impaired by such amendment. The waiver by any of the Member, the Company or Lazard Group of compliance with any provision of this Agreement shall not operate or be construed as a waiver of any other provision of this Agreement, or of any subsequent breach by such party of a provision of this Agreement.</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84" w:name="page85"/>
    <w:bookmarkEnd w:id="84"/>
    <w:p>
      <w:pPr>
        <w:ind w:left="1760"/>
        <w:spacing w:after="0"/>
        <w:rPr>
          <w:sz w:val="20"/>
          <w:szCs w:val="20"/>
          <w:color w:val="auto"/>
        </w:rPr>
      </w:pPr>
      <w:r>
        <w:rPr>
          <w:rFonts w:ascii="Times New Roman" w:cs="Times New Roman" w:eastAsia="Times New Roman" w:hAnsi="Times New Roman"/>
          <w:sz w:val="22"/>
          <w:szCs w:val="22"/>
          <w:b w:val="1"/>
          <w:bCs w:val="1"/>
          <w:color w:val="auto"/>
        </w:rPr>
        <w:t>16. Headings.</w:t>
      </w:r>
    </w:p>
    <w:p>
      <w:pPr>
        <w:spacing w:after="0" w:line="211" w:lineRule="exact"/>
        <w:rPr>
          <w:sz w:val="20"/>
          <w:szCs w:val="20"/>
          <w:color w:val="auto"/>
        </w:rPr>
      </w:pPr>
    </w:p>
    <w:p>
      <w:pPr>
        <w:ind w:firstLine="877"/>
        <w:spacing w:after="0" w:line="258" w:lineRule="auto"/>
        <w:rPr>
          <w:sz w:val="20"/>
          <w:szCs w:val="20"/>
          <w:color w:val="auto"/>
        </w:rPr>
      </w:pPr>
      <w:r>
        <w:rPr>
          <w:rFonts w:ascii="Times New Roman" w:cs="Times New Roman" w:eastAsia="Times New Roman" w:hAnsi="Times New Roman"/>
          <w:sz w:val="22"/>
          <w:szCs w:val="22"/>
          <w:color w:val="auto"/>
        </w:rPr>
        <w:t>The headings of paragraphs herein are included solely for convenience of reference and shall not affect the meaning or interpretation of any of the provisions of this Agreement.</w:t>
      </w:r>
    </w:p>
    <w:p>
      <w:pPr>
        <w:spacing w:after="0" w:line="1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17. Counterparts.</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This Agreement may be executed in counterparts, which together shall constitute one and the same original.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240" w:top="108" w:right="519" w:bottom="1440" w:gutter="0" w:footer="0" w:header="0"/>
        </w:sectPr>
      </w:pPr>
    </w:p>
    <w:bookmarkStart w:id="85" w:name="page86"/>
    <w:bookmarkEnd w:id="85"/>
    <w:p>
      <w:pPr>
        <w:spacing w:after="0" w:line="244" w:lineRule="auto"/>
        <w:rPr>
          <w:sz w:val="20"/>
          <w:szCs w:val="20"/>
          <w:color w:val="auto"/>
        </w:rPr>
      </w:pPr>
      <w:r>
        <w:rPr>
          <w:rFonts w:ascii="Times New Roman" w:cs="Times New Roman" w:eastAsia="Times New Roman" w:hAnsi="Times New Roman"/>
          <w:sz w:val="22"/>
          <w:szCs w:val="22"/>
          <w:color w:val="auto"/>
        </w:rPr>
        <w:t>IN WITNESS WHEREOF, as of the date first above written, each of the Company and Lazard Group has caused this Agreement to be executed on behalf of itself or its applicable Affiliate by a duly authorized officer and the Member has hereunto set the Member’s hand.</w:t>
      </w:r>
    </w:p>
    <w:p>
      <w:pPr>
        <w:spacing w:after="0" w:line="1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LAZARD LTD</w:t>
      </w:r>
    </w:p>
    <w:p>
      <w:pPr>
        <w:spacing w:after="0" w:line="200" w:lineRule="exact"/>
        <w:rPr>
          <w:sz w:val="20"/>
          <w:szCs w:val="20"/>
          <w:color w:val="auto"/>
        </w:rPr>
      </w:pPr>
    </w:p>
    <w:p>
      <w:pPr>
        <w:spacing w:after="0" w:line="2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22"/>
          <w:szCs w:val="22"/>
          <w:color w:val="auto"/>
        </w:rPr>
        <w:t>Name:</w:t>
      </w:r>
    </w:p>
    <w:p>
      <w:pPr>
        <w:jc w:val="center"/>
        <w:ind w:left="48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LAZARD GROUP LLC</w:t>
      </w:r>
    </w:p>
    <w:p>
      <w:pPr>
        <w:spacing w:after="0" w:line="200" w:lineRule="exact"/>
        <w:rPr>
          <w:sz w:val="20"/>
          <w:szCs w:val="20"/>
          <w:color w:val="auto"/>
        </w:rPr>
      </w:pPr>
    </w:p>
    <w:p>
      <w:pPr>
        <w:spacing w:after="0" w:line="2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36874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2"/>
          <w:szCs w:val="22"/>
          <w:color w:val="auto"/>
        </w:rPr>
        <w:t>Name:</w:t>
      </w:r>
    </w:p>
    <w:p>
      <w:pPr>
        <w:jc w:val="center"/>
        <w:ind w:left="2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-151130</wp:posOffset>
            </wp:positionV>
            <wp:extent cx="37992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36" w:right="29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Appendix A</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Performance Criteria and Calculation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204470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u w:val="single" w:color="auto"/>
          <w:color w:val="auto"/>
        </w:rPr>
        <w:t>Appendix B</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Restrictive Covenants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9019"/>
          </w:cols>
          <w:pgMar w:left="1440" w:top="544"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2019 of Lazard Ltd (the “Registrant”);</w:t>
      </w:r>
    </w:p>
    <w:p>
      <w:pPr>
        <w:spacing w:after="0" w:line="225"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526"/>
        <w:spacing w:after="0" w:line="266" w:lineRule="auto"/>
        <w:tabs>
          <w:tab w:leader="none" w:pos="6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499"/>
        <w:spacing w:after="0" w:line="266" w:lineRule="auto"/>
        <w:tabs>
          <w:tab w:leader="none" w:pos="12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499"/>
        <w:spacing w:after="0" w:line="266" w:lineRule="auto"/>
        <w:tabs>
          <w:tab w:leader="none" w:pos="127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00" w:firstLine="499"/>
        <w:spacing w:after="0" w:line="282" w:lineRule="auto"/>
        <w:tabs>
          <w:tab w:leader="none" w:pos="12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499"/>
        <w:spacing w:after="0" w:line="266" w:lineRule="auto"/>
        <w:tabs>
          <w:tab w:leader="none" w:pos="127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80" w:firstLine="526"/>
        <w:spacing w:after="0" w:line="282" w:lineRule="auto"/>
        <w:tabs>
          <w:tab w:leader="none" w:pos="6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60" w:firstLine="499"/>
        <w:spacing w:after="0" w:line="282" w:lineRule="auto"/>
        <w:tabs>
          <w:tab w:leader="none" w:pos="12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80" w:firstLine="499"/>
        <w:spacing w:after="0" w:line="282" w:lineRule="auto"/>
        <w:tabs>
          <w:tab w:leader="none" w:pos="127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M. Jacobs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17"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2019 of Lazard Ltd (the “Registrant”);</w:t>
      </w:r>
    </w:p>
    <w:p>
      <w:pPr>
        <w:spacing w:after="0" w:line="225"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526"/>
        <w:spacing w:after="0" w:line="266" w:lineRule="auto"/>
        <w:tabs>
          <w:tab w:leader="none" w:pos="69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499"/>
        <w:spacing w:after="0" w:line="266" w:lineRule="auto"/>
        <w:tabs>
          <w:tab w:leader="none" w:pos="125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499"/>
        <w:spacing w:after="0" w:line="266" w:lineRule="auto"/>
        <w:tabs>
          <w:tab w:leader="none" w:pos="127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00" w:firstLine="499"/>
        <w:spacing w:after="0" w:line="282" w:lineRule="auto"/>
        <w:tabs>
          <w:tab w:leader="none" w:pos="125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499"/>
        <w:spacing w:after="0" w:line="266" w:lineRule="auto"/>
        <w:tabs>
          <w:tab w:leader="none" w:pos="127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80" w:firstLine="526"/>
        <w:spacing w:after="0" w:line="282" w:lineRule="auto"/>
        <w:tabs>
          <w:tab w:leader="none" w:pos="69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60" w:firstLine="499"/>
        <w:spacing w:after="0" w:line="282" w:lineRule="auto"/>
        <w:tabs>
          <w:tab w:leader="none" w:pos="125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80" w:firstLine="499"/>
        <w:spacing w:after="0" w:line="282" w:lineRule="auto"/>
        <w:tabs>
          <w:tab w:leader="none" w:pos="127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Evan L. Russo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333"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Ltd (the “Registrant”) hereby certifies that the Registrant’s Quarterly Report on Form 10-Q for the quarter ended March 31,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Kenneth M. Jacobs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ind w:right="780" w:firstLine="51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17"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Ltd (the “Registrant”) hereby certifies that the Registrant’s Quarterly Report on Form 10-Q for the quarter ended March 31,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tab/>
        <w:t>Evan L. Russo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780" w:firstLine="51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1."/>
      <w:numFmt w:val="decimal"/>
      <w:start w:val="2"/>
    </w:lvl>
  </w:abstractNum>
  <w:abstractNum w:abstractNumId="6">
    <w:nsid w:val="7A6D8D3C"/>
    <w:multiLevelType w:val="hybridMultilevel"/>
    <w:lvl w:ilvl="0">
      <w:lvlJc w:val="left"/>
      <w:lvlText w:val="%1."/>
      <w:numFmt w:val="decimal"/>
      <w:start w:val="3"/>
    </w:lvl>
  </w:abstractNum>
  <w:abstractNum w:abstractNumId="7">
    <w:nsid w:val="4B588F54"/>
    <w:multiLevelType w:val="hybridMultilevel"/>
    <w:lvl w:ilvl="0">
      <w:lvlJc w:val="left"/>
      <w:lvlText w:val="(%1)"/>
      <w:numFmt w:val="lowerLetter"/>
      <w:start w:val="1"/>
    </w:lvl>
  </w:abstractNum>
  <w:abstractNum w:abstractNumId="8">
    <w:nsid w:val="542289EC"/>
    <w:multiLevelType w:val="hybridMultilevel"/>
    <w:lvl w:ilvl="0">
      <w:lvlJc w:val="left"/>
      <w:lvlText w:val="(%1)"/>
      <w:numFmt w:val="lowerLetter"/>
      <w:start w:val="2"/>
    </w:lvl>
  </w:abstractNum>
  <w:abstractNum w:abstractNumId="9">
    <w:nsid w:val="6DE91B18"/>
    <w:multiLevelType w:val="hybridMultilevel"/>
    <w:lvl w:ilvl="0">
      <w:lvlJc w:val="left"/>
      <w:lvlText w:val="%1."/>
      <w:numFmt w:val="decimal"/>
      <w:start w:val="4"/>
    </w:lvl>
  </w:abstractNum>
  <w:abstractNum w:abstractNumId="10">
    <w:nsid w:val="38437FDB"/>
    <w:multiLevelType w:val="hybridMultilevel"/>
    <w:lvl w:ilvl="0">
      <w:lvlJc w:val="left"/>
      <w:lvlText w:val="%1."/>
      <w:numFmt w:val="decimal"/>
      <w:start w:val="5"/>
    </w:lvl>
  </w:abstractNum>
  <w:abstractNum w:abstractNumId="11">
    <w:nsid w:val="7644A45C"/>
    <w:multiLevelType w:val="hybridMultilevel"/>
    <w:lvl w:ilvl="0">
      <w:lvlJc w:val="left"/>
      <w:lvlText w:val="(%1)"/>
      <w:numFmt w:val="lowerLetter"/>
      <w:start w:val="1"/>
    </w:lvl>
  </w:abstractNum>
  <w:abstractNum w:abstractNumId="12">
    <w:nsid w:val="32FFF902"/>
    <w:multiLevelType w:val="hybridMultilevel"/>
    <w:lvl w:ilvl="0">
      <w:lvlJc w:val="left"/>
      <w:lvlText w:val="%1."/>
      <w:numFmt w:val="decimal"/>
      <w:start w:val="6"/>
    </w:lvl>
  </w:abstractNum>
  <w:abstractNum w:abstractNumId="13">
    <w:nsid w:val="684A481A"/>
    <w:multiLevelType w:val="hybridMultilevel"/>
    <w:lvl w:ilvl="0">
      <w:lvlJc w:val="left"/>
      <w:lvlText w:val="(%1)"/>
      <w:numFmt w:val="lowerLetter"/>
      <w:start w:val="1"/>
    </w:lvl>
  </w:abstractNum>
  <w:abstractNum w:abstractNumId="14">
    <w:nsid w:val="579478FE"/>
    <w:multiLevelType w:val="hybridMultilevel"/>
    <w:lvl w:ilvl="0">
      <w:lvlJc w:val="left"/>
      <w:lvlText w:val="(%1)"/>
      <w:numFmt w:val="lowerLetter"/>
      <w:start w:val="1"/>
    </w:lvl>
  </w:abstractNum>
  <w:abstractNum w:abstractNumId="15">
    <w:nsid w:val="749ABB43"/>
    <w:multiLevelType w:val="hybridMultilevel"/>
    <w:lvl w:ilvl="0">
      <w:lvlJc w:val="left"/>
      <w:lvlText w:val="(%1)"/>
      <w:numFmt w:val="lowerLetter"/>
      <w:start w:val="1"/>
    </w:lvl>
  </w:abstractNum>
  <w:abstractNum w:abstractNumId="16">
    <w:nsid w:val="3DC240FB"/>
    <w:multiLevelType w:val="hybridMultilevel"/>
    <w:lvl w:ilvl="0">
      <w:lvlJc w:val="left"/>
      <w:lvlText w:val="%1."/>
      <w:numFmt w:val="decimal"/>
      <w:start w:val="7"/>
    </w:lvl>
  </w:abstractNum>
  <w:abstractNum w:abstractNumId="17">
    <w:nsid w:val="1BA026FA"/>
    <w:multiLevelType w:val="hybridMultilevel"/>
    <w:lvl w:ilvl="0">
      <w:lvlJc w:val="left"/>
      <w:lvlText w:val="(%1)"/>
      <w:numFmt w:val="lowerLetter"/>
      <w:start w:val="1"/>
    </w:lvl>
  </w:abstractNum>
  <w:abstractNum w:abstractNumId="18">
    <w:nsid w:val="79A1DEAA"/>
    <w:multiLevelType w:val="hybridMultilevel"/>
    <w:lvl w:ilvl="0">
      <w:lvlJc w:val="left"/>
      <w:lvlText w:val="%1."/>
      <w:numFmt w:val="decimal"/>
      <w:start w:val="8"/>
    </w:lvl>
  </w:abstractNum>
  <w:abstractNum w:abstractNumId="19">
    <w:nsid w:val="75C6C33A"/>
    <w:multiLevelType w:val="hybridMultilevel"/>
    <w:lvl w:ilvl="0">
      <w:lvlJc w:val="left"/>
      <w:lvlText w:val="%1."/>
      <w:numFmt w:val="decimal"/>
      <w:start w:val="9"/>
    </w:lvl>
  </w:abstractNum>
  <w:abstractNum w:abstractNumId="20">
    <w:nsid w:val="12E685FB"/>
    <w:multiLevelType w:val="hybridMultilevel"/>
    <w:lvl w:ilvl="0">
      <w:lvlJc w:val="left"/>
      <w:lvlText w:val="%1."/>
      <w:numFmt w:val="decimal"/>
      <w:start w:val="10"/>
    </w:lvl>
  </w:abstractNum>
  <w:abstractNum w:abstractNumId="21">
    <w:nsid w:val="70C6A529"/>
    <w:multiLevelType w:val="hybridMultilevel"/>
    <w:lvl w:ilvl="0">
      <w:lvlJc w:val="left"/>
      <w:lvlText w:val="%1."/>
      <w:numFmt w:val="decimal"/>
      <w:start w:val="11"/>
    </w:lvl>
  </w:abstractNum>
  <w:abstractNum w:abstractNumId="22">
    <w:nsid w:val="520EEDD1"/>
    <w:multiLevelType w:val="hybridMultilevel"/>
    <w:lvl w:ilvl="0">
      <w:lvlJc w:val="left"/>
      <w:lvlText w:val="(%1)"/>
      <w:numFmt w:val="lowerLetter"/>
      <w:start w:val="1"/>
    </w:lvl>
  </w:abstractNum>
  <w:abstractNum w:abstractNumId="23">
    <w:nsid w:val="374A3FE6"/>
    <w:multiLevelType w:val="hybridMultilevel"/>
    <w:lvl w:ilvl="0">
      <w:lvlJc w:val="left"/>
      <w:lvlText w:val="%1."/>
      <w:numFmt w:val="decimal"/>
      <w:start w:val="12"/>
    </w:lvl>
  </w:abstractNum>
  <w:abstractNum w:abstractNumId="24">
    <w:nsid w:val="4F4EF005"/>
    <w:multiLevelType w:val="hybridMultilevel"/>
    <w:lvl w:ilvl="0">
      <w:lvlJc w:val="left"/>
      <w:lvlText w:val="%1."/>
      <w:numFmt w:val="decimal"/>
      <w:start w:val="13"/>
    </w:lvl>
  </w:abstractNum>
  <w:abstractNum w:abstractNumId="25">
    <w:nsid w:val="23F9C13C"/>
    <w:multiLevelType w:val="hybridMultilevel"/>
    <w:lvl w:ilvl="0">
      <w:lvlJc w:val="left"/>
      <w:lvlText w:val="(%1)"/>
      <w:numFmt w:val="lowerLetter"/>
      <w:start w:val="1"/>
    </w:lvl>
  </w:abstractNum>
  <w:abstractNum w:abstractNumId="26">
    <w:nsid w:val="649BB77C"/>
    <w:multiLevelType w:val="hybridMultilevel"/>
    <w:lvl w:ilvl="0">
      <w:lvlJc w:val="left"/>
      <w:lvlText w:val="%1."/>
      <w:numFmt w:val="decimal"/>
      <w:start w:val="14"/>
    </w:lvl>
  </w:abstractNum>
  <w:abstractNum w:abstractNumId="27">
    <w:nsid w:val="275AC794"/>
    <w:multiLevelType w:val="hybridMultilevel"/>
    <w:lvl w:ilvl="0">
      <w:lvlJc w:val="left"/>
      <w:lvlText w:val="%1."/>
      <w:numFmt w:val="decimal"/>
      <w:start w:val="15"/>
    </w:lvl>
  </w:abstractNum>
  <w:abstractNum w:abstractNumId="28">
    <w:nsid w:val="39386575"/>
    <w:multiLevelType w:val="hybridMultilevel"/>
    <w:lvl w:ilvl="0">
      <w:lvlJc w:val="left"/>
      <w:lvlText w:val="%1."/>
      <w:numFmt w:val="decimal"/>
      <w:start w:val="16"/>
    </w:lvl>
  </w:abstractNum>
  <w:abstractNum w:abstractNumId="29">
    <w:nsid w:val="1CF10FD8"/>
    <w:multiLevelType w:val="hybridMultilevel"/>
    <w:lvl w:ilvl="0">
      <w:lvlJc w:val="left"/>
      <w:lvlText w:val="%1."/>
      <w:numFmt w:val="decimal"/>
      <w:start w:val="17"/>
    </w:lvl>
  </w:abstractNum>
  <w:abstractNum w:abstractNumId="30">
    <w:nsid w:val="180115BE"/>
    <w:multiLevelType w:val="hybridMultilevel"/>
    <w:lvl w:ilvl="0">
      <w:lvlJc w:val="left"/>
      <w:lvlText w:val="%1."/>
      <w:numFmt w:val="decimal"/>
      <w:start w:val="18"/>
    </w:lvl>
  </w:abstractNum>
  <w:abstractNum w:abstractNumId="31">
    <w:nsid w:val="235BA861"/>
    <w:multiLevelType w:val="hybridMultilevel"/>
    <w:lvl w:ilvl="0">
      <w:lvlJc w:val="left"/>
      <w:lvlText w:val="(%1)"/>
      <w:numFmt w:val="lowerRoman"/>
      <w:start w:val="1"/>
    </w:lvl>
  </w:abstractNum>
  <w:abstractNum w:abstractNumId="32">
    <w:nsid w:val="47398C89"/>
    <w:multiLevelType w:val="hybridMultilevel"/>
    <w:lvl w:ilvl="0">
      <w:lvlJc w:val="left"/>
      <w:lvlText w:val="%1."/>
      <w:numFmt w:val="decimal"/>
      <w:start w:val="19"/>
    </w:lvl>
  </w:abstractNum>
  <w:abstractNum w:abstractNumId="33">
    <w:nsid w:val="354FE9F9"/>
    <w:multiLevelType w:val="hybridMultilevel"/>
    <w:lvl w:ilvl="0">
      <w:lvlJc w:val="left"/>
      <w:lvlText w:val="%1."/>
      <w:numFmt w:val="decimal"/>
      <w:start w:val="20"/>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lvl w:ilvl="1">
      <w:lvlJc w:val="left"/>
      <w:lvlText w:val="(%2)"/>
      <w:numFmt w:val="lowerRoman"/>
      <w:start w:val="1"/>
    </w:lvl>
  </w:abstractNum>
  <w:abstractNum w:abstractNumId="41">
    <w:nsid w:val="77AE35EB"/>
    <w:multiLevelType w:val="hybridMultilevel"/>
    <w:lvl w:ilvl="0">
      <w:lvlJc w:val="left"/>
      <w:lvlText w:val="•"/>
      <w:numFmt w:val="bullet"/>
      <w:start w:val="1"/>
    </w:lvl>
    <w:lvl w:ilvl="1">
      <w:lvlJc w:val="left"/>
      <w:lvlText w:val="(%2)"/>
      <w:numFmt w:val="lowerRoman"/>
      <w:start w:val="2"/>
    </w:lvl>
  </w:abstractNum>
  <w:abstractNum w:abstractNumId="42">
    <w:nsid w:val="579BE4F1"/>
    <w:multiLevelType w:val="hybridMultilevel"/>
    <w:lvl w:ilvl="0">
      <w:lvlJc w:val="left"/>
      <w:lvlText w:val="(%1)"/>
      <w:numFmt w:val="lowerLetter"/>
      <w:start w:val="1"/>
    </w:lvl>
  </w:abstractNum>
  <w:abstractNum w:abstractNumId="43">
    <w:nsid w:val="310C50B3"/>
    <w:multiLevelType w:val="hybridMultilevel"/>
    <w:lvl w:ilvl="0">
      <w:lvlJc w:val="left"/>
      <w:lvlText w:val="(%1)"/>
      <w:numFmt w:val="lowerLetter"/>
      <w:start w:val="1"/>
    </w:lvl>
  </w:abstractNum>
  <w:abstractNum w:abstractNumId="44">
    <w:nsid w:val="5FF87E05"/>
    <w:multiLevelType w:val="hybridMultilevel"/>
    <w:lvl w:ilvl="0">
      <w:lvlJc w:val="left"/>
      <w:lvlText w:val="(%1)"/>
      <w:numFmt w:val="lowerLetter"/>
      <w:start w:val="1"/>
    </w:lvl>
  </w:abstractNum>
  <w:abstractNum w:abstractNumId="45">
    <w:nsid w:val="2F305DEF"/>
    <w:multiLevelType w:val="hybridMultilevel"/>
    <w:lvl w:ilvl="0">
      <w:lvlJc w:val="left"/>
      <w:lvlText w:val="(%1)"/>
      <w:numFmt w:val="lowerRoman"/>
      <w:start w:val="2"/>
    </w:lvl>
  </w:abstractNum>
  <w:abstractNum w:abstractNumId="46">
    <w:nsid w:val="25A70BF7"/>
    <w:multiLevelType w:val="hybridMultilevel"/>
    <w:lvl w:ilvl="0">
      <w:lvlJc w:val="left"/>
      <w:lvlText w:val="(%1)"/>
      <w:numFmt w:val="lowerLetter"/>
      <w:start w:val="1"/>
    </w:lvl>
  </w:abstractNum>
  <w:abstractNum w:abstractNumId="47">
    <w:nsid w:val="1DBABF00"/>
    <w:multiLevelType w:val="hybridMultilevel"/>
    <w:lvl w:ilvl="0">
      <w:lvlJc w:val="left"/>
      <w:lvlText w:val="(%1)"/>
      <w:numFmt w:val="lowerLetter"/>
      <w:start w:val="2"/>
    </w:lvl>
  </w:abstractNum>
  <w:abstractNum w:abstractNumId="48">
    <w:nsid w:val="4AD084E9"/>
    <w:multiLevelType w:val="hybridMultilevel"/>
    <w:lvl w:ilvl="0">
      <w:lvlJc w:val="left"/>
      <w:lvlText w:val="(%1)"/>
      <w:numFmt w:val="lowerLetter"/>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1)"/>
      <w:numFmt w:val="lowerLetter"/>
      <w:start w:val="2"/>
    </w:lvl>
  </w:abstractNum>
  <w:abstractNum w:abstractNumId="53">
    <w:nsid w:val="6590700B"/>
    <w:multiLevelType w:val="hybridMultilevel"/>
    <w:lvl w:ilvl="0">
      <w:lvlJc w:val="left"/>
      <w:lvlText w:val="(%1)"/>
      <w:numFmt w:val="lowerLetter"/>
      <w:start w:val="4"/>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lowerRoman"/>
      <w:start w:val="3"/>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2"/>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1"/>
      <w:numFmt w:val="lowerLetter"/>
      <w:start w:val="1"/>
    </w:lvl>
    <w:lvl w:ilvl="1">
      <w:lvlJc w:val="left"/>
      <w:lvlText w:val="%2."/>
      <w:numFmt w:val="decimal"/>
      <w:start w:val="1"/>
    </w:lvl>
  </w:abstractNum>
  <w:abstractNum w:abstractNumId="61">
    <w:nsid w:val="1EBA5D23"/>
    <w:multiLevelType w:val="hybridMultilevel"/>
    <w:lvl w:ilvl="0">
      <w:lvlJc w:val="left"/>
      <w:lvlText w:val="(%1)"/>
      <w:numFmt w:val="lowerLetter"/>
      <w:start w:val="1"/>
    </w:lvl>
    <w:lvl w:ilvl="1">
      <w:lvlJc w:val="left"/>
      <w:lvlText w:val="%2"/>
      <w:numFmt w:val="decimal"/>
      <w:start w:val="1"/>
    </w:lvl>
  </w:abstractNum>
  <w:abstractNum w:abstractNumId="62">
    <w:nsid w:val="661E3F1E"/>
    <w:multiLevelType w:val="hybridMultilevel"/>
    <w:lvl w:ilvl="0">
      <w:lvlJc w:val="left"/>
      <w:lvlText w:val="(%1)"/>
      <w:numFmt w:val="lowerLetter"/>
      <w:start w:val="2"/>
    </w:lvl>
  </w:abstractNum>
  <w:abstractNum w:abstractNumId="63">
    <w:nsid w:val="5DC79EA8"/>
    <w:multiLevelType w:val="hybridMultilevel"/>
    <w:lvl w:ilvl="0">
      <w:lvlJc w:val="left"/>
      <w:lvlText w:val="(%1)"/>
      <w:numFmt w:val="lowerRoman"/>
      <w:start w:val="1"/>
    </w:lvl>
  </w:abstractNum>
  <w:abstractNum w:abstractNumId="64">
    <w:nsid w:val="540A471C"/>
    <w:multiLevelType w:val="hybridMultilevel"/>
    <w:lvl w:ilvl="0">
      <w:lvlJc w:val="left"/>
      <w:lvlText w:val="(%1)"/>
      <w:numFmt w:val="lowerLetter"/>
      <w:start w:val="3"/>
    </w:lvl>
  </w:abstractNum>
  <w:abstractNum w:abstractNumId="65">
    <w:nsid w:val="7BD3EE7B"/>
    <w:multiLevelType w:val="hybridMultilevel"/>
    <w:lvl w:ilvl="0">
      <w:lvlJc w:val="left"/>
      <w:lvlText w:val="(%1)"/>
      <w:numFmt w:val="lowerRoman"/>
      <w:start w:val="2"/>
    </w:lvl>
  </w:abstractNum>
  <w:abstractNum w:abstractNumId="66">
    <w:nsid w:val="51D9C564"/>
    <w:multiLevelType w:val="hybridMultilevel"/>
    <w:lvl w:ilvl="0">
      <w:lvlJc w:val="left"/>
      <w:lvlText w:val="(%1)"/>
      <w:numFmt w:val="lowerLetter"/>
      <w:start w:val="4"/>
    </w:lvl>
  </w:abstractNum>
  <w:abstractNum w:abstractNumId="67">
    <w:nsid w:val="613EFDC5"/>
    <w:multiLevelType w:val="hybridMultilevel"/>
    <w:lvl w:ilvl="0">
      <w:lvlJc w:val="left"/>
      <w:lvlText w:val="(%1)"/>
      <w:numFmt w:val="lowerLetter"/>
      <w:start w:val="5"/>
    </w:lvl>
  </w:abstractNum>
  <w:abstractNum w:abstractNumId="68">
    <w:nsid w:val="BF72B14"/>
    <w:multiLevelType w:val="hybridMultilevel"/>
    <w:lvl w:ilvl="0">
      <w:lvlJc w:val="left"/>
      <w:lvlText w:val="(%1)"/>
      <w:numFmt w:val="lowerRoman"/>
      <w:start w:val="2"/>
    </w:lvl>
    <w:lvl w:ilvl="1">
      <w:lvlJc w:val="left"/>
      <w:lvlText w:val="%2."/>
      <w:numFmt w:val="decimal"/>
      <w:start w:val="2"/>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lowerRoman"/>
      <w:start w:val="1"/>
    </w:lvl>
  </w:abstractNum>
  <w:abstractNum w:abstractNumId="71">
    <w:nsid w:val="A0382C5"/>
    <w:multiLevelType w:val="hybridMultilevel"/>
    <w:lvl w:ilvl="0">
      <w:lvlJc w:val="left"/>
      <w:lvlText w:val="%1"/>
      <w:numFmt w:val="lowerLetter"/>
      <w:start w:val="1"/>
    </w:lvl>
    <w:lvl w:ilvl="1">
      <w:lvlJc w:val="left"/>
      <w:lvlText w:val="%2."/>
      <w:numFmt w:val="decimal"/>
      <w:start w:val="4"/>
    </w:lvl>
  </w:abstractNum>
  <w:abstractNum w:abstractNumId="72">
    <w:nsid w:val="8F2B15E"/>
    <w:multiLevelType w:val="hybridMultilevel"/>
    <w:lvl w:ilvl="0">
      <w:lvlJc w:val="left"/>
      <w:lvlText w:val="(%1)"/>
      <w:numFmt w:val="lowerLetter"/>
      <w:start w:val="1"/>
    </w:lvl>
    <w:lvl w:ilvl="1">
      <w:lvlJc w:val="left"/>
      <w:lvlText w:val="%2"/>
      <w:numFmt w:val="decimal"/>
      <w:start w:val="1"/>
    </w:lvl>
  </w:abstractNum>
  <w:abstractNum w:abstractNumId="73">
    <w:nsid w:val="1A32234B"/>
    <w:multiLevelType w:val="hybridMultilevel"/>
    <w:lvl w:ilvl="0">
      <w:lvlJc w:val="left"/>
      <w:lvlText w:val="%1"/>
      <w:numFmt w:val="lowerLetter"/>
      <w:start w:val="1"/>
    </w:lvl>
    <w:lvl w:ilvl="1">
      <w:lvlJc w:val="left"/>
      <w:lvlText w:val="%2."/>
      <w:numFmt w:val="decimal"/>
      <w:start w:val="5"/>
    </w:lvl>
  </w:abstractNum>
  <w:abstractNum w:abstractNumId="74">
    <w:nsid w:val="3B0FD379"/>
    <w:multiLevelType w:val="hybridMultilevel"/>
    <w:lvl w:ilvl="0">
      <w:lvlJc w:val="left"/>
      <w:lvlText w:val="(%1)"/>
      <w:numFmt w:val="lowerLetter"/>
      <w:start w:val="1"/>
    </w:lvl>
    <w:lvl w:ilvl="1">
      <w:lvlJc w:val="left"/>
      <w:lvlText w:val="%2"/>
      <w:numFmt w:val="decimal"/>
      <w:start w:val="1"/>
    </w:lvl>
  </w:abstractNum>
  <w:abstractNum w:abstractNumId="75">
    <w:nsid w:val="68EB2F63"/>
    <w:multiLevelType w:val="hybridMultilevel"/>
    <w:lvl w:ilvl="0">
      <w:lvlJc w:val="left"/>
      <w:lvlText w:val="(%1)"/>
      <w:numFmt w:val="lowerRoman"/>
      <w:start w:val="1"/>
    </w:lvl>
    <w:lvl w:ilvl="1">
      <w:lvlJc w:val="left"/>
      <w:lvlText w:val="%2."/>
      <w:numFmt w:val="decimal"/>
      <w:start w:val="7"/>
    </w:lvl>
  </w:abstractNum>
  <w:abstractNum w:abstractNumId="76">
    <w:nsid w:val="4962813B"/>
    <w:multiLevelType w:val="hybridMultilevel"/>
    <w:lvl w:ilvl="0">
      <w:lvlJc w:val="left"/>
      <w:lvlText w:val="%1"/>
      <w:numFmt w:val="lowerLetter"/>
      <w:start w:val="1"/>
    </w:lvl>
    <w:lvl w:ilvl="1">
      <w:lvlJc w:val="left"/>
      <w:lvlText w:val="%2."/>
      <w:numFmt w:val="decimal"/>
      <w:start w:val="9"/>
    </w:lvl>
  </w:abstractNum>
  <w:abstractNum w:abstractNumId="77">
    <w:nsid w:val="60B6DF70"/>
    <w:multiLevelType w:val="hybridMultilevel"/>
    <w:lvl w:ilvl="0">
      <w:lvlJc w:val="left"/>
      <w:lvlText w:val="(%1)"/>
      <w:numFmt w:val="lowerLetter"/>
      <w:start w:val="1"/>
    </w:lvl>
    <w:lvl w:ilvl="1">
      <w:lvlJc w:val="left"/>
      <w:lvlText w:val="%2."/>
      <w:numFmt w:val="decimal"/>
      <w:start w:val="10"/>
    </w:lvl>
  </w:abstractNum>
  <w:abstractNum w:abstractNumId="78">
    <w:nsid w:val="6A5EE64"/>
    <w:multiLevelType w:val="hybridMultilevel"/>
    <w:lvl w:ilvl="0">
      <w:lvlJc w:val="left"/>
      <w:lvlText w:val="(%1)"/>
      <w:numFmt w:val="lowerLetter"/>
      <w:start w:val="1"/>
    </w:lvl>
  </w:abstractNum>
  <w:abstractNum w:abstractNumId="79">
    <w:nsid w:val="14330624"/>
    <w:multiLevelType w:val="hybridMultilevel"/>
    <w:lvl w:ilvl="0">
      <w:lvlJc w:val="left"/>
      <w:lvlText w:val="%1"/>
      <w:numFmt w:val="lowerLetter"/>
      <w:start w:val="1"/>
    </w:lvl>
    <w:lvl w:ilvl="1">
      <w:lvlJc w:val="left"/>
      <w:lvlText w:val="%2."/>
      <w:numFmt w:val="decimal"/>
      <w:start w:val="12"/>
    </w:lvl>
  </w:abstractNum>
  <w:abstractNum w:abstractNumId="80">
    <w:nsid w:val="7FFFCA11"/>
    <w:multiLevelType w:val="hybridMultilevel"/>
    <w:lvl w:ilvl="0">
      <w:lvlJc w:val="left"/>
      <w:lvlText w:val="(%1)"/>
      <w:numFmt w:val="lowerLetter"/>
      <w:start w:val="1"/>
    </w:lvl>
    <w:lvl w:ilvl="1">
      <w:lvlJc w:val="left"/>
      <w:lvlText w:val="%2"/>
      <w:numFmt w:val="decimal"/>
      <w:start w:val="1"/>
    </w:lvl>
  </w:abstractNum>
  <w:abstractNum w:abstractNumId="81">
    <w:nsid w:val="1A27709E"/>
    <w:multiLevelType w:val="hybridMultilevel"/>
    <w:lvl w:ilvl="0">
      <w:lvlJc w:val="left"/>
      <w:lvlText w:val="(%1)"/>
      <w:numFmt w:val="lowerLetter"/>
      <w:start w:val="4"/>
    </w:lvl>
    <w:lvl w:ilvl="1">
      <w:lvlJc w:val="left"/>
      <w:lvlText w:val="%2."/>
      <w:numFmt w:val="decimal"/>
      <w:start w:val="13"/>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01" Type="http://schemas.openxmlformats.org/officeDocument/2006/relationships/hyperlink" Target="http://www.sec.gov/Archives/edgar/data/1311370/000119312505056426/dex31.htm" TargetMode="External"/><Relationship Id="rId102" Type="http://schemas.openxmlformats.org/officeDocument/2006/relationships/hyperlink" Target="http://www.sec.gov/Archives/edgar/data/1311370/000119312505056426/dex32.htm" TargetMode="External"/><Relationship Id="rId103" Type="http://schemas.openxmlformats.org/officeDocument/2006/relationships/hyperlink" Target="http://www.sec.gov/Archives/edgar/data/1311370/000119312505126336/dex33.htm" TargetMode="External"/><Relationship Id="rId104" Type="http://schemas.openxmlformats.org/officeDocument/2006/relationships/hyperlink" Target="http://www.sec.gov/Archives/edgar/data/1311370/000119312508108332/dex34.htm" TargetMode="External"/><Relationship Id="rId105" Type="http://schemas.openxmlformats.org/officeDocument/2006/relationships/hyperlink" Target="http://www.sec.gov/Archives/edgar/data/1311370/000119312510102269/dex35.htm" TargetMode="External"/><Relationship Id="rId106" Type="http://schemas.openxmlformats.org/officeDocument/2006/relationships/hyperlink" Target="http://www.sec.gov/Archives/edgar/data/1311370/000119312505073325/dex41.htm" TargetMode="External"/><Relationship Id="rId107" Type="http://schemas.openxmlformats.org/officeDocument/2006/relationships/hyperlink" Target="http://www.sec.gov/Archives/edgar/data/1326141/000119312505145683/dex41.htm" TargetMode="External"/><Relationship Id="rId108" Type="http://schemas.openxmlformats.org/officeDocument/2006/relationships/hyperlink" Target="http://www.sec.gov/Archives/edgar/data/1311370/000119312515050385/d871111dex41.htm" TargetMode="External"/><Relationship Id="rId109" Type="http://schemas.openxmlformats.org/officeDocument/2006/relationships/hyperlink" Target="http://www.sec.gov/Archives/edgar/data/1311370/000119312516760477/d43064dex41.htm" TargetMode="External"/><Relationship Id="rId110" Type="http://schemas.openxmlformats.org/officeDocument/2006/relationships/hyperlink" Target="http://www.sec.gov/Archives/edgar/data/1311370/000119312518277695/d614135dex41.htm" TargetMode="External"/><Relationship Id="rId111" Type="http://schemas.openxmlformats.org/officeDocument/2006/relationships/hyperlink" Target="http://www.sec.gov/Archives/edgar/data/1311370/000095015719000259/ex4-1.htm" TargetMode="External"/><Relationship Id="rId112" Type="http://schemas.openxmlformats.org/officeDocument/2006/relationships/hyperlink" Target="http://www.sec.gov/Archives/edgar/data/1311370/000119312519027570/d671906dex991.htm" TargetMode="External"/><Relationship Id="rId113" Type="http://schemas.openxmlformats.org/officeDocument/2006/relationships/hyperlink" Target="http://www.sec.gov/Archives/edgar/data/1311370/000119312515355042/d41332dex102.htm" TargetMode="External"/><Relationship Id="rId114" Type="http://schemas.openxmlformats.org/officeDocument/2006/relationships/hyperlink" Target="http://www.sec.gov/Archives/edgar/data/1311370/000119312505025486/dex1019.htm" TargetMode="External"/><Relationship Id="rId115" Type="http://schemas.openxmlformats.org/officeDocument/2006/relationships/hyperlink" Target="http://www.sec.gov/Archives/edgar/data/1311370/000119312511117012/dex1016.htm" TargetMode="External"/><Relationship Id="rId116" Type="http://schemas.openxmlformats.org/officeDocument/2006/relationships/hyperlink" Target="http://www.sec.gov/Archives/edgar/data/1311370/000119312505091140/dex1021.htm" TargetMode="External"/><Relationship Id="rId117" Type="http://schemas.openxmlformats.org/officeDocument/2006/relationships/hyperlink" Target="http://www.sec.gov/Archives/edgar/data/1311370/000119312508063107/ddef14a.htm" TargetMode="External"/><Relationship Id="rId118" Type="http://schemas.openxmlformats.org/officeDocument/2006/relationships/hyperlink" Target="http://www.sec.gov/Archives/edgar/data/1311370/000119312516500308/d128121ddef14a.htm" TargetMode="External"/><Relationship Id="rId121" Type="http://schemas.openxmlformats.org/officeDocument/2006/relationships/hyperlink" Target="http://www.sec.gov/Archives/edgar/data/1311370/000119312518082725/d525181ddef14a.htm" TargetMode="External"/><Relationship Id="rId122" Type="http://schemas.openxmlformats.org/officeDocument/2006/relationships/hyperlink" Target="http://www.sec.gov/Archives/edgar/data/1311370/000119312519096097/d642761dex101.htm" TargetMode="External"/><Relationship Id="rId123" Type="http://schemas.openxmlformats.org/officeDocument/2006/relationships/hyperlink" Target="http://www.sec.gov/Archives/edgar/data/1311370/000119312519096097/d642761dex103.htm" TargetMode="External"/><Relationship Id="rId124" Type="http://schemas.openxmlformats.org/officeDocument/2006/relationships/hyperlink" Target="http://www.sec.gov/Archives/edgar/data/1311370/000119312519096097/d642761dex104.htm" TargetMode="External"/><Relationship Id="rId125" Type="http://schemas.openxmlformats.org/officeDocument/2006/relationships/hyperlink" Target="http://www.sec.gov/Archives/edgar/data/1311370/000119312519096097/d642761dex102.htm" TargetMode="External"/><Relationship Id="rId126" Type="http://schemas.openxmlformats.org/officeDocument/2006/relationships/hyperlink" Target="http://www.sec.gov/Archives/edgar/data/1311370/000119312519096097/d642761dex105.htm" TargetMode="External"/><Relationship Id="rId127" Type="http://schemas.openxmlformats.org/officeDocument/2006/relationships/hyperlink" Target="http://www.sec.gov/Archives/edgar/data/1311370/000089882205001180/sept9_exhibit.txt" TargetMode="External"/><Relationship Id="rId128" Type="http://schemas.openxmlformats.org/officeDocument/2006/relationships/hyperlink" Target="http://www.sec.gov/Archives/edgar/data/1311370/000119312509041325/dex1041.htm" TargetMode="External"/><Relationship Id="rId129" Type="http://schemas.openxmlformats.org/officeDocument/2006/relationships/hyperlink" Target="http://www.sec.gov/Archives/edgar/data/1311370/000119312509041325/dex1042.htm" TargetMode="External"/><Relationship Id="rId130" Type="http://schemas.openxmlformats.org/officeDocument/2006/relationships/hyperlink" Target="http://www.sec.gov/Archives/edgar/data/1311370/000119312506109044/dex1039.htm" TargetMode="External"/><Relationship Id="rId131" Type="http://schemas.openxmlformats.org/officeDocument/2006/relationships/hyperlink" Target="http://www.sec.gov/Archives/edgar/data/1311370/000119312515355042/d41332dex1027.htm" TargetMode="External"/><Relationship Id="rId132" Type="http://schemas.openxmlformats.org/officeDocument/2006/relationships/hyperlink" Target="http://www.sec.gov/Archives/edgar/data/1311370/000119312513188120/d498095dex1055.htm" TargetMode="External"/><Relationship Id="rId133" Type="http://schemas.openxmlformats.org/officeDocument/2006/relationships/hyperlink" Target="http://www.sec.gov/Archives/edgar/data/1311370/000119312514184963/d687179dex1055.htm" TargetMode="External"/><Relationship Id="rId134" Type="http://schemas.openxmlformats.org/officeDocument/2006/relationships/hyperlink" Target="http://www.sec.gov/Archives/edgar/data/1311370/000119312514184963/d687179dex1056.htm" TargetMode="External"/><Relationship Id="rId135" Type="http://schemas.openxmlformats.org/officeDocument/2006/relationships/hyperlink" Target="http://www.sec.gov/Archives/edgar/data/1311370/000119312510102269/dex1055.htm" TargetMode="External"/><Relationship Id="rId136" Type="http://schemas.openxmlformats.org/officeDocument/2006/relationships/hyperlink" Target="http://www.sec.gov/Archives/edgar/data/1311370/000119312511117012/dex105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2019-12-28T13:35:06Z</dcterms:created>
  <dcterms:modified xsi:type="dcterms:W3CDTF">2019-12-28T13:35:06Z</dcterms:modified>
</cp:coreProperties>
</file>