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360" w:type="dxa"/>
        <w:tblCellMar>
          <w:top w:w="0" w:type="dxa"/>
          <w:left w:w="0" w:type="dxa"/>
          <w:bottom w:w="0" w:type="dxa"/>
          <w:right w:w="0" w:type="dxa"/>
        </w:tblCellMar>
      </w:tblPr>
      <w:tr>
        <w:trPr>
          <w:trHeight w:val="53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43"/>
                <w:szCs w:val="43"/>
                <w:b w:val="1"/>
                <w:bCs w:val="1"/>
                <w:color w:val="auto"/>
              </w:rPr>
              <w:t>LAZARD LTD</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2"/>
                <w:szCs w:val="22"/>
                <w:color w:val="auto"/>
              </w:rPr>
            </w:pPr>
          </w:p>
        </w:tc>
        <w:tc>
          <w:tcPr>
            <w:tcW w:w="4960" w:type="dxa"/>
            <w:vAlign w:val="bottom"/>
            <w:gridSpan w:val="4"/>
          </w:tcPr>
          <w:p>
            <w:pPr>
              <w:jc w:val="center"/>
              <w:ind w:right="3860"/>
              <w:spacing w:after="0"/>
              <w:rPr>
                <w:sz w:val="20"/>
                <w:szCs w:val="20"/>
                <w:color w:val="auto"/>
              </w:rPr>
            </w:pPr>
            <w:r>
              <w:rPr>
                <w:rFonts w:ascii="Arial" w:cs="Arial" w:eastAsia="Arial" w:hAnsi="Arial"/>
                <w:sz w:val="18"/>
                <w:szCs w:val="18"/>
                <w:b w:val="1"/>
                <w:bCs w:val="1"/>
                <w:color w:val="auto"/>
                <w:w w:val="89"/>
              </w:rPr>
              <w:t>Bermuda</w:t>
            </w:r>
          </w:p>
        </w:tc>
        <w:tc>
          <w:tcPr>
            <w:tcW w:w="204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98-0437848</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960" w:type="dxa"/>
            <w:vAlign w:val="bottom"/>
            <w:gridSpan w:val="5"/>
          </w:tcPr>
          <w:p>
            <w:pPr>
              <w:jc w:val="center"/>
              <w:ind w:right="18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660" w:type="dxa"/>
            <w:vAlign w:val="bottom"/>
            <w:gridSpan w:val="4"/>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4960" w:type="dxa"/>
            <w:vAlign w:val="bottom"/>
            <w:gridSpan w:val="4"/>
          </w:tcPr>
          <w:p>
            <w:pPr>
              <w:jc w:val="center"/>
              <w:ind w:right="3840"/>
              <w:spacing w:after="0"/>
              <w:rPr>
                <w:sz w:val="20"/>
                <w:szCs w:val="20"/>
                <w:color w:val="auto"/>
              </w:rPr>
            </w:pPr>
            <w:r>
              <w:rPr>
                <w:rFonts w:ascii="Arial" w:cs="Arial" w:eastAsia="Arial" w:hAnsi="Arial"/>
                <w:sz w:val="14"/>
                <w:szCs w:val="14"/>
                <w:b w:val="1"/>
                <w:bCs w:val="1"/>
                <w:color w:val="auto"/>
                <w:w w:val="88"/>
              </w:rPr>
              <w:t>or Organization)</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Clarendon House</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2 Church Street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Hamilton HM11, Bermuda</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0" w:type="dxa"/>
            <w:vAlign w:val="bottom"/>
            <w:vMerge w:val="restart"/>
          </w:tcPr>
          <w:p>
            <w:pPr>
              <w:ind w:left="660"/>
              <w:spacing w:after="0"/>
              <w:rPr>
                <w:sz w:val="20"/>
                <w:szCs w:val="20"/>
                <w:color w:val="auto"/>
              </w:rPr>
            </w:pPr>
            <w:r>
              <w:rPr>
                <w:rFonts w:ascii="Arial" w:cs="Arial" w:eastAsia="Arial" w:hAnsi="Arial"/>
                <w:sz w:val="18"/>
                <w:szCs w:val="18"/>
                <w:b w:val="1"/>
                <w:bCs w:val="1"/>
                <w:color w:val="auto"/>
                <w:w w:val="88"/>
              </w:rPr>
              <w:t>Class A Common</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3880" w:type="dxa"/>
            <w:vAlign w:val="bottom"/>
            <w:gridSpan w:val="3"/>
          </w:tcPr>
          <w:p>
            <w:pPr>
              <w:spacing w:after="0"/>
              <w:rPr>
                <w:sz w:val="22"/>
                <w:szCs w:val="22"/>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000" w:type="dxa"/>
            <w:vAlign w:val="bottom"/>
            <w:vMerge w:val="continue"/>
          </w:tcPr>
          <w:p>
            <w:pPr>
              <w:spacing w:after="0"/>
              <w:rPr>
                <w:sz w:val="19"/>
                <w:szCs w:val="19"/>
                <w:color w:val="auto"/>
              </w:rPr>
            </w:pPr>
          </w:p>
        </w:tc>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Stock, par value $0.01 per share</w:t>
            </w:r>
          </w:p>
        </w:tc>
        <w:tc>
          <w:tcPr>
            <w:tcW w:w="2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31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4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3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5"/>
        </w:trPr>
        <w:tc>
          <w:tcPr>
            <w:tcW w:w="83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aggregate market value of the common stock held by non-affiliates of the Registrant as of June 30, 2013 was approximately $3,886,191,338.</w:t>
      </w:r>
    </w:p>
    <w:p>
      <w:pPr>
        <w:spacing w:after="0" w:line="86" w:lineRule="exact"/>
        <w:rPr>
          <w:sz w:val="24"/>
          <w:szCs w:val="24"/>
          <w:color w:val="auto"/>
        </w:rPr>
      </w:pPr>
    </w:p>
    <w:p>
      <w:pPr>
        <w:ind w:right="100" w:firstLine="342"/>
        <w:spacing w:after="0" w:line="268" w:lineRule="auto"/>
        <w:rPr>
          <w:sz w:val="20"/>
          <w:szCs w:val="20"/>
          <w:color w:val="auto"/>
        </w:rPr>
      </w:pPr>
      <w:r>
        <w:rPr>
          <w:rFonts w:ascii="Arial" w:cs="Arial" w:eastAsia="Arial" w:hAnsi="Arial"/>
          <w:sz w:val="18"/>
          <w:szCs w:val="18"/>
          <w:color w:val="auto"/>
        </w:rPr>
        <w:t>As of January 31, 2014, there were 129,056,081 shares of the Registrant’s Class A common stock (including 9,401,151 shares held by subsidiaries) and one share of the registrant’s Class B common stock outstanding.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proxy statement for its 2014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40">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41">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42">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43">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December 31, 2013 of approximately 99.5% of the common membership interests in Lazard Group and its controlling interest in Lazard Group.</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41 cities in key business and financial centers across 26 countries throughout Europe, North America,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the years ended December 31, 2013, 2012 and 2011, our Financial Advisory segment net revenue totaled $981 million, $1.049 billion and $992 million, respectively, accounting for approximately 49%, 55% and 54%, respectively, of our consolidated net revenue for such years. We earned $1 million or more from 235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clients, 255 clients and 241 clients for the years ended December 31, 2013, 2012 and 2011, respectively. For the years ended December 31, 2013, 2012 and 2011, the ten largest fee paying clients constituted approximately 19%, 18% and 14% of our Financial Advisory segment net revenue, respectively, with no client individually constituting more than 10% of segment net revenue during any of these years. For the years ended December 31, 2013, 2012 and 2011, our Financial Advisory segment reported operating income (loss) of $21 million, $(9) million and $62 million, respectively. Operating income in 2013 and 2012 included charges of $47 million and $78 million, respectively, associated with the cost saving initiatives (as described in Note 16 of Notes to Consolidated Financial Statements) announced by the Company in October 2012. Excluding the impact of such charges, our Financial Advisory segment had operating income of $68 million and $69 million in the years ended December 31, 2013 and 2012, respectively. At December 31, 2013, 2012 and 2011, our Financial Advisory segment had total assets of $715 million, $793 million and $768 million, respectively.</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as well as a presence in Argentina, Australia, Belgium, Brazil, Chile, China, Colombia, Germany, Hong Kong, India, Italy, Japan, the Netherlands, Panama, Peru, Singapore, Spain, Sweden, Switzerland and the Middle East Region.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Over the past several years, our Financial Advisory segment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Australia Holdings Pty Limited, and, along with the Company’s existing financial advisory business in Australia, referred to below as “Lazard Australia”, and we entered into a joint cooperation agreement with Raiffeisen Investment AG (“Raiffeisen”) for merger and acquisition advisory services in Russia and the Central and Eastern European (the “CEE”) region. The cooperation agreement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 In 2012, we integrated our Brazilian operations based in São Paulo, and established a Lazard Africa initiative to leverage our sovereign and corporate expertise in this rapidly growing region, for our clients in both developed and developing countries.</w:t>
      </w:r>
    </w:p>
    <w:p>
      <w:pPr>
        <w:spacing w:after="0" w:line="12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 other debt, including convertible securities, originating public underwritings of equity, debt and convertible securities and originating and executing private placements of partnership and similar interests in alternative investment funds such as leveraged buyout, mezzanine or real estate focused funds.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also have been at the forefront of providing independent advice to governments and governmental agencies challenged by the economic environment. Lazard’s Sovereign Advisory Group has advised a number of countries with respect to sovereign debt and other issues.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May 10, 2005, Lazard Group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(“LFCM Holdings”), an entity owned by former and current managing directors (including our executive officers) of Lazard Group. We refer to these businesses, assets and liabilities as the “separated businesses” and these transfers collectively as the “separation.” In connection with the separation, we entered into a business alliance agreement dated as of May 10, 2005 by and among Lazard Group, LAZ-MD Holdings LLC (“LAZ-MD Holdings”), an entity owned by former and current managing directors of Lazard Group,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 Consistent with any obligations to LFCM Holdings, we may explore capital markets opportunities in the future.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2013, our Financial Advisory segment had 132 managing directors and 701 other professionals (which includes directors, vice presidents, associates and analysts).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developing new client relationships, including leveraging the broad geographic footprint and strong relationships in our Asset Management business,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and Sovereign Advisory Groups,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 and</w:t>
      </w:r>
    </w:p>
    <w:p>
      <w:pPr>
        <w:spacing w:after="0" w:line="50" w:lineRule="exact"/>
        <w:rPr>
          <w:rFonts w:ascii="Arial" w:cs="Arial" w:eastAsia="Arial" w:hAnsi="Arial"/>
          <w:sz w:val="18"/>
          <w:szCs w:val="18"/>
          <w:color w:val="auto"/>
        </w:rPr>
      </w:pPr>
    </w:p>
    <w:p>
      <w:pPr>
        <w:ind w:left="900" w:right="16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broadening our geographic presence by adding new offices, including, since the beginning of 2007, offices in Australia (Melbourne and Perth), Switzerland (Zurich) and the Middle East Region, as well as new regional offices in the U.S. (Boston, Minneapolis and Charlotte), acquiring a 50% interest in a financial advisory firm with offices in Central and South America (Argentina, Chile, Colombia, Panama and Peru), integrating our Brazilian operations based in São Paulo, establishing the Lazard Africa initiative and entering into a joint cooperation agreement with respect to Russia and the CEE region, as well as a strategic alliance with a financial advisory firm in Mexico.</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the developed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we have broadened our geographic footprint through acquisitions, investments and alliances.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Recapitalization and Relationship with Natixis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we completed the initial equity public offering (the “equity public offering”) of Class A common stock of Lazard Ltd (“Class A common stock” or “common stock”), a public offering of equity security units of Lazard Ltd, private placements under an investment agreement with IXIS Corporate &amp; Investment Bank (“IXIS” or, following its merger with and into its parent, “Natixis”) and a private offering of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Lazard Group and Natixis had in place a cooperation arrangement to place and underwrite securities in the French capital markets under a common brand, “Lazard-Natixis,” and cooperate in their respective origination, syndication, placement and other activities. The cooperation arrangement primarily covered French listed companies included in the Société des Bourses Francaises (“SBF”) 120 Index and initial public offerings with an expected resulting market capitalization of at least €500 million. The term of the cooperation arrangement expired on December 31, 2012. Discussions have occurred, and may occur in the future, regarding the execution of a new form of cooperation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analyzing, among other things, a company’s financial position, productivity and opportunities in light of its valuation.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2013, total assets under management (“AUM”) were $187 billion, of which approximately 82% was invested in equities, 14% in fixed income, 3% in alternative investments and 1% in private equity funds. As of the same date, within the equity platform, approximately 25% of our AUM was invested in emerging markets strategies, 21%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19% in global investment strategies and 17% in local investment strategies. Within the fixed income platform, approximately 5% of our AUM was invested in emerging markets strategies, 6%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 in global investment strategies and 2% in local investment strategies. Our top ten clients accounted for 24%, 23% and 22% of our total AUM at December 31, 2013, 2012 and 2011, respectively, with no client individually constituting more than 10% of our Asset Management segment net revenue during any of the respective years. Approximately 90% of our AUM as of December 31, 2013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high-net worth individuals.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2013, measured by broad product strategy and by office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For the years ended December 31, 2013, 2012 and 2011, our Asset Management segment net revenue totaled $1.039 billion, $896 million and $897 million, respectively, accounting for approximately 52%, 47% and 49%, respectively, of our consolidated net revenue for such years. For the years ended December 31, 2013, 2012 and 2011, our Asset Management segment reported operating income of $335 million, $237 million and $268 million, respectively. Operating income in 2013 and 2012 included charges of $0.2 million and $13 million, respectively, associated with the cost saving initiatives announced by the Company in October 2012, and, in 2013, included a charge of $12 million relating to private equity incentive compensation (as described in “Management’s Discussion and Analysis of Financial Condition and Results of Operations”). Excluding the impact of such charges, our Asset Management segment had operating income of $347 million and $250 million in the years ended December 31, 2013 and 2012, respectively. At December 31, 2013, 2012 and 2011, our Asset Management segment had total assets of $612 million, $567 million and $584 million,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largest Asset Management businesses are Lazard Asset Management LLC and its subsidiaries (“LAM”), with offices in New York, San Francisco, Boston, Chicago, Toronto, Montreal, London, Milan, Frankfurt, Hamburg, Zurich, Tokyo, Hong Kong, Sydney, Seoul, Singapore and Manama (aggregating approximately $168 billion in total AUM as of December 31, 2013), and Lazard Frères Gestion SAS (“LFG”), with offices in Paris, Bordeaux, Brussels, Lyon and Nantes (aggregating approximately $18 billion in total AUM as of December 31, 2013). These operations, with 72 managing directors and 362 professionals as of December 31, 2013, provide our asset management business with both a global presence and a local identity.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a company’s financial position, productivity and opportunities in light of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Equity</w:t>
            </w:r>
          </w:p>
        </w:tc>
        <w:tc>
          <w:tcPr>
            <w:tcW w:w="192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Thematic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Convertibles**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Listed Infrastructure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Trend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340" w:type="dxa"/>
            <w:vAlign w:val="bottom"/>
            <w:gridSpan w:val="2"/>
          </w:tcPr>
          <w:p>
            <w:pPr>
              <w:ind w:left="880"/>
              <w:spacing w:after="0"/>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160"/>
        <w:spacing w:after="0"/>
        <w:rPr>
          <w:sz w:val="20"/>
          <w:szCs w:val="20"/>
          <w:color w:val="auto"/>
        </w:rPr>
      </w:pPr>
      <w:r>
        <w:rPr>
          <w:rFonts w:ascii="Arial" w:cs="Arial" w:eastAsia="Arial" w:hAnsi="Arial"/>
          <w:sz w:val="14"/>
          <w:szCs w:val="14"/>
          <w:b w:val="1"/>
          <w:bCs w:val="1"/>
          <w:i w:val="1"/>
          <w:iCs w:val="1"/>
          <w:color w:val="auto"/>
        </w:rPr>
        <w:t>Global Ex</w:t>
      </w:r>
    </w:p>
    <w:p>
      <w:pPr>
        <w:ind w:left="2160"/>
        <w:spacing w:after="0" w:line="221" w:lineRule="auto"/>
        <w:rPr>
          <w:sz w:val="20"/>
          <w:szCs w:val="20"/>
          <w:color w:val="auto"/>
        </w:rPr>
      </w:pPr>
      <w:r>
        <w:rPr>
          <w:rFonts w:ascii="Arial" w:cs="Arial" w:eastAsia="Arial" w:hAnsi="Arial"/>
          <w:sz w:val="14"/>
          <w:szCs w:val="14"/>
          <w:color w:val="auto"/>
        </w:rPr>
        <w:t>Global Ex-U.K.</w:t>
      </w:r>
    </w:p>
    <w:p>
      <w:pPr>
        <w:ind w:left="2160"/>
        <w:spacing w:after="0" w:line="221" w:lineRule="auto"/>
        <w:rPr>
          <w:sz w:val="20"/>
          <w:szCs w:val="20"/>
          <w:color w:val="auto"/>
        </w:rPr>
      </w:pPr>
      <w:r>
        <w:rPr>
          <w:rFonts w:ascii="Arial" w:cs="Arial" w:eastAsia="Arial" w:hAnsi="Arial"/>
          <w:sz w:val="14"/>
          <w:szCs w:val="14"/>
          <w:color w:val="auto"/>
        </w:rPr>
        <w:t>Global Ex-Japan</w:t>
      </w:r>
    </w:p>
    <w:p>
      <w:pPr>
        <w:ind w:left="2160"/>
        <w:spacing w:after="0"/>
        <w:rPr>
          <w:sz w:val="20"/>
          <w:szCs w:val="20"/>
          <w:color w:val="auto"/>
        </w:rPr>
      </w:pPr>
      <w:r>
        <w:rPr>
          <w:rFonts w:ascii="Arial" w:cs="Arial" w:eastAsia="Arial" w:hAnsi="Arial"/>
          <w:sz w:val="14"/>
          <w:szCs w:val="14"/>
          <w:color w:val="auto"/>
        </w:rPr>
        <w:t>Global Ex-Australia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Fixed Income and Cash</w:t>
      </w:r>
      <w:r>
        <w:rPr>
          <w:sz w:val="20"/>
          <w:szCs w:val="20"/>
          <w:color w:val="auto"/>
        </w:rPr>
        <w:tab/>
      </w:r>
      <w:r>
        <w:rPr>
          <w:rFonts w:ascii="Arial" w:cs="Arial" w:eastAsia="Arial" w:hAnsi="Arial"/>
          <w:sz w:val="12"/>
          <w:szCs w:val="12"/>
          <w:b w:val="1"/>
          <w:bCs w:val="1"/>
          <w:i w:val="1"/>
          <w:iCs w:val="1"/>
          <w:color w:val="auto"/>
        </w:rPr>
        <w:t>Global</w:t>
      </w:r>
    </w:p>
    <w:p>
      <w:pPr>
        <w:spacing w:after="0" w:line="223" w:lineRule="auto"/>
        <w:tabs>
          <w:tab w:leader="none" w:pos="2140" w:val="left"/>
        </w:tabs>
        <w:rPr>
          <w:sz w:val="20"/>
          <w:szCs w:val="20"/>
          <w:color w:val="auto"/>
        </w:rPr>
      </w:pPr>
      <w:r>
        <w:rPr>
          <w:rFonts w:ascii="Arial" w:cs="Arial" w:eastAsia="Arial" w:hAnsi="Arial"/>
          <w:sz w:val="14"/>
          <w:szCs w:val="14"/>
          <w:b w:val="1"/>
          <w:bCs w:val="1"/>
          <w:color w:val="auto"/>
        </w:rPr>
        <w:t>Management</w:t>
      </w:r>
      <w:r>
        <w:rPr>
          <w:sz w:val="20"/>
          <w:szCs w:val="20"/>
          <w:color w:val="auto"/>
        </w:rPr>
        <w:tab/>
      </w:r>
      <w:r>
        <w:rPr>
          <w:rFonts w:ascii="Arial" w:cs="Arial" w:eastAsia="Arial" w:hAnsi="Arial"/>
          <w:sz w:val="14"/>
          <w:szCs w:val="14"/>
          <w:color w:val="auto"/>
        </w:rPr>
        <w:t>Core Fixed Income</w:t>
      </w:r>
    </w:p>
    <w:p>
      <w:pPr>
        <w:ind w:left="2160"/>
        <w:spacing w:after="0" w:line="222" w:lineRule="auto"/>
        <w:rPr>
          <w:sz w:val="20"/>
          <w:szCs w:val="20"/>
          <w:color w:val="auto"/>
        </w:rPr>
      </w:pPr>
      <w:r>
        <w:rPr>
          <w:rFonts w:ascii="Arial" w:cs="Arial" w:eastAsia="Arial" w:hAnsi="Arial"/>
          <w:sz w:val="14"/>
          <w:szCs w:val="14"/>
          <w:color w:val="auto"/>
        </w:rPr>
        <w:t>High Yield</w:t>
      </w:r>
    </w:p>
    <w:p>
      <w:pPr>
        <w:ind w:left="2160"/>
        <w:spacing w:after="0"/>
        <w:rPr>
          <w:sz w:val="20"/>
          <w:szCs w:val="20"/>
          <w:color w:val="auto"/>
        </w:rPr>
      </w:pPr>
      <w:r>
        <w:rPr>
          <w:rFonts w:ascii="Arial" w:cs="Arial" w:eastAsia="Arial" w:hAnsi="Arial"/>
          <w:sz w:val="14"/>
          <w:szCs w:val="14"/>
          <w:color w:val="auto"/>
        </w:rPr>
        <w:t>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Alternative</w:t>
      </w:r>
      <w:r>
        <w:rPr>
          <w:sz w:val="20"/>
          <w:szCs w:val="20"/>
          <w:color w:val="auto"/>
        </w:rPr>
        <w:tab/>
      </w:r>
      <w:r>
        <w:rPr>
          <w:rFonts w:ascii="Arial" w:cs="Arial" w:eastAsia="Arial" w:hAnsi="Arial"/>
          <w:sz w:val="14"/>
          <w:szCs w:val="14"/>
          <w:b w:val="1"/>
          <w:bCs w:val="1"/>
          <w:i w:val="1"/>
          <w:iCs w:val="1"/>
          <w:color w:val="auto"/>
        </w:rPr>
        <w:t>Global</w:t>
      </w:r>
    </w:p>
    <w:p>
      <w:pPr>
        <w:ind w:left="2160"/>
        <w:spacing w:after="0" w:line="224" w:lineRule="auto"/>
        <w:rPr>
          <w:sz w:val="20"/>
          <w:szCs w:val="20"/>
          <w:color w:val="auto"/>
        </w:rPr>
      </w:pPr>
      <w:r>
        <w:rPr>
          <w:rFonts w:ascii="Arial" w:cs="Arial" w:eastAsia="Arial" w:hAnsi="Arial"/>
          <w:sz w:val="14"/>
          <w:szCs w:val="14"/>
          <w:color w:val="auto"/>
        </w:rPr>
        <w:t>Fund of Hedge Funds</w:t>
      </w:r>
    </w:p>
    <w:p>
      <w:pPr>
        <w:jc w:val="right"/>
        <w:ind w:right="480"/>
        <w:spacing w:after="0" w:line="221" w:lineRule="auto"/>
        <w:rPr>
          <w:sz w:val="20"/>
          <w:szCs w:val="20"/>
          <w:color w:val="auto"/>
        </w:rPr>
      </w:pPr>
      <w:r>
        <w:rPr>
          <w:rFonts w:ascii="Arial" w:cs="Arial" w:eastAsia="Arial" w:hAnsi="Arial"/>
          <w:sz w:val="14"/>
          <w:szCs w:val="14"/>
          <w:color w:val="auto"/>
        </w:rPr>
        <w:t>Fund of Closed-End Funds</w:t>
      </w:r>
    </w:p>
    <w:p>
      <w:pPr>
        <w:jc w:val="right"/>
        <w:ind w:right="460"/>
        <w:spacing w:after="0" w:line="222" w:lineRule="auto"/>
        <w:rPr>
          <w:sz w:val="20"/>
          <w:szCs w:val="20"/>
          <w:color w:val="auto"/>
        </w:rPr>
      </w:pPr>
      <w:r>
        <w:rPr>
          <w:rFonts w:ascii="Arial" w:cs="Arial" w:eastAsia="Arial" w:hAnsi="Arial"/>
          <w:sz w:val="14"/>
          <w:szCs w:val="14"/>
          <w:color w:val="auto"/>
        </w:rPr>
        <w:t>(Long and Long/Short)</w:t>
      </w:r>
    </w:p>
    <w:p>
      <w:pPr>
        <w:ind w:left="2160"/>
        <w:spacing w:after="0" w:line="221" w:lineRule="auto"/>
        <w:rPr>
          <w:sz w:val="20"/>
          <w:szCs w:val="20"/>
          <w:color w:val="auto"/>
        </w:rPr>
      </w:pPr>
      <w:r>
        <w:rPr>
          <w:rFonts w:ascii="Arial" w:cs="Arial" w:eastAsia="Arial" w:hAnsi="Arial"/>
          <w:sz w:val="14"/>
          <w:szCs w:val="14"/>
          <w:color w:val="auto"/>
        </w:rPr>
        <w:t>Convertible</w:t>
      </w:r>
    </w:p>
    <w:p>
      <w:pPr>
        <w:ind w:left="2160"/>
        <w:spacing w:after="0" w:line="222" w:lineRule="auto"/>
        <w:rPr>
          <w:sz w:val="20"/>
          <w:szCs w:val="20"/>
          <w:color w:val="auto"/>
        </w:rPr>
      </w:pPr>
      <w:r>
        <w:rPr>
          <w:rFonts w:ascii="Arial" w:cs="Arial" w:eastAsia="Arial" w:hAnsi="Arial"/>
          <w:sz w:val="14"/>
          <w:szCs w:val="14"/>
          <w:color w:val="auto"/>
        </w:rPr>
        <w:t>Long/Short Equity</w:t>
      </w:r>
    </w:p>
    <w:p>
      <w:pPr>
        <w:ind w:left="2160"/>
        <w:spacing w:after="0"/>
        <w:rPr>
          <w:sz w:val="20"/>
          <w:szCs w:val="20"/>
          <w:color w:val="auto"/>
        </w:rPr>
      </w:pPr>
      <w:r>
        <w:rPr>
          <w:rFonts w:ascii="Arial" w:cs="Arial" w:eastAsia="Arial" w:hAnsi="Arial"/>
          <w:sz w:val="12"/>
          <w:szCs w:val="12"/>
          <w:color w:val="auto"/>
        </w:rPr>
        <w:t>Arbitrage/Relative Value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4"/>
          <w:szCs w:val="14"/>
          <w:b w:val="1"/>
          <w:bCs w:val="1"/>
          <w:u w:val="single" w:color="auto"/>
          <w:color w:val="auto"/>
        </w:rPr>
        <w:t>Multi-Regional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Large Capitalization**</w:t>
      </w:r>
    </w:p>
    <w:p>
      <w:pPr>
        <w:spacing w:after="0"/>
        <w:rPr>
          <w:sz w:val="20"/>
          <w:szCs w:val="20"/>
          <w:color w:val="auto"/>
        </w:rPr>
      </w:pPr>
      <w:r>
        <w:rPr>
          <w:rFonts w:ascii="Arial" w:cs="Arial" w:eastAsia="Arial" w:hAnsi="Arial"/>
          <w:sz w:val="14"/>
          <w:szCs w:val="14"/>
          <w:color w:val="auto"/>
        </w:rPr>
        <w:t>Small Capitalization**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Continental European</w:t>
      </w:r>
    </w:p>
    <w:p>
      <w:pPr>
        <w:spacing w:after="0" w:line="221" w:lineRule="auto"/>
        <w:rPr>
          <w:sz w:val="20"/>
          <w:szCs w:val="20"/>
          <w:color w:val="auto"/>
        </w:rPr>
      </w:pPr>
      <w:r>
        <w:rPr>
          <w:rFonts w:ascii="Arial" w:cs="Arial" w:eastAsia="Arial" w:hAnsi="Arial"/>
          <w:sz w:val="14"/>
          <w:szCs w:val="14"/>
          <w:color w:val="auto"/>
        </w:rPr>
        <w:t>Small Cap</w:t>
      </w:r>
    </w:p>
    <w:p>
      <w:pPr>
        <w:spacing w:after="0" w:line="221" w:lineRule="auto"/>
        <w:rPr>
          <w:sz w:val="20"/>
          <w:szCs w:val="20"/>
          <w:color w:val="auto"/>
        </w:rPr>
      </w:pPr>
      <w:r>
        <w:rPr>
          <w:rFonts w:ascii="Arial" w:cs="Arial" w:eastAsia="Arial" w:hAnsi="Arial"/>
          <w:sz w:val="14"/>
          <w:szCs w:val="14"/>
          <w:color w:val="auto"/>
        </w:rPr>
        <w:t>Multi Cap</w:t>
      </w:r>
    </w:p>
    <w:p>
      <w:pPr>
        <w:spacing w:after="0" w:line="222" w:lineRule="auto"/>
        <w:rPr>
          <w:sz w:val="20"/>
          <w:szCs w:val="20"/>
          <w:color w:val="auto"/>
        </w:rPr>
      </w:pPr>
      <w:r>
        <w:rPr>
          <w:rFonts w:ascii="Arial" w:cs="Arial" w:eastAsia="Arial" w:hAnsi="Arial"/>
          <w:sz w:val="14"/>
          <w:szCs w:val="14"/>
          <w:color w:val="auto"/>
        </w:rPr>
        <w:t>Eurozone</w:t>
      </w:r>
    </w:p>
    <w:p>
      <w:pPr>
        <w:spacing w:after="0"/>
        <w:rPr>
          <w:sz w:val="20"/>
          <w:szCs w:val="20"/>
          <w:color w:val="auto"/>
        </w:rPr>
      </w:pPr>
      <w:r>
        <w:rPr>
          <w:rFonts w:ascii="Arial" w:cs="Arial" w:eastAsia="Arial" w:hAnsi="Arial"/>
          <w:sz w:val="14"/>
          <w:szCs w:val="14"/>
          <w:color w:val="auto"/>
        </w:rPr>
        <w:t>Euro-Trend (Thematic)</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Asian</w:t>
      </w:r>
    </w:p>
    <w:p>
      <w:pPr>
        <w:spacing w:after="0"/>
        <w:rPr>
          <w:sz w:val="20"/>
          <w:szCs w:val="20"/>
          <w:color w:val="auto"/>
        </w:rPr>
      </w:pPr>
      <w:r>
        <w:rPr>
          <w:rFonts w:ascii="Arial" w:cs="Arial" w:eastAsia="Arial" w:hAnsi="Arial"/>
          <w:sz w:val="14"/>
          <w:szCs w:val="14"/>
          <w:color w:val="auto"/>
        </w:rPr>
        <w:t>Asia Ex-Japan</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 Australasia and Far East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line="221" w:lineRule="auto"/>
        <w:rPr>
          <w:sz w:val="20"/>
          <w:szCs w:val="20"/>
          <w:color w:val="auto"/>
        </w:rPr>
      </w:pPr>
      <w:r>
        <w:rPr>
          <w:rFonts w:ascii="Arial" w:cs="Arial" w:eastAsia="Arial" w:hAnsi="Arial"/>
          <w:sz w:val="14"/>
          <w:szCs w:val="14"/>
          <w:color w:val="auto"/>
        </w:rPr>
        <w:t>Multi-Capitalization</w:t>
      </w:r>
    </w:p>
    <w:p>
      <w:pPr>
        <w:spacing w:after="0" w:line="222" w:lineRule="auto"/>
        <w:rPr>
          <w:sz w:val="20"/>
          <w:szCs w:val="20"/>
          <w:color w:val="auto"/>
        </w:rPr>
      </w:pPr>
      <w:r>
        <w:rPr>
          <w:rFonts w:ascii="Arial" w:cs="Arial" w:eastAsia="Arial" w:hAnsi="Arial"/>
          <w:sz w:val="14"/>
          <w:szCs w:val="14"/>
          <w:color w:val="auto"/>
        </w:rPr>
        <w:t>Quantitative</w:t>
      </w:r>
    </w:p>
    <w:p>
      <w:pPr>
        <w:spacing w:after="0"/>
        <w:rPr>
          <w:sz w:val="20"/>
          <w:szCs w:val="20"/>
          <w:color w:val="auto"/>
        </w:rPr>
      </w:pPr>
      <w:r>
        <w:rPr>
          <w:rFonts w:ascii="Arial" w:cs="Arial" w:eastAsia="Arial" w:hAnsi="Arial"/>
          <w:sz w:val="14"/>
          <w:szCs w:val="14"/>
          <w:color w:val="auto"/>
        </w:rPr>
        <w:t>Real Estate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Core Fixed Income</w:t>
      </w:r>
    </w:p>
    <w:p>
      <w:pPr>
        <w:spacing w:after="0" w:line="221" w:lineRule="auto"/>
        <w:rPr>
          <w:sz w:val="20"/>
          <w:szCs w:val="20"/>
          <w:color w:val="auto"/>
        </w:rPr>
      </w:pPr>
      <w:r>
        <w:rPr>
          <w:rFonts w:ascii="Arial" w:cs="Arial" w:eastAsia="Arial" w:hAnsi="Arial"/>
          <w:sz w:val="14"/>
          <w:szCs w:val="14"/>
          <w:color w:val="auto"/>
        </w:rPr>
        <w:t>High Yield</w:t>
      </w:r>
    </w:p>
    <w:p>
      <w:pPr>
        <w:spacing w:after="0" w:line="222"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Duration Overlay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Fixed Income**</w:t>
      </w:r>
    </w:p>
    <w:p>
      <w:pPr>
        <w:spacing w:after="0" w:line="221"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Corporate Bonds**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Local</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Emerging Markets</w:t>
            </w:r>
          </w:p>
        </w:tc>
      </w:tr>
      <w:tr>
        <w:trPr>
          <w:trHeight w:val="131"/>
        </w:trPr>
        <w:tc>
          <w:tcPr>
            <w:tcW w:w="1020" w:type="dxa"/>
            <w:vAlign w:val="bottom"/>
          </w:tcPr>
          <w:p>
            <w:pPr>
              <w:spacing w:after="0" w:line="131" w:lineRule="exact"/>
              <w:rPr>
                <w:sz w:val="20"/>
                <w:szCs w:val="20"/>
                <w:color w:val="auto"/>
              </w:rPr>
            </w:pPr>
            <w:r>
              <w:rPr>
                <w:rFonts w:ascii="Arial" w:cs="Arial" w:eastAsia="Arial" w:hAnsi="Arial"/>
                <w:sz w:val="14"/>
                <w:szCs w:val="14"/>
                <w:b w:val="1"/>
                <w:bCs w:val="1"/>
                <w:i w:val="1"/>
                <w:iCs w:val="1"/>
                <w:color w:val="auto"/>
              </w:rPr>
              <w:t>U.S.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2"/>
          </w:tcPr>
          <w:p>
            <w:pPr>
              <w:ind w:left="560"/>
              <w:spacing w:after="0" w:line="131" w:lineRule="exact"/>
              <w:rPr>
                <w:sz w:val="20"/>
                <w:szCs w:val="20"/>
                <w:color w:val="auto"/>
              </w:rPr>
            </w:pPr>
            <w:r>
              <w:rPr>
                <w:rFonts w:ascii="Arial" w:cs="Arial" w:eastAsia="Arial" w:hAnsi="Arial"/>
                <w:sz w:val="14"/>
                <w:szCs w:val="14"/>
                <w:b w:val="1"/>
                <w:bCs w:val="1"/>
                <w:i w:val="1"/>
                <w:iCs w:val="1"/>
                <w:color w:val="auto"/>
              </w:rPr>
              <w:t>Global</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Large 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Large Capitalization</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Mid 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Small Capitalization</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Small/Mid 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Quantitative</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Multi-Capitalization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Multi Strategies</w:t>
            </w:r>
          </w:p>
        </w:tc>
      </w:tr>
      <w:tr>
        <w:trPr>
          <w:trHeight w:val="172"/>
        </w:trPr>
        <w:tc>
          <w:tcPr>
            <w:tcW w:w="19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980" w:type="dxa"/>
            <w:vAlign w:val="bottom"/>
            <w:gridSpan w:val="2"/>
          </w:tcPr>
          <w:p>
            <w:pPr>
              <w:ind w:left="560"/>
              <w:spacing w:after="0"/>
              <w:rPr>
                <w:sz w:val="20"/>
                <w:szCs w:val="20"/>
                <w:color w:val="auto"/>
              </w:rPr>
            </w:pPr>
            <w:r>
              <w:rPr>
                <w:rFonts w:ascii="Arial" w:cs="Arial" w:eastAsia="Arial" w:hAnsi="Arial"/>
                <w:sz w:val="14"/>
                <w:szCs w:val="14"/>
                <w:color w:val="auto"/>
              </w:rPr>
              <w:t>Managed Volatility</w:t>
            </w:r>
          </w:p>
        </w:tc>
      </w:tr>
    </w:tbl>
    <w:p>
      <w:pPr>
        <w:spacing w:after="0" w:line="57"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Other</w:t>
      </w:r>
      <w:r>
        <w:rPr>
          <w:sz w:val="20"/>
          <w:szCs w:val="20"/>
          <w:color w:val="auto"/>
        </w:rPr>
        <w:tab/>
      </w:r>
      <w:r>
        <w:rPr>
          <w:rFonts w:ascii="Arial" w:cs="Arial" w:eastAsia="Arial" w:hAnsi="Arial"/>
          <w:sz w:val="14"/>
          <w:szCs w:val="14"/>
          <w:b w:val="1"/>
          <w:bCs w:val="1"/>
          <w:i w:val="1"/>
          <w:iCs w:val="1"/>
          <w:color w:val="auto"/>
        </w:rPr>
        <w:t>Latin America</w:t>
      </w:r>
    </w:p>
    <w:p>
      <w:pPr>
        <w:spacing w:after="0"/>
        <w:tabs>
          <w:tab w:leader="none" w:pos="2480" w:val="left"/>
        </w:tabs>
        <w:rPr>
          <w:sz w:val="20"/>
          <w:szCs w:val="20"/>
          <w:color w:val="auto"/>
        </w:rPr>
      </w:pPr>
      <w:r>
        <w:rPr>
          <w:rFonts w:ascii="Arial" w:cs="Arial" w:eastAsia="Arial" w:hAnsi="Arial"/>
          <w:sz w:val="14"/>
          <w:szCs w:val="14"/>
          <w:color w:val="auto"/>
        </w:rPr>
        <w:t>U.K. (Large Capitalization)</w:t>
      </w:r>
      <w:r>
        <w:rPr>
          <w:sz w:val="20"/>
          <w:szCs w:val="20"/>
          <w:color w:val="auto"/>
        </w:rPr>
        <w:tab/>
      </w:r>
      <w:r>
        <w:rPr>
          <w:rFonts w:ascii="Arial" w:cs="Arial" w:eastAsia="Arial" w:hAnsi="Arial"/>
          <w:sz w:val="12"/>
          <w:szCs w:val="12"/>
          <w:color w:val="auto"/>
        </w:rPr>
        <w:t>Latin America</w:t>
      </w:r>
    </w:p>
    <w:p>
      <w:pPr>
        <w:spacing w:after="0" w:line="221" w:lineRule="auto"/>
        <w:rPr>
          <w:sz w:val="20"/>
          <w:szCs w:val="20"/>
          <w:color w:val="auto"/>
        </w:rPr>
      </w:pPr>
      <w:r>
        <w:rPr>
          <w:rFonts w:ascii="Arial" w:cs="Arial" w:eastAsia="Arial" w:hAnsi="Arial"/>
          <w:sz w:val="14"/>
          <w:szCs w:val="14"/>
          <w:color w:val="auto"/>
        </w:rPr>
        <w:t>U.K. (Small Capitalization)</w:t>
      </w:r>
    </w:p>
    <w:p>
      <w:pPr>
        <w:spacing w:after="0" w:line="222" w:lineRule="auto"/>
        <w:rPr>
          <w:sz w:val="20"/>
          <w:szCs w:val="20"/>
          <w:color w:val="auto"/>
        </w:rPr>
      </w:pPr>
      <w:r>
        <w:rPr>
          <w:rFonts w:ascii="Arial" w:cs="Arial" w:eastAsia="Arial" w:hAnsi="Arial"/>
          <w:sz w:val="14"/>
          <w:szCs w:val="14"/>
          <w:color w:val="auto"/>
        </w:rPr>
        <w:t>U.K. Quantitative</w:t>
      </w:r>
    </w:p>
    <w:p>
      <w:pPr>
        <w:spacing w:after="0" w:line="221" w:lineRule="auto"/>
        <w:rPr>
          <w:sz w:val="20"/>
          <w:szCs w:val="20"/>
          <w:color w:val="auto"/>
        </w:rPr>
      </w:pPr>
      <w:r>
        <w:rPr>
          <w:rFonts w:ascii="Arial" w:cs="Arial" w:eastAsia="Arial" w:hAnsi="Arial"/>
          <w:sz w:val="14"/>
          <w:szCs w:val="14"/>
          <w:color w:val="auto"/>
        </w:rPr>
        <w:t>Australia</w:t>
      </w:r>
    </w:p>
    <w:p>
      <w:pPr>
        <w:spacing w:after="0" w:line="222" w:lineRule="auto"/>
        <w:rPr>
          <w:sz w:val="20"/>
          <w:szCs w:val="20"/>
          <w:color w:val="auto"/>
        </w:rPr>
      </w:pPr>
      <w:r>
        <w:rPr>
          <w:rFonts w:ascii="Arial" w:cs="Arial" w:eastAsia="Arial" w:hAnsi="Arial"/>
          <w:sz w:val="14"/>
          <w:szCs w:val="14"/>
          <w:color w:val="auto"/>
        </w:rPr>
        <w:t>France (Large Capitalization)*</w:t>
      </w:r>
    </w:p>
    <w:p>
      <w:pPr>
        <w:spacing w:after="0" w:line="221" w:lineRule="auto"/>
        <w:rPr>
          <w:sz w:val="20"/>
          <w:szCs w:val="20"/>
          <w:color w:val="auto"/>
        </w:rPr>
      </w:pPr>
      <w:r>
        <w:rPr>
          <w:rFonts w:ascii="Arial" w:cs="Arial" w:eastAsia="Arial" w:hAnsi="Arial"/>
          <w:sz w:val="14"/>
          <w:szCs w:val="14"/>
          <w:color w:val="auto"/>
        </w:rPr>
        <w:t>France (Small Capitalization)*</w:t>
      </w:r>
    </w:p>
    <w:p>
      <w:pPr>
        <w:spacing w:after="0" w:line="222" w:lineRule="auto"/>
        <w:rPr>
          <w:sz w:val="20"/>
          <w:szCs w:val="20"/>
          <w:color w:val="auto"/>
        </w:rPr>
      </w:pPr>
      <w:r>
        <w:rPr>
          <w:rFonts w:ascii="Arial" w:cs="Arial" w:eastAsia="Arial" w:hAnsi="Arial"/>
          <w:sz w:val="14"/>
          <w:szCs w:val="14"/>
          <w:color w:val="auto"/>
        </w:rPr>
        <w:t>Japan**</w:t>
      </w:r>
    </w:p>
    <w:p>
      <w:pPr>
        <w:spacing w:after="0"/>
        <w:rPr>
          <w:sz w:val="20"/>
          <w:szCs w:val="20"/>
          <w:color w:val="auto"/>
        </w:rPr>
      </w:pPr>
      <w:r>
        <w:rPr>
          <w:rFonts w:ascii="Arial" w:cs="Arial" w:eastAsia="Arial" w:hAnsi="Arial"/>
          <w:sz w:val="14"/>
          <w:szCs w:val="14"/>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U.S.</w:t>
      </w:r>
      <w:r>
        <w:rPr>
          <w:sz w:val="20"/>
          <w:szCs w:val="20"/>
          <w:color w:val="auto"/>
        </w:rPr>
        <w:tab/>
      </w:r>
      <w:r>
        <w:rPr>
          <w:rFonts w:ascii="Arial" w:cs="Arial" w:eastAsia="Arial" w:hAnsi="Arial"/>
          <w:sz w:val="14"/>
          <w:szCs w:val="14"/>
          <w:b w:val="1"/>
          <w:bCs w:val="1"/>
          <w:i w:val="1"/>
          <w:iCs w:val="1"/>
          <w:color w:val="auto"/>
        </w:rPr>
        <w:t>Global</w:t>
      </w:r>
    </w:p>
    <w:p>
      <w:pPr>
        <w:spacing w:after="0"/>
        <w:tabs>
          <w:tab w:leader="none" w:pos="2480" w:val="left"/>
        </w:tabs>
        <w:rPr>
          <w:sz w:val="20"/>
          <w:szCs w:val="20"/>
          <w:color w:val="auto"/>
        </w:rPr>
      </w:pPr>
      <w:r>
        <w:rPr>
          <w:rFonts w:ascii="Arial" w:cs="Arial" w:eastAsia="Arial" w:hAnsi="Arial"/>
          <w:sz w:val="14"/>
          <w:szCs w:val="14"/>
          <w:color w:val="auto"/>
        </w:rPr>
        <w:t>Core Fixed Income</w:t>
      </w:r>
      <w:r>
        <w:rPr>
          <w:sz w:val="20"/>
          <w:szCs w:val="20"/>
          <w:color w:val="auto"/>
        </w:rPr>
        <w:tab/>
      </w:r>
      <w:r>
        <w:rPr>
          <w:rFonts w:ascii="Arial" w:cs="Arial" w:eastAsia="Arial" w:hAnsi="Arial"/>
          <w:sz w:val="12"/>
          <w:szCs w:val="12"/>
          <w:color w:val="auto"/>
        </w:rPr>
        <w:t>Emerging Debt</w:t>
      </w:r>
    </w:p>
    <w:p>
      <w:pPr>
        <w:spacing w:after="0"/>
        <w:tabs>
          <w:tab w:leader="none" w:pos="2480" w:val="left"/>
        </w:tabs>
        <w:rPr>
          <w:sz w:val="20"/>
          <w:szCs w:val="20"/>
          <w:color w:val="auto"/>
        </w:rPr>
      </w:pPr>
      <w:r>
        <w:rPr>
          <w:rFonts w:ascii="Arial" w:cs="Arial" w:eastAsia="Arial" w:hAnsi="Arial"/>
          <w:sz w:val="14"/>
          <w:szCs w:val="14"/>
          <w:color w:val="auto"/>
        </w:rPr>
        <w:t>High Yield</w:t>
      </w:r>
      <w:r>
        <w:rPr>
          <w:sz w:val="20"/>
          <w:szCs w:val="20"/>
          <w:color w:val="auto"/>
        </w:rPr>
        <w:tab/>
      </w:r>
      <w:r>
        <w:rPr>
          <w:rFonts w:ascii="Arial" w:cs="Arial" w:eastAsia="Arial" w:hAnsi="Arial"/>
          <w:sz w:val="12"/>
          <w:szCs w:val="12"/>
          <w:color w:val="auto"/>
        </w:rPr>
        <w:t>Emerging Corporates</w:t>
      </w:r>
    </w:p>
    <w:p>
      <w:pPr>
        <w:spacing w:after="0" w:line="222" w:lineRule="auto"/>
        <w:rPr>
          <w:sz w:val="20"/>
          <w:szCs w:val="20"/>
          <w:color w:val="auto"/>
        </w:rPr>
      </w:pPr>
      <w:r>
        <w:rPr>
          <w:rFonts w:ascii="Arial" w:cs="Arial" w:eastAsia="Arial" w:hAnsi="Arial"/>
          <w:sz w:val="14"/>
          <w:szCs w:val="14"/>
          <w:color w:val="auto"/>
        </w:rPr>
        <w:t>Short Duration</w:t>
      </w:r>
    </w:p>
    <w:p>
      <w:pPr>
        <w:spacing w:after="0" w:line="221" w:lineRule="auto"/>
        <w:rPr>
          <w:sz w:val="20"/>
          <w:szCs w:val="20"/>
          <w:color w:val="auto"/>
        </w:rPr>
      </w:pPr>
      <w:r>
        <w:rPr>
          <w:rFonts w:ascii="Arial" w:cs="Arial" w:eastAsia="Arial" w:hAnsi="Arial"/>
          <w:sz w:val="14"/>
          <w:szCs w:val="14"/>
          <w:color w:val="auto"/>
        </w:rPr>
        <w:t>Municipals</w:t>
      </w:r>
    </w:p>
    <w:p>
      <w:pPr>
        <w:spacing w:after="0"/>
        <w:rPr>
          <w:sz w:val="20"/>
          <w:szCs w:val="20"/>
          <w:color w:val="auto"/>
        </w:rPr>
      </w:pPr>
      <w:r>
        <w:rPr>
          <w:rFonts w:ascii="Arial" w:cs="Arial" w:eastAsia="Arial" w:hAnsi="Arial"/>
          <w:sz w:val="14"/>
          <w:szCs w:val="14"/>
          <w:color w:val="auto"/>
        </w:rPr>
        <w:t>Cash Management*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Non-U.S.</w:t>
      </w:r>
    </w:p>
    <w:p>
      <w:pPr>
        <w:spacing w:after="0"/>
        <w:rPr>
          <w:sz w:val="20"/>
          <w:szCs w:val="20"/>
          <w:color w:val="auto"/>
        </w:rPr>
      </w:pPr>
      <w:r>
        <w:rPr>
          <w:rFonts w:ascii="Arial" w:cs="Arial" w:eastAsia="Arial" w:hAnsi="Arial"/>
          <w:sz w:val="14"/>
          <w:szCs w:val="14"/>
          <w:color w:val="auto"/>
        </w:rPr>
        <w:t>U.K. Fixed Income</w:t>
      </w:r>
    </w:p>
    <w:p>
      <w:pPr>
        <w:spacing w:after="0" w:line="205"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Non-U.S.</w:t>
      </w:r>
      <w:r>
        <w:rPr>
          <w:sz w:val="20"/>
          <w:szCs w:val="20"/>
          <w:color w:val="auto"/>
        </w:rPr>
        <w:tab/>
      </w:r>
      <w:r>
        <w:rPr>
          <w:rFonts w:ascii="Arial" w:cs="Arial" w:eastAsia="Arial" w:hAnsi="Arial"/>
          <w:sz w:val="12"/>
          <w:szCs w:val="12"/>
          <w:b w:val="1"/>
          <w:bCs w:val="1"/>
          <w:i w:val="1"/>
          <w:iCs w:val="1"/>
          <w:color w:val="auto"/>
        </w:rPr>
        <w:t>Global</w:t>
      </w:r>
    </w:p>
    <w:p>
      <w:pPr>
        <w:spacing w:after="0"/>
        <w:tabs>
          <w:tab w:leader="none" w:pos="2480" w:val="left"/>
        </w:tabs>
        <w:rPr>
          <w:sz w:val="20"/>
          <w:szCs w:val="20"/>
          <w:color w:val="auto"/>
        </w:rPr>
      </w:pPr>
      <w:r>
        <w:rPr>
          <w:rFonts w:ascii="Arial" w:cs="Arial" w:eastAsia="Arial" w:hAnsi="Arial"/>
          <w:sz w:val="14"/>
          <w:szCs w:val="14"/>
          <w:color w:val="auto"/>
        </w:rPr>
        <w:t>Japan (Long/Short)</w:t>
      </w:r>
      <w:r>
        <w:rPr>
          <w:sz w:val="20"/>
          <w:szCs w:val="20"/>
          <w:color w:val="auto"/>
        </w:rPr>
        <w:tab/>
      </w:r>
      <w:r>
        <w:rPr>
          <w:rFonts w:ascii="Arial" w:cs="Arial" w:eastAsia="Arial" w:hAnsi="Arial"/>
          <w:sz w:val="12"/>
          <w:szCs w:val="12"/>
          <w:color w:val="auto"/>
        </w:rPr>
        <w:t>Emerging Income</w:t>
      </w:r>
    </w:p>
    <w:p>
      <w:pPr>
        <w:ind w:left="2500"/>
        <w:spacing w:after="0"/>
        <w:rPr>
          <w:sz w:val="20"/>
          <w:szCs w:val="20"/>
          <w:color w:val="auto"/>
        </w:rPr>
      </w:pPr>
      <w:r>
        <w:rPr>
          <w:rFonts w:ascii="Arial" w:cs="Arial" w:eastAsia="Arial" w:hAnsi="Arial"/>
          <w:sz w:val="14"/>
          <w:szCs w:val="14"/>
          <w:color w:val="auto"/>
        </w:rPr>
        <w:t>Emerging Debt</w:t>
      </w:r>
    </w:p>
    <w:p>
      <w:pPr>
        <w:spacing w:after="0" w:line="748" w:lineRule="exact"/>
        <w:rPr>
          <w:sz w:val="20"/>
          <w:szCs w:val="20"/>
          <w:color w:val="auto"/>
        </w:rPr>
      </w:pPr>
    </w:p>
    <w:p>
      <w:pPr>
        <w:sectPr>
          <w:pgSz w:w="11900" w:h="16838" w:orient="portrait"/>
          <w:cols w:equalWidth="0" w:num="3">
            <w:col w:w="4100" w:space="720"/>
            <w:col w:w="1900" w:space="500"/>
            <w:col w:w="418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Distribution</w:t>
      </w:r>
      <w:r>
        <w:rPr>
          <w:rFonts w:ascii="Arial" w:cs="Arial" w:eastAsia="Arial" w:hAnsi="Arial"/>
          <w:sz w:val="16"/>
          <w:szCs w:val="16"/>
          <w:color w:val="auto"/>
        </w:rPr>
        <w:t>. We distribute our products through a broad array of marketing channels on a global basis. LAM’s marketing, sales and client service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are organized through a global market delivery and service network, with distribution professionals located in cities including New York, Boston, Chicago, San Francisco, London, Milan, Montreal, Toronto, Singapore, Frankfurt, Hamburg, Zurich, Tokyo, Sydney, Hong Kong, Manama and Seoul.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 and leveraging the broad geographic footprint and strong client relationships in our Financial Advisory business,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an emerging markets fixed income team, an asian equity team and a global real estate investment team,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continued to expand the geographic reach of our Asset Management business, including through opening offices in Switzerland and Singapore.</w:t>
      </w:r>
    </w:p>
    <w:p>
      <w:pPr>
        <w:spacing w:after="0" w:line="19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In this regard, in September 2011, LAM acquired the assets of Grubb &amp; Ellis Alesco Global Advisors, LLC (“Alesco”). Alesco is an investment advisor located in San Francisco, California, focusing on real estate securities and managing three registered mutual funds.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through organic growth, acquisitions or otherwise. We may also continue to expand our geographic reach. In 2014, we announced our expansion in the Middle East with plans to open a Dubai office.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Historically, Lazard has made selected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The acquisition of Edgewater was structured as a purchase by Lazard of interests in a holding company that owns interests in the general partner and management company entities of the current Edgewater private equity funds (the “Edgewater Acquisition”). As of December 31, 2013, Edgewater had approximately $1 billion of AUM and unfunded fee-earning commitments.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Australia, we operate our private equity business through Lazard Australia, which, as of December 31, 2013, had approximately $173 million of AUM and unfunded fee-earning commitments.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LFCM Holdings, through certain subsidiaries of Lazard Alternative Investments Holdings LLC (“LAI”), operates the alternative investment business (including private equity activities) that was transferred to it in the separation. We retained an investment in certain of the funds that were or are still operated by LAI and its subsidiaries. We are entitled to receive a portion of the carry attributable to our investment in a fund previously formed and managed by LAI (net of compensation payable to investment professionals who manage this fund). In addition, pursuant to the business alliance agreement, we retained an option to acquire the North American and European fund management activities of LAI and have the right to participate in the governance of LAI and to consent to certain actions. On December 15, 2009, we exercised our option to acquire the right to conduct private equity activities in Europe. While the remaining option to purchase the management entities of LAI’s North American businesses (the “North American Option”) is currently exercisable at any time prior to May 10, 2014, during the fourth quarter of 2011, we determined that we are unlikely to exercise such option (see Note 19 of Notes to Consolidated Financial Statements).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2009, the business alliance agreement with LFCM Holdings was amended to remove certain restrictions on our ability to engage in private equity activities in North America and to reduce the price of the North American 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2013, we employed 2,403 people, which included 132 managing directors and 701 other professionals in our Financial Advisory segment and 72 managing directors and 376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October 2012 we announced a number of cost saving initiatives to reduce our expenses, which have impacted the number of people that we employ. See “Management’s Discussion and Analysis of Financial Condition — Cost Saving Initiatives”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Citigroup, Credit Suisse, Deutsche Bank, Evercore Partners, Goldman Sachs, Greenhill, JPMorgan Chase, Mediobanca, Morgan Stanley, Rothschild and UBS. In our Restructuring practice, our primary competitors are The Blackstone Group, Evercore Partners, Greenhill, Houlihan Lokey, Moelis &amp; Company and Rothschild.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and Schroders, Alliance Bernstein, Capital Management &amp; Research, Fidelity, Franklin Templeton, Invesco, JP Morgan Asset Management, Lord Abbett and MFS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 At the same time, demand for independent financial advice has increased and has created opportunities for new entrants, including a number of boutique financial advisory firms.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the Financial Industry Regulatory Authority (“FINRA”)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registration category that includes placement agents that solicit investments from public pension funds on behalf of investment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2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Conduct Authority (the “FCA”). We also have other subsidiaries that are registered as broker-dealers (or have similar non-U.S. registration) in various jurisdictions.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its subsidiary, our Paris-based banking affiliate, Lazard Frères Banque SA (“LFB”). The investment services activities of the Paris group, exercised through LFB and other subsidiaries of CFLF, primarily LFG,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result of certain recent changes effected by the Dodd-Frank Wall Street Reform and Consumer Protection Act (the “Dodd-Frank Act”) related to the regulation of over-the-counter swaps and other derivative instruments, LAM and certain of its subsidiaries have recently registered with the U.S. Commodity Futures Trading Commission (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and German banking authorities,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among other things, in censure, fine, the issuance of cease-and-desist orders or the suspension or expulsion or other disciplining of a broker-dealer or its directors, officers or employees.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Over the last several years, global financial markets experienced extraordinary disruption and volatility. As a result, the U.S. and other governments and institutions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21, 2014,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55</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Mr. Jacobs has served as Chairman of the Board of Directors and Chief Executive Officer of Lazard Ltd and Lazard Group since November 2009. Mr. Jacobs has served as a Managing Director of Lazard since 1991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54</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1,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53</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51</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and Lazard Group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47</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website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website,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90" w:lineRule="exact"/>
        <w:rPr>
          <w:sz w:val="20"/>
          <w:szCs w:val="20"/>
          <w:color w:val="auto"/>
        </w:rPr>
      </w:pPr>
    </w:p>
    <w:p>
      <w:pPr>
        <w:ind w:right="300" w:firstLine="456"/>
        <w:spacing w:after="0" w:line="338" w:lineRule="auto"/>
        <w:rPr>
          <w:sz w:val="20"/>
          <w:szCs w:val="20"/>
          <w:color w:val="auto"/>
        </w:rPr>
      </w:pPr>
      <w:r>
        <w:rPr>
          <w:rFonts w:ascii="Arial" w:cs="Arial" w:eastAsia="Arial" w:hAnsi="Arial"/>
          <w:sz w:val="16"/>
          <w:szCs w:val="16"/>
          <w:b w:val="1"/>
          <w:bCs w:val="1"/>
          <w:color w:val="auto"/>
        </w:rPr>
        <w:t>In recent years, regional and global capital markets and economies have experienced periods of significant disruption and volatility, which has had negative repercussions on the global economy, and any continued disruption or volatility could present challenges for our business.</w:t>
      </w:r>
    </w:p>
    <w:p>
      <w:pPr>
        <w:spacing w:after="0" w:line="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recent years, certain adverse financial developments have impacted regional and global capital markets and the macroeconomic climate. These developments included a general slowing of economic growth both in the U.S. and globally, periods of volatility in equity securities markets and volatility and tightening of liquidity in credit markets. In addition, concerns over sovereign debt levels, high unemployment levels, business and consumer confidence levels, geopolitical issues and weak real estate markets have contributed to increased volatility and have affected expectations for the economy and the markets going forward. Furthermore, investor concerns about the financial health of certain European countries and financial institutions caused market disruptions in recent years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93"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4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1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As of December 31, 2013, our authorized and unissued shares of Class A common stock include approximately 18.8 million shares of our common stock underlying restricted stock units (“RSUs”), deferred stock units (“DSUs”), restricted stock awards and performance-based restricted stock units (“PRSUs”) that have been granted pursuant to Lazard Ltd’s 2005 Equity Incentive Plan (the “2005 Plan”) and 2008 Incentive Compensation Plan (the “2008 Plan”). RSUs and restricted stock awards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Such vesting events generally occur in the first quarter of each year, at which point a large number of our shares of Class A common stock immediately become available for sale. PRSUs generally require future service and satisfaction of performance-based vesting criteria as a condition for the delivery of the underlying shares of Class A common stock, and the number of such shares that may be received in connection with each PRSU may range from zero to two times the target number (or, for the PRSUs granted in 2013, three times the target number in the event of a substantial increase in our operating revenue in 2014. In addition, as of December 31, 2013, approximately 1.2 million shares of our common stock are issuable in connection with business acquisitions completed in prior years.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generally withheld a portion of the Class A common stock issued to our employees upon vesting of RSUs or delivery of restricted stock to comply with minimum statutory tax withholding requirements. In addition, we have historically repurchased in the open market and through privately negotiated transactions a significant number of shares of our Class A common stock. If we were to cease to or were unable to repurchase shares of our Class A common stock, the number of shares outstanding would increase over time, diluting the ownership of our existing stockholders. Furthermore, we cannot predict whether, when and how many shares of our Class A common stock will be sold into the market and the effect, if any, that the possibility of market sales of shares of our Class A common stock, the actual sale of such shares or the availability of such shares will have on the market price of our Class A common stock or our ability to raise capital through the issuance of equity securities from time to time.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90"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retire, join an existing competitor, form a competing company or otherwise leave us, some of our clients could choose to use the services of that competitor or some other competitor instead of our services. In any such event, our investment banking fees, money management fees or AUM could decline.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Certain changes to our employee compensation arrangements may result in increased compensation and benefits expense. In addition, any changes to the mix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cash and deferred compensation granted to our employees may affect certain financial measures applicable to our business, including ratios of compensation and benefits expense to revenue, and may result in increased levels of Class A common stock issued to our employees upon vesting of RSUs or grants of restricted stock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07"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18"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6"/>
          <w:szCs w:val="16"/>
          <w:i w:val="1"/>
          <w:iCs w:val="1"/>
          <w:color w:val="auto"/>
        </w:rPr>
        <w:t>e.g.</w:t>
      </w:r>
      <w:r>
        <w:rPr>
          <w:rFonts w:ascii="Arial" w:cs="Arial" w:eastAsia="Arial" w:hAnsi="Arial"/>
          <w:sz w:val="16"/>
          <w:szCs w:val="16"/>
          <w:color w:val="auto"/>
        </w:rPr>
        <w:t>, our emerging markets strategies), would be expected to cause our revenue and income to decline by causing:</w:t>
      </w:r>
    </w:p>
    <w:p>
      <w:pPr>
        <w:spacing w:after="0" w:line="3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110"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2013, Financial Advisory services accounted for approximately 49%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12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quarterly fluctuations, it may be difficult for us to achieve steady earnings growth on a quarterly basis.</w:t>
      </w:r>
    </w:p>
    <w:p>
      <w:pPr>
        <w:spacing w:after="0" w:line="165"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our financial position could be adversely affected. Loss of key employees may occur due to perceived opportunity for promotion, compensation levels, work environment or other individual reasons, some of which may be beyond our control.</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comprising our AUM, may underperform other investment approaches, which may result in significant client or asset departures, or a reduction in AUM.</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advisors, consultants or third-party intermediaries.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8"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8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made, and in the future may make, principal investments in public or private companies or in alternative investments (including private equity funds) established by us or by LFCM Holdings, and continue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hold principal investments directly or through funds managed by LFCM Holdings and certain affiliates of Lazard, including Edgewater and Lazard Australia.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invest capital in various types of equity and debt securities in order to seed LAM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90" w:lineRule="exact"/>
        <w:rPr>
          <w:sz w:val="20"/>
          <w:szCs w:val="20"/>
          <w:color w:val="auto"/>
        </w:rPr>
      </w:pPr>
    </w:p>
    <w:p>
      <w:pPr>
        <w:ind w:left="900" w:right="1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personnel or maintain AUM, any of which would adversely impact our revenue and earnings.</w:t>
      </w:r>
    </w:p>
    <w:p>
      <w:pPr>
        <w:spacing w:after="0" w:line="126"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As of December 31, 2013, Lazard Group and its subsidiaries had approximately $1.1 billion in debt (including capital lease obligations) outstanding, of which $548 million and $500 million relate to Lazard Group senior notes that mature in 2017 and 2020,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1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We may pursue acquisitions, joint ventures or cooperation agreements that may result in additional risks and uncertainties in our business and could present unforeseen integration obstacles or costs.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and entered into a strategic alliance with a financial advisory firm in Mexico. During 2011, we acquired the assets of Alesco. During 2012, we integrated our Brazilian operations based in São Paulo. We expect to continue to explore acquisitions and partnership or strategic alliance opportunities that we believe to be attractive.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79"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1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2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business is dependent on communications and information systems, including those of our vendors. Any failure or interruption of these systems, whether caused by fire, other natural disaster, power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recent years, the U.S. and global financial markets experienced periods of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Dodd-Frank Act and related regulations, as well as new regulations that may become applicable to us in the U.S. and in the European Union (see “Business— 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controls and procedures may result in increased costs, additional operational personnel and increased regulatory risk. Failure to adhere to these policies, controls and procedures may result in regulatory sanctions or client litigation.</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recently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2013, our Asset Management business obtained research and other services through third-party soft dollar arrangements, the total cost of which we estimate to be approximately $22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2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are exposed to fluctuations in foreign currencies. Our financial statements are denominated in U.S. Dollars and, for the year ended December 31, 2013, we received approximately 39%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w:t>
      </w:r>
    </w:p>
    <w:p>
      <w:pPr>
        <w:spacing w:after="0" w:line="1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stockholders’ equity from currency translation adjustments.</w:t>
      </w:r>
    </w:p>
    <w:p>
      <w:pPr>
        <w:spacing w:after="0" w:line="126"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is a holding company and has no independent means of generating significant revenue. We control Lazard Group through our indirect control of both of the managing members of Lazard Group. Our wholly-owned subsidiaries incur income taxes on their proportionate share of any net taxable income of Lazard Group in their respective tax jurisdictions. We intend to continue to cause Lazard Group to make distributions to its members, including our wholly-owned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112"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Group depends on its subsidiaries, which conduct the operations of its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8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current judicial and administrative authorities interpreting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Moreover, those income tax laws, regulations and treaties, and the administrative and judicial authorities interpreting them, are subject to change at any time, and any such change may be retroactive.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1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inability, for any reason, to achieve and maintain an overall income tax rate approximately equal to the rate used in preparing our consolidated financial statements could materially adversely affect our business and our results of operations and could materially adversely affect our financial statements.</w:t>
      </w:r>
    </w:p>
    <w:p>
      <w:pPr>
        <w:spacing w:after="0" w:line="56"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to LFCM Holdings under the tax receivable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Executive Branch has not yet submitted its 2015 budget proposals to Congress. The 2014 budget proposals submitted on April 10, 2013 included several potential revenue generating items, including proposals to (i) limit the deduction of certain related party interest and (ii) limit or defer the deduction of interest attributable to foreign source income of foreign subsidiaries. In addition, members of Congress may propose legislation that, if enacted, would reclassify certain types of foreign corporations as U.S. corporations for U.S. tax purposes if the management and control of such entities occurs primarily within the U.S.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 form proposed in the 2014 budget submission, however, some of these proposals may increase Lazard’s effective tax rate during future periods.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Any reduction of our valuation allowance against our deferred tax assets could affect our effective tax rate.</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further discussed in “Management’s Discussion and Analysis of Financial Condition and Results of Operations – Critical Accounting Policies and Estimates – Income Taxes”, as of December 31, 2013,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recorded gross deferred tax assets of approximately $1.40 billion, and a valuation allowance against such deferred tax assets of approximately $1.23 billion. If any significant reduction of this valuation allowance were to occur, we would likely have a negative effective tax rate in the period in which such reduction occurs and, for subsequent periods, our effective tax rate, with all other factors being held constant, would increase and could be significantly higher than our effective tax rate in the period immediately preceding the reduction in the valuation allowance.</w:t>
      </w:r>
    </w:p>
    <w:p>
      <w:pPr>
        <w:spacing w:after="0" w:line="10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Our subsidiaries will be required to pay LFCM Holdings most of the cash tax savings relating to any tax depreciation or amortization deductions our subsidiaries may claim as a result of the tax basis step-up our subsidiaries have received in connection with the Company’s equity public offerings and related transactions.</w:t>
      </w:r>
    </w:p>
    <w:p>
      <w:pPr>
        <w:spacing w:after="0" w:line="13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our various secondary offerings and certain other transactions, LAZ-MD Holdings exchangeable interests were, in effect, exchanged for shares of our Class A common stock. A limited number of additional exchanges are expected to take place in the future. The redemption and the exchanges have resulted in increases in the tax basis of the tangible and intangible assets of Lazard Group attributable to our subsidiaries’ interest in Lazard Group that otherwise would not have been available. These increases in tax basis may reduce the amount of cash taxes that our subsidiaries would otherwise be required to pay in the future, although the IRS may challenge all or part of that tax basis increase, and a court could sustain such a challenge.</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connection with the separation and recapitalization transactions in 2005, our subsidiaries entered into a tax receivable agreement with LFCM Holdings that provides for the payment by our subsidiaries to LFCM Holdings of 85% of the amount of cash savings, if any, in U.S. federal, state and local income tax or franchise tax that we actually realize as a result of these increases in tax basis and of certain other tax benefits related to entering into the tax receivable agreement, including tax benefits attributable to payments under the tax receivable agreement. We expect to benefit from the remaining 15% of cash savings realized. Our subsidiaries have the right to terminate the tax receivable agreement at any time for an amount based on an agreed value of certain payments remaining to be made under the tax receivable agreement at such time. While the actual amount and timing of any payments under this agreement will vary depending upon a number of factors, including the timing of exchanges, the extent to which such exchanges are taxable, the allocation of the step-up among the Lazard Group assets, and the amount and timing of our income, we expect that, as a result of the size of the increases in the tax basis of the tangible and intangible assets of Lazard Group attributable to our subsidiaries’ interest in Lazard Group, during the 24-year term of the tax receivable agreement, the payments that our subsidiaries may make to LFCM Holdings could be substantial. As of December 31, 2013, the aggregate increase in tax basis attributable to our subsidiaries’ interest in Lazard Group was approximately $3.11 billion. The aggregate amount, including those interests not yet exchanged, would have been approximately $3.15 billion as of that date (based on the then closing price per share of our Class A common stock on the NYSE of $45.32), including the increase in tax basis associated with the redemption and recapitalization in 2005. The potential future increase in tax basis will depend on the price of our Class A common stock at the time of the limited number of remaining exchanges. The cash savings that our subsidiaries would actually realize as a result of this increase in tax basis likely would be significantly less than this amount multiplied by our statutory tax rate due to a number of factors, including insufficient taxable income to absorb the increase in tax basis, the allocation of the increase in tax basis to foreign or non-amortizable assets, the impact of the increase in the tax basis on our ability to use foreign tax credits and the rules relating to the amortization of intangible assets. Our ability to achieve benefits from any such increase, and the payments to be made under the tax receivable agreement, will depend upon a number of factors, as discussed above, including the timing and amount of our future income.</w:t>
      </w:r>
    </w:p>
    <w:p>
      <w:pPr>
        <w:spacing w:after="0" w:line="13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addition, if the IRS successfully challenges the tax basis increase, under certain circumstances, our subsidiaries could make payments to LFCM Holdings under the tax receivable agreement in excess of our subsidiaries’ cash tax savings.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2013.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14"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5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result in reputational damage or lead to legal liability, which could lead to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11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3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or, as a result of the use of the Lazard name by subsidiaries of LFCM Holdings, for certain actions of LFCM Holdings or its subsidiaries.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w:t>
      </w:r>
    </w:p>
    <w:p>
      <w:pPr>
        <w:spacing w:after="0" w:line="114"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Several employees of Lazard provide services to LFCM Holdings. Conflicts of interest may arise between LFCM Holdings and us in a number of areas relating to our past and ongoing relationships,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intellectual property and real property matters, including sublease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our managing directors provide services to LFCM Holdings,</w:t>
      </w:r>
    </w:p>
    <w:p>
      <w:pPr>
        <w:spacing w:after="0" w:line="59" w:lineRule="exact"/>
        <w:rPr>
          <w:rFonts w:ascii="Arial" w:cs="Arial" w:eastAsia="Arial" w:hAnsi="Arial"/>
          <w:sz w:val="18"/>
          <w:szCs w:val="18"/>
          <w:color w:val="auto"/>
        </w:rPr>
      </w:pPr>
    </w:p>
    <w:p>
      <w:pPr>
        <w:ind w:left="900" w:right="9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 different party.</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2013 relating to our periodic or current reports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2013, including properties used by the separated businesses. As a general matter, one or both of our Financial Advisory and Asset Management segments (as well as our Corporate segment) uses the following properties. We sublease to affiliates of LFCM Holdings certain office space, including office space that is used by the separated businesses. This includes subleasing 52,573 square feet principally relating to our lease in New York City located at 30 Rockefeller Plaza to affiliates of LFCM Holdings. Additionally, our London and other offices sublease 55,676 and 3,977 square feet, respectively, to third parties. We remain fully liable for the subleased space to the extent that affiliates of LFCM Holdings, or the third parties, fail to perform their obligations under the subleases for any reason.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Square Footage</w:t>
            </w:r>
          </w:p>
        </w:tc>
        <w:tc>
          <w:tcPr>
            <w:tcW w:w="5920" w:type="dxa"/>
            <w:vAlign w:val="bottom"/>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448,764 square feet of</w:t>
            </w:r>
          </w:p>
        </w:tc>
        <w:tc>
          <w:tcPr>
            <w:tcW w:w="22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North America</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155,909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89"/>
              </w:rPr>
              <w:t>Boston, Charlotte, Chicago, Houston, Los Angeles, Minneapolis, Montreal and San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Francisco</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Paris</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152,924 square feet of owned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and 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London</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142,371 square feet of leased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Europe</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111,626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Asia, Australia and</w:t>
            </w: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Nantes, Stockholm and Zurich</w:t>
            </w:r>
          </w:p>
        </w:tc>
        <w:tc>
          <w:tcPr>
            <w:tcW w:w="0" w:type="dxa"/>
            <w:vAlign w:val="bottom"/>
          </w:tcPr>
          <w:p>
            <w:pPr>
              <w:spacing w:after="0"/>
              <w:rPr>
                <w:sz w:val="1"/>
                <w:szCs w:val="1"/>
                <w:color w:val="auto"/>
              </w:rPr>
            </w:pPr>
          </w:p>
        </w:tc>
      </w:tr>
      <w:tr>
        <w:trPr>
          <w:trHeight w:val="210"/>
        </w:trPr>
        <w:tc>
          <w:tcPr>
            <w:tcW w:w="31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84,270 square feet of leased</w:t>
            </w:r>
          </w:p>
        </w:tc>
        <w:tc>
          <w:tcPr>
            <w:tcW w:w="5920" w:type="dxa"/>
            <w:vAlign w:val="bottom"/>
            <w:vMerge w:val="restart"/>
          </w:tcPr>
          <w:p>
            <w:pPr>
              <w:spacing w:after="0"/>
              <w:rPr>
                <w:sz w:val="20"/>
                <w:szCs w:val="20"/>
                <w:color w:val="auto"/>
              </w:rPr>
            </w:pPr>
            <w:r>
              <w:rPr>
                <w:rFonts w:ascii="Arial" w:cs="Arial" w:eastAsia="Arial" w:hAnsi="Arial"/>
                <w:sz w:val="18"/>
                <w:szCs w:val="18"/>
                <w:color w:val="auto"/>
                <w:w w:val="91"/>
              </w:rPr>
              <w:t>Beijing, Dubai, Hong Kong, Melbourne, Mumbai, Perth, Riyadh, So Paulo, Seoul,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Singapore, Sydney and Tokyo</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common stock is traded on The New York Stock Exchange under the symbol “LAZ.” There is no publicly traded market for our Class B common stock, which is held by LAZ-MD Holdings. The following table sets forth, for the fiscal quarters indicated, the high and low sales prices per share of our Class A common stock, as reported in the consolidated transaction reporting system, and the quarterly dividends declared during 2013 and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 Price</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21"/>
        </w:trPr>
        <w:tc>
          <w:tcPr>
            <w:tcW w:w="59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per Share of</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8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Low</w:t>
            </w:r>
          </w:p>
        </w:tc>
        <w:tc>
          <w:tcPr>
            <w:tcW w:w="4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83"/>
              </w:rPr>
              <w:t>Common Stock</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$46.98</w:t>
            </w:r>
          </w:p>
        </w:tc>
        <w:tc>
          <w:tcPr>
            <w:tcW w:w="1780" w:type="dxa"/>
            <w:vAlign w:val="bottom"/>
            <w:gridSpan w:val="3"/>
          </w:tcPr>
          <w:p>
            <w:pPr>
              <w:jc w:val="center"/>
              <w:ind w:left="314"/>
              <w:spacing w:after="0"/>
              <w:rPr>
                <w:sz w:val="20"/>
                <w:szCs w:val="20"/>
                <w:color w:val="auto"/>
              </w:rPr>
            </w:pPr>
            <w:r>
              <w:rPr>
                <w:rFonts w:ascii="Arial" w:cs="Arial" w:eastAsia="Arial" w:hAnsi="Arial"/>
                <w:sz w:val="18"/>
                <w:szCs w:val="18"/>
                <w:color w:val="auto"/>
                <w:w w:val="90"/>
              </w:rPr>
              <w:t>$35.10</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$39.50</w:t>
            </w:r>
          </w:p>
        </w:tc>
        <w:tc>
          <w:tcPr>
            <w:tcW w:w="178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0"/>
              </w:rPr>
              <w:t>$30.72</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$35.49</w:t>
            </w:r>
          </w:p>
        </w:tc>
        <w:tc>
          <w:tcPr>
            <w:tcW w:w="1780" w:type="dxa"/>
            <w:vAlign w:val="bottom"/>
            <w:gridSpan w:val="3"/>
          </w:tcPr>
          <w:p>
            <w:pPr>
              <w:jc w:val="center"/>
              <w:ind w:left="314"/>
              <w:spacing w:after="0"/>
              <w:rPr>
                <w:sz w:val="20"/>
                <w:szCs w:val="20"/>
                <w:color w:val="auto"/>
              </w:rPr>
            </w:pPr>
            <w:r>
              <w:rPr>
                <w:rFonts w:ascii="Arial" w:cs="Arial" w:eastAsia="Arial" w:hAnsi="Arial"/>
                <w:sz w:val="18"/>
                <w:szCs w:val="18"/>
                <w:color w:val="auto"/>
                <w:w w:val="90"/>
              </w:rPr>
              <w:t>$30.63</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$38.36</w:t>
            </w:r>
          </w:p>
        </w:tc>
        <w:tc>
          <w:tcPr>
            <w:tcW w:w="178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0"/>
              </w:rPr>
              <w:t>$30.57</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23"/>
        </w:trPr>
        <w:tc>
          <w:tcPr>
            <w:tcW w:w="598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$31.90</w:t>
            </w:r>
          </w:p>
        </w:tc>
        <w:tc>
          <w:tcPr>
            <w:tcW w:w="178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0"/>
              </w:rPr>
              <w:t>$26.15</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$31.23</w:t>
            </w:r>
          </w:p>
        </w:tc>
        <w:tc>
          <w:tcPr>
            <w:tcW w:w="1780" w:type="dxa"/>
            <w:vAlign w:val="bottom"/>
            <w:gridSpan w:val="3"/>
          </w:tcPr>
          <w:p>
            <w:pPr>
              <w:jc w:val="center"/>
              <w:ind w:left="314"/>
              <w:spacing w:after="0"/>
              <w:rPr>
                <w:sz w:val="20"/>
                <w:szCs w:val="20"/>
                <w:color w:val="auto"/>
              </w:rPr>
            </w:pPr>
            <w:r>
              <w:rPr>
                <w:rFonts w:ascii="Arial" w:cs="Arial" w:eastAsia="Arial" w:hAnsi="Arial"/>
                <w:sz w:val="18"/>
                <w:szCs w:val="18"/>
                <w:color w:val="auto"/>
                <w:w w:val="90"/>
              </w:rPr>
              <w:t>$23.58</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$29.34</w:t>
            </w:r>
          </w:p>
        </w:tc>
        <w:tc>
          <w:tcPr>
            <w:tcW w:w="178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0"/>
              </w:rPr>
              <w:t>$22.21</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$31.08</w:t>
            </w:r>
          </w:p>
        </w:tc>
        <w:tc>
          <w:tcPr>
            <w:tcW w:w="1780" w:type="dxa"/>
            <w:vAlign w:val="bottom"/>
            <w:gridSpan w:val="3"/>
          </w:tcPr>
          <w:p>
            <w:pPr>
              <w:jc w:val="center"/>
              <w:ind w:left="314"/>
              <w:spacing w:after="0"/>
              <w:rPr>
                <w:sz w:val="20"/>
                <w:szCs w:val="20"/>
                <w:color w:val="auto"/>
              </w:rPr>
            </w:pPr>
            <w:r>
              <w:rPr>
                <w:rFonts w:ascii="Arial" w:cs="Arial" w:eastAsia="Arial" w:hAnsi="Arial"/>
                <w:sz w:val="18"/>
                <w:szCs w:val="18"/>
                <w:color w:val="auto"/>
                <w:w w:val="90"/>
              </w:rPr>
              <w:t>$26.16</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February 7, 2014, there were approximately 34 holders of record of our Class A common stock. This does not include the number of shareholders that hold shares in “street-name” through banks or broker-dealers.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7, 2014, the last reported sales price for our Class A common stock on the New York Stock Exchange was $43.55 per share.</w:t>
      </w:r>
    </w:p>
    <w:p>
      <w:pPr>
        <w:spacing w:after="0" w:line="19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January 29, 2014, the Board of Directors of Lazard Ltd declared a quarterly dividend of $0.30 per share on its Class A common stock, payable on February 21, 2014, to stockholders of record on February 10,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2013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fourth quarter of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Price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4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4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4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48"/>
        </w:trPr>
        <w:tc>
          <w:tcPr>
            <w:tcW w:w="5860" w:type="dxa"/>
            <w:vAlign w:val="bottom"/>
            <w:gridSpan w:val="3"/>
            <w:vMerge w:val="continue"/>
          </w:tcPr>
          <w:p>
            <w:pPr>
              <w:spacing w:after="0"/>
              <w:rPr>
                <w:sz w:val="12"/>
                <w:szCs w:val="12"/>
                <w:color w:val="auto"/>
              </w:rPr>
            </w:pPr>
          </w:p>
        </w:tc>
        <w:tc>
          <w:tcPr>
            <w:tcW w:w="11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Purchased</w:t>
            </w:r>
          </w:p>
        </w:tc>
        <w:tc>
          <w:tcPr>
            <w:tcW w:w="92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Share</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October 1 – October 31, 2013</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176.1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36.36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November 1 – November 30, 2013</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545,116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41.45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153.5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152,245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39.05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1 – December 31, 2013</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741,328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43.10</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741,328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27,089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38.68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1,286,444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42.40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1,286,444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121.6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179,205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39.00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disclosed in more detail in Note 13 of Notes to Consolidated Financial Statements, in February 2011, October 2011, April 2012, October 2012 and October 2013, the Board of Directors of Lazard Ltd authorized, on a cumulative basis, the repurchase of up to an additional $250 million, $125 million, $125 million, $200 million and $100 million, respectively, in aggregate cost of Lazard Ltd Class A common stock and Lazard Group common membership interests through December 31, 2012, December 31, 2013, December 31, 2013, December 31, 2014 and December 31, 2015, respectively. The share repurchase program is used primarily to offset a portion of the shares to be issued under the 2005 Plan and the 2008 Plan. Purchases under the share repurchase program may be made in the open market or through privately negotiated transactions. Amounts shown in this line item include repurchases of Class A common stock and exclude the shares of Class A common stock withheld by the Company to meet the minimum statutory tax withholding requirements as described below.</w:t>
      </w:r>
    </w:p>
    <w:p>
      <w:pPr>
        <w:spacing w:after="0" w:line="5" w:lineRule="exact"/>
        <w:rPr>
          <w:rFonts w:ascii="Arial" w:cs="Arial" w:eastAsia="Arial" w:hAnsi="Arial"/>
          <w:sz w:val="16"/>
          <w:szCs w:val="16"/>
          <w:color w:val="auto"/>
        </w:rPr>
      </w:pPr>
    </w:p>
    <w:p>
      <w:pPr>
        <w:ind w:left="460" w:hanging="452"/>
        <w:spacing w:after="0" w:line="331"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December 31, 2013, the Company satisfied such obligations in lieu of issuing 179,205 shares of Class A common stock upon the vesting of 405,056 RSUs.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 performance graph below compares the performance of an investment in our Class A common stock, from December 31, 2008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with that of the S&amp;P 500 Index and the S&amp;P Financial Index. The graph assumes $100 was invested at the close of business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in each of our Class A common stock, the S&amp;P 500 Index and the S&amp;P Financial Index. It also assumes that dividends were reinvested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 of payment without payment of any commissions. The performance shown in the graph represents past performance and should not be considered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135890</wp:posOffset>
            </wp:positionV>
            <wp:extent cx="5205730" cy="2092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0573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statements of financial condition and operations data as of and for each of the years in the five-year period ended December 31, 2013 have been derived from Lazard Ltd’s consolidated financial statements. The audited consolidated statements of financial condition as of December 31, 2013 and 2012 and audited consolidated statements of operations for each of the years in the three year period ended December 31, 2013 are included in this Form 10-K. The audited consolidated statements of financial condition as of December 31, 2011, 2010 and 2009, and the audited consolidated statements of operations for the years ended December 31, 2010 and 2009, are not included in this Form 10-K. Historical results are not necessarily indicative of results for any future period.</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As Of Or For The Year Ended December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11"/>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(dollars in thousands, except for per share amounts)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980,577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1,049,090</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1,119,867</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986,820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1,039,130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896,260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897,401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849,662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(34,355)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(32,902)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(59,996)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(64,161)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(57,954)</w:t>
            </w:r>
          </w:p>
        </w:tc>
        <w:tc>
          <w:tcPr>
            <w:tcW w:w="0" w:type="dxa"/>
            <w:vAlign w:val="bottom"/>
          </w:tcPr>
          <w:p>
            <w:pPr>
              <w:spacing w:after="0"/>
              <w:rPr>
                <w:sz w:val="1"/>
                <w:szCs w:val="1"/>
                <w:color w:val="auto"/>
              </w:rPr>
            </w:pPr>
          </w:p>
        </w:tc>
      </w:tr>
      <w:tr>
        <w:trPr>
          <w:trHeight w:val="163"/>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1,985,352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1,912,448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1,829,512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1,905,368</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1,530,518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1,278,534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1,351,129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1,168,945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1,194,168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1,309,240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490,011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437,434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425,068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467,550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403,512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1,768,545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1,788,563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1,594,013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1,661,718</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1,712,752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216,807</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123,885</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235,499</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243,650</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165,114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92,785</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190,559</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194,423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(188,245)</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3"/>
            <w:vMerge w:val="continue"/>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160,212</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84,309</w:t>
            </w:r>
          </w:p>
        </w:tc>
        <w:tc>
          <w:tcPr>
            <w:tcW w:w="22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174,917</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174,979</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(130,242)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 Per Share of Class A Common Stock:</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Dividends Declared Per Share of Class A Common Stock</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$0.605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$ 0.45</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3,011,137</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2,986,893</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3,081,936</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3,422,532</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3,147,762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1,064,184</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1,094,713</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1,096,934</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1,249,753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1,261,478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Ltd Stockholders’ Equity</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560,209</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569,656</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726,143</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652,398</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629,998</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651,540</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866,856</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796,117</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523,097</w:t>
            </w:r>
          </w:p>
        </w:tc>
        <w:tc>
          <w:tcPr>
            <w:tcW w:w="0" w:type="dxa"/>
            <w:vAlign w:val="bottom"/>
          </w:tcPr>
          <w:p>
            <w:pPr>
              <w:spacing w:after="0"/>
              <w:rPr>
                <w:sz w:val="1"/>
                <w:szCs w:val="1"/>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$186,924,000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$167,060,000</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$141,039,000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$155,337,000</w:t>
            </w:r>
          </w:p>
        </w:tc>
        <w:tc>
          <w:tcPr>
            <w:tcW w:w="4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w w:val="84"/>
              </w:rPr>
              <w:t>$129,543,000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4"/>
              </w:rPr>
              <w:t>$173,702,000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$155,549,000</w:t>
            </w:r>
          </w:p>
        </w:tc>
        <w:tc>
          <w:tcPr>
            <w:tcW w:w="2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$152,072,000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$137,381,000</w:t>
            </w:r>
          </w:p>
        </w:tc>
        <w:tc>
          <w:tcPr>
            <w:tcW w:w="4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4"/>
              </w:rPr>
              <w:t>$103,988,000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2,403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2,511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2,332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gridSpan w:val="2"/>
          </w:tcPr>
          <w:p>
            <w:pPr>
              <w:spacing w:after="0"/>
              <w:rPr>
                <w:sz w:val="7"/>
                <w:szCs w:val="7"/>
                <w:color w:val="auto"/>
              </w:rPr>
            </w:pPr>
          </w:p>
        </w:tc>
        <w:tc>
          <w:tcPr>
            <w:tcW w:w="5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10"/>
            <w:vMerge w:val="restart"/>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10"/>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768,790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78,916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73,403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93,825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111,933</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83,885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Strategic Advisory</w:t>
            </w: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847,706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866,331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794,364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825,992</w:t>
            </w: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Restructuring</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132,871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182,759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197,743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293,875</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Financial Advisory Net Revenue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980,577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1,049,090</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1,119,867</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986,820</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903,956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78,342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43,661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26,245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86,298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56,832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tcPr>
          <w:p>
            <w:pPr>
              <w:ind w:left="300"/>
              <w:spacing w:after="0" w:line="155" w:lineRule="exact"/>
              <w:rPr>
                <w:sz w:val="20"/>
                <w:szCs w:val="20"/>
                <w:color w:val="auto"/>
              </w:rPr>
            </w:pPr>
            <w:r>
              <w:rPr>
                <w:rFonts w:ascii="Arial" w:cs="Arial" w:eastAsia="Arial" w:hAnsi="Arial"/>
                <w:sz w:val="14"/>
                <w:szCs w:val="14"/>
                <w:color w:val="auto"/>
              </w:rPr>
              <w:t>Asset Management Net Revenue</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1,039,130</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896,260</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897,401</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849,662</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601,652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“Corporate” includes interest expense (net of interest income), investment income (losses) from certain investments and net revenue earned by LFB through its commercial banking operations.</w:t>
      </w:r>
    </w:p>
    <w:p>
      <w:pPr>
        <w:spacing w:after="0" w:line="22" w:lineRule="exact"/>
        <w:rPr>
          <w:rFonts w:ascii="Arial" w:cs="Arial" w:eastAsia="Arial" w:hAnsi="Arial"/>
          <w:sz w:val="12"/>
          <w:szCs w:val="12"/>
          <w:color w:val="auto"/>
        </w:rPr>
      </w:pPr>
    </w:p>
    <w:p>
      <w:pPr>
        <w:ind w:left="340" w:hanging="332"/>
        <w:spacing w:after="0" w:line="258"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 revenue may be recognized in the future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 (iii) in 2010, charges of $24,860 relating to the acceleration of amortization expense pertaining to the amendment of Lazard’s retirement policy with respect to RSU awards; and (iv) in 2009, charges of $86,514 related to the acceleration of amortization expense relating to share-based incentive awards previously granted to our former Chairman and Chief Executive Officer and $60,512 related to the accelerated vesting of the then unamortized portion of previously awarded deferred cash incentive awards.</w:t>
      </w:r>
    </w:p>
    <w:p>
      <w:pPr>
        <w:spacing w:after="0" w:line="1"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 in 2013, non-compensation costs of $13,304 relating to the cost saving initiatives announced by the Company in October 2012 and $54,087 related to the refinancing of the 7.125% senior notes maturing on May 15, 2015; (ii) in 2012, non-compensation costs of $2,905 recorded in the first quarter associated with staff reductions and $2,589 recorded in the fourth quarter relating to the cost saving initiatives announced by the Company in October 2012; (iii) in 2010, restructuring expense of $87,108 related to the restructuring plan announced in the first quarter of 2010; and (iv) in 2009, restructuring expense of $62,550 related to the restructuring plan announced in the first quarter of 2009.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41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12 of Notes to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any obligations to LFCM Holdings LLC (“LFCM Holdings”), we may explore capital markets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Equity market indices for developed markets at December 31, 2013 increased when compared to such indices at December 31, 2012, while equity market indices for emerging markets decreased as compared to December 31, 2012. On an industry-wide basis, during 2013, the number of completed and announced M&amp;A transactions decreased, compared to the prior year. Global restructuring activity, as measured by the number of corporate defaults, was slightly lower in 2013 as compared to the prior year, and the aggregate value of debt defaults remained low, consistent with the last several years.</w:t>
      </w:r>
    </w:p>
    <w:p>
      <w:pPr>
        <w:spacing w:after="0" w:line="11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Entering 2014, interest rates remain low and corporate cash balances remain high. Macroeconomic conditions appear to be improving in the developed countries, particularly in North America, CEO and board confidence appears to be returning and, as such, companies based in these regions may be better positioned to make acquisitions for future growth and investors may be increasingly interested in deploying capital for investment purposes. In our Asset Management business, we entered 2014 with a record level of assets under management. Although market volatility may continue, we believe the long term trends appear positive.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The cost saving initiatives that we began in 2012 are effectively complete,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through 2013, more than two-thirds of these savings were realized, with the full impact of all the savings expected to be reflected in our 2014 results. See “Cost Saving Initiatives” below and Note 16 of Notes to Consolidated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90"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 We have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hanging="345"/>
        <w:spacing w:after="0" w:line="308" w:lineRule="auto"/>
        <w:tabs>
          <w:tab w:leader="none" w:pos="92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also announced plans to open an office in Dubai.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and Asian Equities.</w:t>
      </w:r>
    </w:p>
    <w:p>
      <w:pPr>
        <w:spacing w:after="0" w:line="10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capital to our stockholders.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and announced M&amp;A transactions increased in 2013 compared to 2012, while the number of such transactions decreased as compared to 2012. With respect to the value of announced transactions, the 2013 increase was partially driven by one large transaction. Both the value and number of announced transactions involving deal values greater than $500 million increased in 2013 as compared to 2012.</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160" w:type="dxa"/>
            <w:vAlign w:val="bottom"/>
          </w:tcPr>
          <w:p>
            <w:pPr>
              <w:jc w:val="right"/>
              <w:ind w:right="754"/>
              <w:spacing w:after="0"/>
              <w:rPr>
                <w:sz w:val="20"/>
                <w:szCs w:val="20"/>
                <w:color w:val="auto"/>
              </w:rPr>
            </w:pPr>
            <w:r>
              <w:rPr>
                <w:rFonts w:ascii="Arial" w:cs="Arial" w:eastAsia="Arial" w:hAnsi="Arial"/>
                <w:sz w:val="14"/>
                <w:szCs w:val="14"/>
                <w:b w:val="1"/>
                <w:bCs w:val="1"/>
                <w:color w:val="auto"/>
                <w:w w:val="96"/>
              </w:rPr>
              <w:t>2012</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2,601</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2,549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35,945</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w w:val="83"/>
              </w:rPr>
              <w:t>43,417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1,846</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1,704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943</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954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2,911</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2,679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37,367</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3"/>
              </w:rPr>
              <w:t>43,678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2,065</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1,828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2"/>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1,062</w:t>
            </w:r>
          </w:p>
        </w:tc>
        <w:tc>
          <w:tcPr>
            <w:tcW w:w="700" w:type="dxa"/>
            <w:vAlign w:val="bottom"/>
          </w:tcPr>
          <w:p>
            <w:pPr>
              <w:spacing w:after="0"/>
              <w:rPr>
                <w:sz w:val="19"/>
                <w:szCs w:val="19"/>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1,012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6, 2014.</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Global restructuring activity during 2013, as measured by the number of corporate defaults, decreased as compared to 2012, and the aggregate value of debt defaults remained low, consistent with the last several years. The number of defaulting issuers decreased slightly to 62 in 2013, according to Moody’s Investors Service, Inc., as compared to 63 in 2012. In the U.S., the number of corporate defaults decreased 30% in 2013 as compared to 2012, while the value of such defaults decreased 17% during the same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percentage change in major equity market indices at December 31, 2013, as compared to such indices at December 31, 2012, and at December 31, 2012, as compared to such indices at December 31, 2011,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 Stoxx</w:t>
            </w:r>
          </w:p>
        </w:tc>
        <w:tc>
          <w:tcPr>
            <w:tcW w:w="2000" w:type="dxa"/>
            <w:vAlign w:val="bottom"/>
            <w:gridSpan w:val="2"/>
          </w:tcPr>
          <w:p>
            <w:pPr>
              <w:jc w:val="right"/>
              <w:ind w:right="1032"/>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tcPr>
          <w:p>
            <w:pPr>
              <w:jc w:val="right"/>
              <w:ind w:right="1032"/>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Movements in AUM during the period generally reflect the changes in equity market indices. Our AUM at December 31, 2013 increased 12% versus AUM at December 31, 2012, primarily due to market appreciation. Average AUM for 2013 also increased 12% as compared to average AUM in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Through 2013, more than two-thirds of these savings were realized, with the full impact of all the savings expected to be reflected in our 2014 results.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Although Corporate segment net revenue during 2013 represented (1)% of Lazard’s net revenue, total assets in the Corporate segment represented 56% of Lazard’s consolidated total assets as of December 31, 2013,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incentive compensation under the Lazard Ltd 2005 Equity Incentive Plan (the “2005 Plan”) and the Lazard Ltd 2008 Incentive Compensation Plan (the “2008 Plan”) and (b) Lazard Fund Interests awards and other similar deferred compensation arrangements (see Note 14 of Notes to Consolidated Financial Statements),</w:t>
      </w:r>
    </w:p>
    <w:p>
      <w:pPr>
        <w:ind w:right="60" w:firstLine="8"/>
        <w:spacing w:after="0" w:line="302" w:lineRule="auto"/>
        <w:tabs>
          <w:tab w:leader="none" w:pos="3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0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for the year ended December 31, 2013 was 58.3%. While we have implemented initiatives, including the cost saving initiatives announced in October 2012 (see “Cost Saving Initiatives” above and Note 16 of Notes to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jc w:val="both"/>
        <w:ind w:right="600" w:firstLine="456"/>
        <w:spacing w:after="0" w:line="335" w:lineRule="auto"/>
        <w:rPr>
          <w:sz w:val="20"/>
          <w:szCs w:val="20"/>
          <w:color w:val="auto"/>
        </w:rPr>
      </w:pPr>
      <w:r>
        <w:rPr>
          <w:rFonts w:ascii="Arial" w:cs="Arial" w:eastAsia="Arial" w:hAnsi="Arial"/>
          <w:sz w:val="15"/>
          <w:szCs w:val="15"/>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In 2013, non-compensation expense also included the implementation of the cost saving initiatives and expenses related to the refinancing of the 7.125% senior notes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due 2015 (the “2015 Notes”) and the issuance of $500 million of 4.25% senior notes maturing in 2020 (the “2020 Notes”) (see Note 11 of Notes to Consolidated Financial Statements). In 2012, non-compensation expense included the implementation of the cost saving initiatives, and the relevant portion of the expense relating to the staff reductions. For all periods, the amortization of intangible assets related to acquisitions pertains primarily to the acquisition of Edgewater.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the amount attributable to LAZ-MD Holdings’ ownership interest in the net income of Lazard Group. See Note 13 of Notes to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Selected financial data from the Company’s reported consolidated results of operations is set forth below, followed by a more detailed discussion of both the consolidated and business segment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1,985,352</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1,912,448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1,829,512</w:t>
            </w:r>
          </w:p>
        </w:tc>
        <w:tc>
          <w:tcPr>
            <w:tcW w:w="0" w:type="dxa"/>
            <w:vAlign w:val="bottom"/>
          </w:tcPr>
          <w:p>
            <w:pPr>
              <w:spacing w:after="0"/>
              <w:rPr>
                <w:sz w:val="1"/>
                <w:szCs w:val="1"/>
                <w:color w:val="auto"/>
              </w:rPr>
            </w:pPr>
          </w:p>
        </w:tc>
      </w:tr>
      <w:tr>
        <w:trPr>
          <w:trHeight w:val="3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1,278,534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1,351,129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1,168,945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479,897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429,075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1,768,545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1,788,563</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1,594,013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123,885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92,785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0"/>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$1,985,352</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$ 1,912,448</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$ 1,829,512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Other interest expense (a)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78,148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80,029</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86,200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(15,115)</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(14,104)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(16,696)</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08"/>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Lazard Fund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Interests (d)</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(14,099)</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2,034,286</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1,970,816</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1,883,869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Gain related to the repurchase of the Company’s subordinated promissory note is excluded because of the non-operating nature of such transaction.</w:t>
      </w:r>
    </w:p>
    <w:p>
      <w:pPr>
        <w:spacing w:after="0" w:line="32" w:lineRule="exact"/>
        <w:rPr>
          <w:rFonts w:ascii="Arial" w:cs="Arial" w:eastAsia="Arial" w:hAnsi="Arial"/>
          <w:sz w:val="16"/>
          <w:szCs w:val="16"/>
          <w:color w:val="auto"/>
        </w:rPr>
      </w:pPr>
    </w:p>
    <w:p>
      <w:pPr>
        <w:ind w:left="460" w:right="580" w:hanging="452"/>
        <w:spacing w:after="0" w:line="361"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$1,278,534</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$1,351,129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Charges pertaining to staff reductions (a)</w:t>
            </w:r>
          </w:p>
        </w:tc>
        <w:tc>
          <w:tcPr>
            <w:tcW w:w="15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(21,754)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saving initiatives (a)</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(51,399)</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(99,987)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(b)</w:t>
            </w:r>
          </w:p>
        </w:tc>
        <w:tc>
          <w:tcPr>
            <w:tcW w:w="2580" w:type="dxa"/>
            <w:vAlign w:val="bottom"/>
            <w:gridSpan w:val="3"/>
          </w:tcPr>
          <w:p>
            <w:pPr>
              <w:jc w:val="right"/>
              <w:ind w:right="140"/>
              <w:spacing w:after="0"/>
              <w:rPr>
                <w:sz w:val="20"/>
                <w:szCs w:val="20"/>
                <w:color w:val="auto"/>
              </w:rPr>
            </w:pPr>
            <w:r>
              <w:rPr>
                <w:rFonts w:ascii="Arial" w:cs="Arial" w:eastAsia="Arial" w:hAnsi="Arial"/>
                <w:sz w:val="18"/>
                <w:szCs w:val="18"/>
                <w:color w:val="auto"/>
              </w:rPr>
              <w:t>(4,232)</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(4,040)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 incentive compensation (c)</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(12,203)</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(Charges) credits pertaining to Lazard Fund Interests (d)</w:t>
            </w:r>
          </w:p>
        </w:tc>
        <w:tc>
          <w:tcPr>
            <w:tcW w:w="15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(14,099)</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(7,557)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1,196,601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1,217,791</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1,168,229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Deduct – amortization of incentive compensation awards</w:t>
            </w:r>
          </w:p>
        </w:tc>
        <w:tc>
          <w:tcPr>
            <w:tcW w:w="15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(297,607)</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(334,796)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898,994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882,995</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Add:</w:t>
            </w: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(f)</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291,007</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272,391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Sign-on and other special incentive awards (g)</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22,107</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42,088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(h)</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(27,270)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(27,360)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adjustments (i)</w:t>
            </w:r>
          </w:p>
        </w:tc>
        <w:tc>
          <w:tcPr>
            <w:tcW w:w="1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w:t>
            </w:r>
          </w:p>
        </w:tc>
        <w:tc>
          <w:tcPr>
            <w:tcW w:w="6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1,186,746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1,171,468</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1,168,557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1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00" w:type="dxa"/>
            <w:vAlign w:val="bottom"/>
            <w:gridSpan w:val="3"/>
            <w:vMerge w:val="continue"/>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as a % of Operating Revenue</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58.8%</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61.8%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1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8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expenses pertaining to the first quarter 2012 staff reductions and the cost saving initiatives announced in October 2012, as applicable, for (i) severance costs and benefit payments; (ii) the acceleration of unrecognized amortization expense of deferred incentive compensation previously granted to individuals whose employment was terminated; and (iii) the settlement of certain contractual obligations.</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4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Incentive compensation expense pertaining to private equity transactions for which revenue may be recognized in the future is excluded in order to more closely align the timing of the recognition of such expense to the timing of the recognition of the related revenue.</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base salaries and benefits of $530,454, $515,822 and $506,490 for 2013, 2012 and 2011, respectively, and cash incentive compensation of $368,540, $367,173 and $372,373 for the respective years.</w:t>
      </w:r>
    </w:p>
    <w:p>
      <w:pPr>
        <w:ind w:left="460" w:right="40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Grant date fair value of 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2014, 2013 and 2012 related to the 2013, 2012 and 2011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 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7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Non-Compensation Expense</w:t>
            </w: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$479,897</w:t>
            </w:r>
          </w:p>
        </w:tc>
        <w:tc>
          <w:tcPr>
            <w:tcW w:w="4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$429,075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$413,153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(1,993)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(2,558)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pertaining to staff reductions (b)</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(13,304)</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(2,589)</w:t>
            </w: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pertaining to senior debt refinancing (c)</w:t>
            </w: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(54,087)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Provision relating to U.K. lease (d)</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relating to LAI option (d)</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Adjustment related to the provision pursuant to the tax receivable agreement (“TRA”)</w:t>
            </w: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(1,249)</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409,264</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421,023</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399,677</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3"/>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4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3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Non-compensation costs in 2013 and 2012 associated with the cost saving initiatives and the first quarter 2012 staff reductions are excluded to enhance comparability of adjusted non-compensation expense between present, historical and future periods.</w:t>
      </w:r>
    </w:p>
    <w:p>
      <w:pPr>
        <w:ind w:left="460" w:right="5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Charges pertaining to the refinancing of the 2015 Notes and the issuance of the 2020 Notes are excluded because of the non-operating nature of such transactions. See “—Liquidity and Capital Resources—</w:t>
      </w:r>
      <w:r>
        <w:rPr>
          <w:rFonts w:ascii="Arial" w:cs="Arial" w:eastAsia="Arial" w:hAnsi="Arial"/>
          <w:sz w:val="18"/>
          <w:szCs w:val="18"/>
          <w:i w:val="1"/>
          <w:iCs w:val="1"/>
          <w:color w:val="auto"/>
        </w:rPr>
        <w:t>Financing Activities</w:t>
      </w:r>
      <w:r>
        <w:rPr>
          <w:rFonts w:ascii="Arial" w:cs="Arial" w:eastAsia="Arial" w:hAnsi="Arial"/>
          <w:sz w:val="18"/>
          <w:szCs w:val="18"/>
          <w:color w:val="auto"/>
        </w:rPr>
        <w:t>.”</w:t>
      </w:r>
    </w:p>
    <w:p>
      <w:pPr>
        <w:ind w:left="460" w:right="320" w:hanging="452"/>
        <w:spacing w:after="0" w:line="32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charges are excluded due to the non-recurring nature of such items and to enhance comparability of adjusted non-compensation expense between present, historical and future periods (see Notes 12 and 19 of Notes to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From Operations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revenue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2,034,286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1,970,816</w:t>
            </w: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1,883,869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(1,196,601)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(1,217,791)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(1,168,229)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(409,264)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(421,023)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(399,677)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428,421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332,002</w:t>
            </w:r>
          </w:p>
        </w:tc>
        <w:tc>
          <w:tcPr>
            <w:tcW w:w="5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315,963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4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2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4160" w:type="dxa"/>
            <w:vAlign w:val="bottom"/>
            <w:gridSpan w:val="4"/>
          </w:tcPr>
          <w:p>
            <w:pPr>
              <w:jc w:val="right"/>
              <w:ind w:right="140"/>
              <w:spacing w:after="0"/>
              <w:rPr>
                <w:sz w:val="20"/>
                <w:szCs w:val="20"/>
                <w:color w:val="auto"/>
              </w:rPr>
            </w:pPr>
            <w:r>
              <w:rPr>
                <w:rFonts w:ascii="Arial" w:cs="Arial" w:eastAsia="Arial" w:hAnsi="Arial"/>
                <w:sz w:val="18"/>
                <w:szCs w:val="18"/>
                <w:color w:val="auto"/>
              </w:rPr>
              <w:t>50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4160" w:type="dxa"/>
            <w:vAlign w:val="bottom"/>
            <w:gridSpan w:val="4"/>
          </w:tcPr>
          <w:p>
            <w:pPr>
              <w:jc w:val="right"/>
              <w:ind w:right="140"/>
              <w:spacing w:after="0"/>
              <w:rPr>
                <w:sz w:val="20"/>
                <w:szCs w:val="20"/>
                <w:color w:val="auto"/>
              </w:rPr>
            </w:pPr>
            <w:r>
              <w:rPr>
                <w:rFonts w:ascii="Arial" w:cs="Arial" w:eastAsia="Arial" w:hAnsi="Arial"/>
                <w:sz w:val="18"/>
                <w:szCs w:val="18"/>
                <w:color w:val="auto"/>
              </w:rPr>
              <w:t>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8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368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80" w:type="dxa"/>
            <w:vAlign w:val="bottom"/>
            <w:vMerge w:val="restart"/>
          </w:tcPr>
          <w:p>
            <w:pPr>
              <w:jc w:val="right"/>
              <w:ind w:right="2152"/>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21 of Notes to Consolidated Financial Statements for additional financial information on a geographic basis.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2013(a)</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6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gridSpan w:val="2"/>
            <w:vMerge w:val="continue"/>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1,082</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1,092</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1,102</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1,165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1,197</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2,403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2,513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2,511</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1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2013, the headcount reductions relating to the cost saving initiatives were substantially complete. Such reductions have been partially offset by additional investments and, in the case of managing directors, by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2013 of $160 million, as compared to net income of $84 million in 2012. The changes in the Company’s operating results during these years are described below.</w:t>
      </w:r>
    </w:p>
    <w:p>
      <w:pPr>
        <w:spacing w:after="0" w:line="13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Net revenue in 2013 increased $73 million, or 4%, with operating revenue increasing $63 million, or 3%, as compared to 2012. Fee revenue from investment banking and other advisory activities decreased $67 million, or 6%, primarily due to decreases in Restructuring revenue and M&amp;A and Other Advisory fees. The decline in Restructuring revenue was attributable to the closing of several large assignments during 2012, and was consistent with the industry-wide low level of corporate restructuring activity. The decrease in M&amp;A and Other Advisory fee revenue was primarily due to a lower number of completed transactions involving fees greater than $1 million in 2013 as compared to 2012, which included significant fees related to Sovereign Advisory and reflected a higher level of activity in our Lazard Middle Market business. Money management fees, including incentive fees, increased $136 million, or 16%, principally reflecting a $18 billion, or 12%, increase in average AUM as compared to 2012. In the aggregate, interest income, other revenue and interest expense reflected an increase in net revenue of $4 million as compared to 2012. Such increase was primarily due to higher transaction based commission revenue as a result of increased market activity in 2013, and a decrease in interest expense as a result of the refinancing of the 2015 Notes.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Compensation and benefits expense in 2013 decreased $73 million, or 5%, compared to 2012, and included a $51 million charge related to the cost saving initiatives and a $12 million charge related to private equity incentive compensation, as compared to an aggregate $122 million charge related to the cost saving initiatives and staff reductions in 2012.</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$1.197 billion in 2013, a decrease of $21 million, or 2%, when compared to $1.218 billion in 2012, primarily driven by lower headcount related to the cost saving initiatives and, as described below, reduced amortization expense related to 2008 deferred compensation (the “2008 grant”). The ratio of adjusted compensation and benefits expense to operating revenue was reduced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58.8% for 2013, as compared to 61.8% for 2012, despite a 3% increase in operating revenue in 2013. Awarded compensation and benefits expense in 2013 was</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$1.187 billion, an increase of $16 million, or 1%, when compared to $1.171 billion in 2012. The ratio of awarded compensation and benefits expense to operating revenue was reduced to 58.3% for 2013, as compared to 59.4% for 2012. The grant date fair value of year-end deferred incentive awards for 2013 was $291 million, representing a $19 million, or 7%, increase compared to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amortization of deferred incentive compensation awards related to 2010, 2011 and 2012 was $298 million for 2013, a decrease of $37 million as compared to $335 million for 2012. The lower level of amortization expense was primarily attributable to the 2008 grant. The 2008 grant had a comparatively longer, four-year vesting period and, together with compensation awards related to 2009, 2010 and 2011 deferred compensation, affected amortization expense for the full year of 2012. The 2008 grant was fully vested on March 1, 2013.</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Non-compensation expense in 2013 increased $51 million, or 12%, as compared to 2012 and included a charge of $13 million related to the cost saving initiatives and $54 million related to the refinancing of the 2015 Notes and the issuance of the 2020 Notes, as compared to an aggregate charge of $5 million related to the cost saving initiatives and staff reductions in 2012. When excluding such charges, as well as non-compensation costs relating to noncontrolling interests, adjusted non-compensation expense in 2013 decreased $11 million, or 3%, as compared to 2012, primarily due to decreases in (i) marketing and business development expense associated with lower expenses for travel and other business development and (ii) technology expense for telecommunications and market data, all primarily attributable to the cost saving initiatives. Other contributing factors were reduced deal-related costs, which were higher in 2012 as a result of transactions that closed during that period. Such decreases were partially offset by increased investments in technology, and higher mutual fund servicing fees primarily related to the increase in higher average AUM. The ratio of adjusted non-compensation expense to operating revenue was 20.1% in 2013 versus 21.4% in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$2 million, as compared to 2012.</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income in 2013 (including the charges relating to the cost saving initiatives, private equity incentive compensation and the refinancing of the 2015 Notes of $64 million, $12 million and $54 million, respectively) increased $93 million, or 75%, as compared to 2012 (including the charges relating to the cost saving initiatives and staff reductions of $103 million and $25 million, respectively, in 2012). Operating income, as a percentage of net revenue, was 10.9%, as compared to 6.5% in 2012.</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Earnings from operations increased $96 million, or 29%, when compared to 2012, and, as a percentage of operating revenue, was 21.1% in 2013, as compared to 16.8% in 2012.</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provision for income taxes increased $21 million, or 66%, when compared to 2012, and reflected an effective tax rate of 23.8%, as compared to 25.1% for 2012. The decrease in the effective tax rate is primarily reflective of the change in the geographic mix of earnings (see Note 17 of Notes to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$4 million in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2012 of $84 million, as compared to net income of $175 million in 2011. The changes in the Company’s operating results during these years are described below.</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revenue in 2012 increased $83 million, or 5%, with operating revenue increasing $87 million, or 5%, respectively, as compared to 2011. Fee revenue from investment banking and other advisory activities increased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$69 million, or 7%, primarily due to an increase in M&amp;A and Other Advisory fees, partially offset by a decrease in Restructuring fees. The increase in M&amp;A and Other Advisory fee revenue was primarily driven by the strong performance of Lazard Middle Market and the overall breadth and volume of our global M&amp;A and Sovereign Advisory businesses. Higher fees were earned from our top 10 clients during 2012, reflecting the closing of several significant M&amp;A and Sovereign Advisory transactions. The decrease in Restructuring fee revenue was generally in line with the industry-wide low level of corporate restructuring activity. Money management fees decreased $1 million during 2012. In the aggregate, interest income, other revenue and interest expense reflected an increase in net revenue of $15 million as compared to 2011. Such increase was principally due to increases in investment income (including a gain relating to the increase in market value of investments underlying Lazard Fund Interests, that correspond to changes in the related compensation and benefits expense for awards expected to vest), that was partially offset by decreases in other revenue due to the $18 million gain on the repurchase of the Company’s subordinated promissory note in 2011, as well as decreases in referral fees from LFCM Holdings and commissions.</w:t>
      </w:r>
    </w:p>
    <w:p>
      <w:pPr>
        <w:spacing w:after="0" w:line="12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Compensation and benefits expense in 2012 increased $182 million, or 16%, compared to 2011, which, in part, reflected a $22 million first quarter 2012 charge associated with staff reductions and a fourth quarter 2012 charge of $100 million related to the cost saving initiatives. Such charges primarily relate to severance costs and benefit payments, with $8 million and $22 million of the respective charges relating to the acceleration of unrecognized amortization expense of deferred incentive compensation previously granted to individuals being terminated. Amortization expense of previously granted deferred incentive compensation awards related to the 2008 grant, which, as described above, had a comparatively longer, four year vesting period, also contributed to the increase.</w:t>
      </w:r>
    </w:p>
    <w:p>
      <w:pPr>
        <w:spacing w:after="0" w:line="10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$1.218 billion in 2012, an increase of $50 million, or 4%, when compared to $1.168 billion in 2011. The ratio of adjusted compensation and benefits expense to operating revenue was reduced to 61.8% for 2012 as compared to 62.0% for 2011, despite the 5% increase in operating revenue during the same period. In 2012, amortization expense relating to the 2008 Grant represented approximately 2.0% of operating revenue. Awarded compensation and benefits expense in 2012 of $1.171 billion remained substantially unchanged when compared to $1.169 billion for 2011, despite the 5% increase in operating revenue during the same period. The ratio of awarded compensation and benefits expense to operating revenue was reduced to 59.4% in 2012 as compared to 62.0% for 2011. The grant date fair value of year-end deferred incentive compensation awards for 2012 was $272 million, representing a $10 million, or 4%, decrease compared to 2011.</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Amortization of deferred incentive compensation awards, excluding the above-mentioned charges of $8 million and $22 million relating to the first quarter 2012 staff reductions and fourth quarter 2012 cost saving initiatives, respectively, was $335 million in 2012, as compared to $289 million in 2011. Amortization expense during 2012 included approximately $40 million related to the 2008 grant, which had a four year vesting period, and was the only outstanding grant with a vesting period in excess of three years.</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Non-compensation expense in 2012 increased $16 million, or 4%, as compared to 2011. Non-compensation expense in 2012 included a first quarter charge of $3 million associated with the staff reductions and a fourth quarter charge of an additional $3 million related to the cost saving initiatives, while the fourth quarter of 2011 included aggregate charges of $11 million related to the Company’s leased facilities in the U.K. and the write-off of the capitalized costs related to the Company’s option to acquire the fund management activities of Lazard Alternative Investment Holdings LLC (“LAI”). When excluding such charges, as well as non-compensation costs relating to noncontrolling interests, adjusted non-compensation expense in 2012 increased $21 million, or 5%, primarily attributable to</w:t>
      </w:r>
    </w:p>
    <w:p>
      <w:pPr>
        <w:spacing w:after="0" w:line="2" w:lineRule="exact"/>
        <w:rPr>
          <w:sz w:val="20"/>
          <w:szCs w:val="20"/>
          <w:color w:val="auto"/>
        </w:rPr>
      </w:pPr>
    </w:p>
    <w:p>
      <w:pPr>
        <w:ind w:right="340" w:firstLine="8"/>
        <w:spacing w:after="0" w:line="254" w:lineRule="auto"/>
        <w:tabs>
          <w:tab w:leader="none" w:pos="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occupancy costs in 2012 as a result of our amended lease and associated build-out costs of our Rockefeller Center facility, (ii) deal-related costs specifically related to transactions that closed in 2012 and (iii) investments in technology, with such increased costs partially offset by decreased professional fees, mutual fund servicing fees, travel and other expenses. The ratio of adjusted non-compensation expense to operating revenue was 21.4% in 2012 versus 21.2% for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or 30%, as compared to 2011.</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Operating income in 2012 (including the charges that are described above relating to staff reductions and cost saving initiatives aggregating $25 million and $103 million, respectively) decreased $112 million, or 47%, as compared to operating income in 2011. Operating income, as a percentage of net revenue, was 6.5%, as compared to 12.9%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Earnings from operations increased $16 million, or 5%, when compared to 2011, and, as a percentage of operating revenue, was 16.8% in both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provision for income taxes decreased $14 million, or 31%, when compared to 2011, and reflected an effective tax rate of 25.1% as compared to 19.1% for 2011. The increase in the effective tax rate was primarily reflective of the geographic mix of earnings (see Note 17 of Notes to Consolidated Financial Statements for additional information).</w:t>
      </w:r>
    </w:p>
    <w:p>
      <w:pPr>
        <w:spacing w:after="0" w:line="140"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$7 million in 2012 due to a lower level of income and a decrease in the level of noncontrolling ownership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768,790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792,928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700,539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78,916</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73,403</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847,706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866,331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794,364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132,871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182,759</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197,743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980,577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1,049,090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992,107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959,668</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1,057,620</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929,688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62,419</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in 2013 and 2012, $47,779 and $77,532, respectively, associated with the implementation of the cost saving initiatives. All years include indirect support costs (including compensation and benefits expense and other operating expenses related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2% increase in the value of all completed transactions in 2013 as compared to 2012, but a 17% decrease in the number of all completed transactions in 2013 as compared to 2012. For M&amp;A deals with values greater than $500 million, the value of completed transactions in 2013 increased 8% as compared to 2012, while the number of such deals decreased 1% as compared to 2012. Our M&amp;A and Other Advisory revenue (which includes Sovereign and Capital Advisory revenue) decreased 3% in 2013 as compared to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2013, 2012 or 2011.</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Dealogic as of January 6, 2014.</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decreased $19 million, or 2%, and Restructuring revenue decreased $50 million, or 27%, as compared to 2012.</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M&amp;A and Other Advisory revenue decreased $24 million, or 3%, while Capital Raising revenue increased by $5 million, or 8%, as compared to 2012. The decrease in M&amp;A and Other Advisory revenue was primarily due to a decrease in the number of M&amp;A and Other Advisory transactions involving fees greater than $1 million. Our major clients, which in the aggregate represented 25% of our M&amp;A and Other Advisory revenue for 2013, included 3G Capital, Ameristar Casinos, Amgen, Anheuser-Busch InBev, Cerberus Capital Management, D.E Master Blenders 1753, EADS, Independent Committee of Independent Non-Executive Directors of Eurasian Natural Resources Corporation, NV Energy, Piraeus Bank, Rockwood and Tenet Healthcare.</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reflected the closing of several large assignments in 2012. Our major clients, which in the aggregate represented 25% of our revenue in 2013, included Allied Pilots Association, Eastman Kodak and Exide Technologies.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expenses decreased $98 million, or 9%, as compared to 2012, and included a $47 million charge in 2013 and a $78 million charge in 2012 related to the cost saving initiatives. Excluding such charge, operating expenses decreased $68 million, or 7%. The primary contributors to the decrease were lower compensation and benefits expense due to lower operating revenue, headcount reductions related to the cost saving initiatives, reductions in amortization expense associated with deferred compensation awards, decreased travel and communications expense related to the cost saving initiatives and lower deal-related costs as a result of transactions that closed in 2013 as compared to 2012.</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Advisory operating income in 2013 was $21 million (including the impact of the $47 million charge related to the cost saving initiatives), an increase of $29 million as compared to operating loss of $9 million (including the impact of the $78 million charge related to the cost saving initiatives) in 2012 and, as a percentage of net revenue, was 2.1% as compared to (0.8)% in 2012. Excluding the impact of such charges in 2013 and 2012, operating income in 2013 was $68 million, or 7% of net revenue, and was substantially unchanged as compared to operating income in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$72 million, or 9%, and Restructuring revenue decreased $15 million, or 8%, as compared to 2011.</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M&amp;A and Other Advisory revenue increased $92 million, or 13%, as compared to 2011. Capital Raising revenue decreased $20 million, or 22%. The increase in M&amp;A and Other Advisory revenue was primarily due to the strong performance of Lazard Middle Market and a higher level of fees earned from our top 10 clients, reflecting the closing of several significant M&amp;A and Sovereign Advisory transactions. Our major clients, which in the aggregate represented 25% of our M&amp;A and Other Advisory revenue for the year, included Aeroporti di Roma, Azur Pharm, BTA Bank JSC, Caisse des Dépôts, Delphi Financial Group, GlaxoSmithKline, Google, Government of Greece, Medco Health Solutions, Pireaus Bank and Progress Energy. The decrease in Capital Raising revenue in 2012 was primarily attributable to a decrease in referral fees from LFCM Holdings and a decrease in private placement activity.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2012 was generally in line with the industry-wide low level of corporate restructuring activity. Notable assignments completed in 2012 included assignments for Cemex, Eastman Kodak, Lehman Brothers, NewPage Corporation and Tribune Company.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Operating expenses increased $128 million, or 14%, as compared to 2011. The primary contributors to the increase were a fourth quarter 2012 charge aggregating $78 million related to the cost saving initiatives, as well as higher levels of compensation and benefits expense (see the discussion regarding compensation and benefits expense described above under “Operating Results–Year Ended December 31, 2012 versus December 31, 2011”), transaction-related third party fees specifically related to transactions that closed in 2012 and occupancy costs as a result of our amended lease and associated buildout costs of our Rockefeller Center facility.</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Financial Advisory operating loss in 2012 was $9 million (with such amount including the impact of the $78 million charge related to the cost saving initiatives), a decrease of $71 million as compared to operating income of $62 million in 2011 and, as a percentage of net revenue, was (0.8)% as compared to 6.3% in 2011. Excluding the impact of such charge in 2012, operating income in 2012 was $69 million, an increase of $7 million, or 11%, as compared to operating income of $62 million in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34,988</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32,179</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29,028</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138,171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116,362</w:t>
            </w: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5,349</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186,924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167,060</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141,039</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Total AUM at December 31, 2013 was $187 billion, an increase of $20 billion, or 12%, as compared to total AUM of $167 billion at December 31, 2012, primarily due to market appreciation. Average AUM for the year ended December 31, 2013 was 12% higher than that for 2012.</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December 31, 2013, approximately 90% of our AUM was managed on behalf of institutional clients, including corporations, labor unions, public pension funds, insurance companies and banks, and through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2012.</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2013, AUM denominated in foreign currencies represented approximately 63% of our total AUM, as compared to 62% at December 31, 2012. Foreign denominated AUM generally declines in value with the strengthening of the U.S. Dollar and increases in value as the U.S. Dollar weakens, with all other factors held constant.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2013,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Inflows</w:t>
            </w: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6"/>
              </w:rPr>
              <w:t>Outflows</w:t>
            </w:r>
          </w:p>
        </w:tc>
        <w:tc>
          <w:tcPr>
            <w:tcW w:w="2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$138,171</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$26,518</w:t>
            </w: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5"/>
              </w:rPr>
              <w:t>$ (31,597)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$(5,079)</w:t>
            </w: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22,718</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6,725</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(3,318)</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(1,325)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34,306</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(36,240)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(1,934)</w:t>
            </w:r>
          </w:p>
        </w:tc>
        <w:tc>
          <w:tcPr>
            <w:tcW w:w="26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26,154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(4,356)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Global and Local equity platforms, and outflows in the Fixed Income asset class were primarily attributable to the Multi-Regional platform.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w w:val="85"/>
              </w:rPr>
              <w:t>Year Ended December 31, 2012</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AUM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Outflows</w:t>
            </w:r>
          </w:p>
        </w:tc>
        <w:tc>
          <w:tcPr>
            <w:tcW w:w="3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$ 116,362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$19,995</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(19,616)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17,750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6,649</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141,039</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27,343</w:t>
            </w: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(24,602)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$ 2,741</w:t>
            </w:r>
          </w:p>
        </w:tc>
        <w:tc>
          <w:tcPr>
            <w:tcW w:w="4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23,008</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8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w w:val="85"/>
              </w:rPr>
              <w:t>Year Ended December 31, 2011</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AUM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Outflows</w:t>
            </w:r>
          </w:p>
        </w:tc>
        <w:tc>
          <w:tcPr>
            <w:tcW w:w="3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$131,300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$17,513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(19,765)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$ 116,362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17,144</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(3,664)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(485)</w:t>
            </w:r>
          </w:p>
        </w:tc>
        <w:tc>
          <w:tcPr>
            <w:tcW w:w="660" w:type="dxa"/>
            <w:vAlign w:val="bottom"/>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155,337</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24,114</w:t>
            </w: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(25,162)</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(9,753)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(3,497)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February 21, 2014, AUM was $185.2 billion, a $1.7 billion decrease since December 31, 2013. The decrease in AUM was due to market and foreign exchange depreciation of $2.8 billion, partially offset by net inflows of $1.1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Average AUM for the years ended December 31, 2013, 2012 and 2011 for each significant asset class is set forth below. Average AUM generally represents the average of the monthly ending AUM balances for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bottom w:val="single" w:sz="8" w:color="auto"/>
            </w:tcBorders>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left="58"/>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$ 143,923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$ 128,357</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$ 126,710</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18,069</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4,569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4,960</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5,782</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$ 173,702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$ 155,549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$ 152,072</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903,956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$806,044</w:t>
            </w:r>
          </w:p>
        </w:tc>
        <w:tc>
          <w:tcPr>
            <w:tcW w:w="7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$818,038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56,832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46,555</w:t>
            </w:r>
          </w:p>
        </w:tc>
        <w:tc>
          <w:tcPr>
            <w:tcW w:w="7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1,039,130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896,260</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704,045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659,502</w:t>
            </w:r>
          </w:p>
        </w:tc>
        <w:tc>
          <w:tcPr>
            <w:tcW w:w="7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628,945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236,758</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268,456</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2013 and 2012, includes $235 and $12,789, respectively, associated with the implementation of the cost saving initiatives, and in 2013, $12,203 relating to private equity compensation. All years include indirect support costs (including compensation and benefits expense and other operating expenses related thereto).</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24%, 23% and 22% of our total AUM at December 31, 2013, 2012 and 2011, respectively, and no individual client constituted more than 10% of our Asset Management segment net revenue during any of the respective years.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100" w:type="dxa"/>
            <w:vAlign w:val="bottom"/>
            <w:gridSpan w:val="2"/>
          </w:tcPr>
          <w:p>
            <w:pPr>
              <w:ind w:left="4940"/>
              <w:spacing w:after="0"/>
              <w:rPr>
                <w:sz w:val="20"/>
                <w:szCs w:val="20"/>
                <w:color w:val="auto"/>
              </w:rPr>
            </w:pPr>
            <w:r>
              <w:rPr>
                <w:rFonts w:ascii="Arial" w:cs="Arial" w:eastAsia="Arial" w:hAnsi="Arial"/>
                <w:sz w:val="16"/>
                <w:szCs w:val="16"/>
                <w:color w:val="auto"/>
                <w:w w:val="78"/>
              </w:rPr>
              <w:t>28</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78"/>
              </w:rPr>
              <w:t>10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560" w:type="dxa"/>
            <w:vAlign w:val="bottom"/>
            <w:vMerge w:val="restart"/>
          </w:tcPr>
          <w:p>
            <w:pPr>
              <w:jc w:val="right"/>
              <w:ind w:right="1974"/>
              <w:spacing w:after="0"/>
              <w:rPr>
                <w:sz w:val="20"/>
                <w:szCs w:val="20"/>
                <w:color w:val="auto"/>
              </w:rPr>
            </w:pPr>
            <w:r>
              <w:rPr>
                <w:rFonts w:ascii="Arial" w:cs="Arial" w:eastAsia="Arial" w:hAnsi="Arial"/>
                <w:sz w:val="18"/>
                <w:szCs w:val="18"/>
                <w:color w:val="auto"/>
              </w:rPr>
              <w:t>56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Asset Management net revenue increased $143 million, or 16%, as compared to 2012. Management fees increased $98 million, or 12%, as compared to 2012, reflecting an $18 billion, or 12%, increase in average AUM. Incentive fees increased $35 million, or 79%, as compared to 2012, primarily due to fees related to traditional investment products and to a lesser extent, alternative investment products. Other revenue increased $10 million, or 22%, as compared to 2012, primarily due to higher transaction based commission revenue as a result of increased market activity.</w:t>
      </w:r>
    </w:p>
    <w:p>
      <w:pPr>
        <w:spacing w:after="0" w:line="11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Operating expenses increased $45 million, or 7%, as compared to 2012, primarily due to an increase in compensation and benefits expense related to the increase in operating revenue, an increase in mutual fund servicing fees related to the growth in AUM and increased amortization of intangible assets related to Edgewater.</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Asset Management operating income in the 2013 period was $335 million, an increase of $98 million (including the impact of the $0.2 million charge relating to the cost saving initiatives and the $12 million charge pertaining to private equity incentive compensation), or 42%, compared to operating income of $237 million (including the impact of the $13 million charge related to the cost saving initiatives) in 2012 and, as a percentage of net revenue, was 32.2%, compared to 26.4% in 2012. Excluding the impact of such charges, operating income in 2013 was $347 million, an increase of $97 million, or 39%, as compared to operating income of $250 million in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Asset Management net revenue decreased $1 million as compared to 2011. Management fees decreased $12 million, or 1%, as compared to 2011, primarily driven by a change in the product mix of average AUM, partially offset by a 2% increase in average AUM. Incentive fees increased $17 million, or 66%, as compared to 2011, primarily due to fees related to alternative investment products. Other revenue decreased $7 million, or 12%, as compared to 2011, primarily due to a decline in commissions from an unusually strong 2011.</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Operating expenses increased $31 million, or 5%, as compared to 2011, due to a fourth quarter 2012 charge aggregating $13 million related to the cost saving initiatives, as well as an increase in compensation and benefits expense (see the discussion regarding compensation and benefits expense described above under “Operating Results—Year Ended December 31, 2012 versus December 31, 2011”) and higher occupancy costs in 2012 associated with our amended lease and build-out costs of our Rockefeller Center facility. These increases were partially offset by lower professional fees and fees for fund administration.</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Asset Management operating income in 2012 was $237 million (including the impact of the $13 million charge related to the cost saving initiatives), a decrease of $31 million, or 12%, as compared to operating income of $268 million in 2011 and, as a percentage of net revenue, was 26.4% as compared to 29.9% in 2011. Excluding the impact of such charge in 2012, operating income in 2012 was $250 million, a decrease of $18 million, or 7%, as compared to operating income of $268 million in 2011.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(79,373)</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(81,515)</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(87,981)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(76,195)</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(77,801)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(81,662)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41,840</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(34,355)</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(32,902)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(59,996)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104,832</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71,441</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(139,187)</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(95,376)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(i) in 2013 and 2012, $16,689 and 12,255, respectively, associated with the implementation of the cost saving initiatives, (ii) in 2013, $54,087 relating to the refinancing of the 2015 Notes and the issuance of the 2020 Notes and (iii) in 2012, $24,659 relating to the staff reductions.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2%, compared to 2012,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$3 million, or 7%, compared to 2012, primarily due to decreased investment income.</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Operating expenses increased $33 million, or 47%, compared to 2012, and included (i) in 2013 and 2012, charges of $17 million and $12 million, respectively, associated with the cost saving initiatives, (ii) in 2013, a charge of $54 million pertaining to the refinancing of the 2015 Notes, and (iii) in 2012, a charge of $25 million related to staff reductions. Excluding the impact of such charges in both periods, operating expenses in 2013 remained substantially unchanged compared to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$4 million, or 5%, as compared to 2011.</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Other revenue increased $23 million, primarily due to increased net investment gains in 2012, including an increase in the gain in the value of investments held in connection with Lazard Fund Interests of $11 million, partially offset by an $18 million gain in 2011 on the repurchase of the Company’s subordinated promissory note.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Operating expenses in 2012 (including the $25 million charge in the first quarter of 2012 relating to staff reductions and a fourth quarter 2012 charge aggregating $12 million related to the cost saving initiatives) increased $36 million. Excluding the impact of such charges, as well as aggregate charges of $11 million in 2011 relating to the Company’s leased facilities in the U.K. and the write-off of the capitalized costs relating to the Company’s option to acquire the fund management activities of LAI, operating expenses in 2012 increased $11 million, or 42%, as compared to 2011, primarily relating to (i) occupancy costs, as a result of our amended lease and associated build-out costs of our Rockefeller Center facility, (ii) compensation and benefits expense, including an increase in expense associated with Lazard Fund Interests and (iii) technology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managing directors and employees and purchases of Class A common stock. Cash flows also were affected in 2013 by the refinancing of the 2015 Notes and the issuance of the 2020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2013 and 2012, the Company made cash payments, including severance payments, associated with the cost saving initiatives (see “Cost Saving Initiatives” above and Note 16 of Notes to Consolidated Financial Statements). The Company also paid a special dividend in each of 2013 and 2012 and, in 2012, the Company accelerated the payment of its fourth quarter dividend.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420.1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526.7</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(487.1)</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8"/>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850.2</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841.5</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9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794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7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w w:val="97"/>
              </w:rPr>
              <w:t>Amortization of deferred expenses, share based incentive compensation and interest rate hedge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420.1</w:t>
            </w: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8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Class A common stock dividends and distributions to noncontrolling interest holders, and activity relating to borrowings, including, in 2013, the refinancing of the 2015 Notes and issuance of the 2020 Notes.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and 2012, liquidity also was impacted by cash payments, including severance payments, associated with the cost saving initiatives (see “Cost Saving Initiatives” above and Note 16 of Notes to Consolidated Financial Statements).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December 31, 2013, Lazard had approximately $841 million of cash, with such amount including approximately $422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2013, Lazard had approximately $258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$48 million (at December 31,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sets forth our corporate indebtedness as of December 31, 2013 and 2012. The agreements with respect to this indebtedness are discussed in more detail in our consolidated financial statements and related notes included elsewhere in this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1"/>
              </w:rPr>
              <w:t>Maturity</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 in millions)</w:t>
            </w:r>
          </w:p>
        </w:tc>
        <w:tc>
          <w:tcPr>
            <w:tcW w:w="52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7.125%</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528.5</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(528.5)</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4.25%</w:t>
            </w: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Senior Debt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1,076.9</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by issuing the 2020 Notes. The transactions resulted in a total refinancing pre-tax loss of $54 million, including the premium for tender or redemption, the recognition of unamortized issuance costs, the recognition of the unamortized amount of the interest rate hedge related to the 2015 Notes and a loss on an interest rate hedge relating to the 2020 Notes.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2013, Lazard Group was in compliance with such ratios, with its Consolidated Leverage Ratio being 1.63 to 1.00 and its Consolidated Interest Coverage Ratio being 9.51 to 1.00. In any event, no amounts were outstanding under the Credit Facility as of December 31, 2013.</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and subordinated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At December 31, 2013, total stockholders’ equity was $630 million, as compared to $652 million and $867 million at December 31, 2012 and 2011, respectively, including $560 million, $570 million and $726 million attributable to Lazard Ltd on the respective dates. A summary of activity in stockholders’ equity during the years ended December 31, 2013 and 2012 is reflected in the table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r>
      <w:tr>
        <w:trPr>
          <w:trHeight w:val="283"/>
        </w:trPr>
        <w:tc>
          <w:tcPr>
            <w:tcW w:w="81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Purchase of Class A common stock</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share-based incentive compensation (a)</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Class A common stock dividends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 net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Other—net</w:t>
            </w: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 The amount of such settlements was $132 million and $45 million for the years ended December 31, 2013 and December 31, 2012, respectively. For the year ended December 31, 2012 this amount includes a conversion of certain share-based awards of $27 million to a liability.</w:t>
      </w:r>
    </w:p>
    <w:p>
      <w:pPr>
        <w:spacing w:after="0" w:line="3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Board of Directors of the Company has issued a series of authorizations to repurchase Class A common stock and Lazard Group common membership interests,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Share/Common</w:t>
            </w: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176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Years Ending December 31:</w:t>
            </w:r>
          </w:p>
        </w:tc>
        <w:tc>
          <w:tcPr>
            <w:tcW w:w="654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2011</w:t>
            </w:r>
          </w:p>
        </w:tc>
        <w:tc>
          <w:tcPr>
            <w:tcW w:w="7700" w:type="dxa"/>
            <w:vAlign w:val="bottom"/>
            <w:gridSpan w:val="2"/>
          </w:tcPr>
          <w:p>
            <w:pPr>
              <w:jc w:val="right"/>
              <w:spacing w:after="0"/>
              <w:rPr>
                <w:sz w:val="20"/>
                <w:szCs w:val="20"/>
                <w:color w:val="auto"/>
              </w:rPr>
            </w:pPr>
            <w:r>
              <w:rPr>
                <w:rFonts w:ascii="Arial" w:cs="Arial" w:eastAsia="Arial" w:hAnsi="Arial"/>
                <w:sz w:val="18"/>
                <w:szCs w:val="18"/>
                <w:color w:val="auto"/>
              </w:rPr>
              <w:t>6,135,189</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12,817,196</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2013</w:t>
            </w:r>
          </w:p>
        </w:tc>
        <w:tc>
          <w:tcPr>
            <w:tcW w:w="7700" w:type="dxa"/>
            <w:vAlign w:val="bottom"/>
            <w:gridSpan w:val="2"/>
          </w:tcPr>
          <w:p>
            <w:pPr>
              <w:jc w:val="right"/>
              <w:spacing w:after="0"/>
              <w:rPr>
                <w:sz w:val="20"/>
                <w:szCs w:val="20"/>
                <w:color w:val="auto"/>
              </w:rPr>
            </w:pPr>
            <w:r>
              <w:rPr>
                <w:rFonts w:ascii="Arial" w:cs="Arial" w:eastAsia="Arial" w:hAnsi="Arial"/>
                <w:sz w:val="18"/>
                <w:szCs w:val="18"/>
                <w:color w:val="auto"/>
              </w:rPr>
              <w:t>3,488,101</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2013, a total of $122 million of share repurchase capacity remained available under the authorizations, of which $22 million and $100 million will expire on December 31, 2014 and 2015, respectively.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13 and 14 of Notes to Consolidated Financial Statements for additional information regarding Lazard’s stockholders’ equity and incentive plans,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20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 Regulation” included in this Form 10-K and Note 20 of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$ 1,328,567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$ 117,624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$ 609,631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542,500</w:t>
            </w: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Leases (exclusive of $155,547 of sublease income) (b)</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1,018,126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81,467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151,847</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134,762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650,050</w:t>
            </w: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27,135</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27,135</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$ 2,392,001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$ 170,635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$ 274,945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$ 753,871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1,192,550</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12 of Notes to Consolidated Financial Statements.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6 of Notes to Consolidated Financial Statements. These amounts are generally due on demand and therefore are presented in the “less than 1 year” category.</w:t>
      </w:r>
    </w:p>
    <w:p>
      <w:pPr>
        <w:ind w:left="460" w:right="8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12, 14, 15 and 17 of Notes to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Management’s discussion and analysis of our consolidated financial condition and results of operations are based upon our consolidated financial statements, which have been prepared in conformity with U.S. GAAP.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judgements regarding the carrying values of assets and liabilities, that are not readily apparent from other sources. Actual results may differ from these estimates.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2013, on a consolidated basis, we recorded gross deferred tax assets of approximately $1.40 billion.</w:t>
      </w:r>
    </w:p>
    <w:p>
      <w:pPr>
        <w:spacing w:after="0" w:line="10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three years ended December 31, 2013, certain of our tax-paying entities have individually experienced minimal profits on a cumulative basis during such years and losses in 2012, primarily due to permanent differences between net income and taxable income at such entities. Considering the recent operating results of such entities and the other factors listed below, we recorded a valuation allowance of approximately $1.23 billion on our deferred tax assets as of December 31, 2013.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sets forth our deferred tax assets and liabilities, and the valuation allowance recorded against our deferred tax assets, as of December 31,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440"/>
              <w:spacing w:after="0"/>
              <w:rPr>
                <w:sz w:val="20"/>
                <w:szCs w:val="20"/>
                <w:color w:val="auto"/>
              </w:rPr>
            </w:pPr>
            <w:r>
              <w:rPr>
                <w:rFonts w:ascii="Arial" w:cs="Arial" w:eastAsia="Arial" w:hAnsi="Arial"/>
                <w:sz w:val="18"/>
                <w:szCs w:val="18"/>
                <w:color w:val="auto"/>
                <w:w w:val="91"/>
              </w:rPr>
              <w:t>Basis adjustments (primarily as a result of the separation and recapitalization transactions that occurred during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660"/>
              <w:spacing w:after="0"/>
              <w:rPr>
                <w:sz w:val="20"/>
                <w:szCs w:val="20"/>
                <w:color w:val="auto"/>
              </w:rPr>
            </w:pPr>
            <w:r>
              <w:rPr>
                <w:rFonts w:ascii="Arial" w:cs="Arial" w:eastAsia="Arial" w:hAnsi="Arial"/>
                <w:sz w:val="18"/>
                <w:szCs w:val="18"/>
                <w:color w:val="auto"/>
              </w:rPr>
              <w:t>2005 and from secondary offerings)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739,059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820,229</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250,413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243,564</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348,433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308,233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58,273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30,626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1,404,347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1,406,056</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(1,225,305)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(1,238,765)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179,042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167,291</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33,715</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30,042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70,394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Taking into account all available information, we cannot determine that it is more likely than not that deferred tax assets will be realized. If the cumulative positive information outweighs the negative, including among other matters the achievement by the relevant tax-paying entities of sustainable levels of profitability, the evaluation of the realizability of the deferred tax assets could change and a significant amount of the valuation allowance could be released in whole or in part. This could occur at some point or points over the next few years, including as early as the end of 2014. If any significant valuation allowance reduction were to occur, we would likely have a negative effective tax rate in the period in which such reduction occurs. Included in our deferred tax assets as of December 31, 2013 are approximately $652 million related to certain basis step-ups and approximately $257 million of net operating losses generated by the amortization of such step-up assets, all of which are subject to the tax receivable agreement. Under the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 in those subsequent periods.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Investments consist primarily of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980" w:type="dxa"/>
            <w:vAlign w:val="bottom"/>
            <w:gridSpan w:val="3"/>
          </w:tcPr>
          <w:p>
            <w:pPr>
              <w:jc w:val="right"/>
              <w:ind w:right="452"/>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$ 118,535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$ 121,955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173,686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7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Short-term investments and other</w:t>
            </w:r>
          </w:p>
        </w:tc>
        <w:tc>
          <w:tcPr>
            <w:tcW w:w="27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 owned</w:t>
            </w:r>
          </w:p>
        </w:tc>
        <w:tc>
          <w:tcPr>
            <w:tcW w:w="27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116,049</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289,735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295,595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27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Equity method (c)</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9,488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Lazard Fund Interests (e)</w:t>
            </w:r>
          </w:p>
        </w:tc>
        <w:tc>
          <w:tcPr>
            <w:tcW w:w="2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169,095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$ 478,105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$ 414,673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40" w:type="dxa"/>
            <w:vAlign w:val="bottom"/>
            <w:vMerge w:val="restart"/>
          </w:tcPr>
          <w:p>
            <w:pPr>
              <w:jc w:val="right"/>
              <w:ind w:right="2072"/>
              <w:spacing w:after="0"/>
              <w:rPr>
                <w:sz w:val="20"/>
                <w:szCs w:val="20"/>
                <w:color w:val="auto"/>
              </w:rPr>
            </w:pPr>
            <w:r>
              <w:rPr>
                <w:rFonts w:ascii="Arial" w:cs="Arial" w:eastAsia="Arial" w:hAnsi="Arial"/>
                <w:sz w:val="18"/>
                <w:szCs w:val="18"/>
                <w:color w:val="auto"/>
              </w:rPr>
              <w:t>67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December 31, 2013 and 2012, seed investments in directly owned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Technology</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$18 million and $14 million as of December 31, 2013 and 2012,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4"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Composed of investments held in connection with Lazard Fund Interests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both December 31, 2013 and 2012, $116 million of our total investments at a fair value of $469 million and $408 million, respectively, or 25% and 28%, respectively, were classified as Level 3 investments. Substantially all of our Level 3 investments at both dates are priced based on a NAV. During the years ended December 31, 2013 and 2012, gains of approximately $13 million and $16 million, respectively, were recognized in “revenue-other” on the consolidated statement of operations pertaining to Level 3 investments.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measured at fair value, including the levels of fair value within which such measurements of fair value fall.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2013 and December 31, 2012, the Company held seed investments of approximately $174 million and $193 million, respectively. Seed investments held in entities in which the Company maintained a controlling interest were $58 million in nine entities as of December 31, 2013, as compared to $59 million in nine entities as of December 31, 2012.</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year ended December 31, 2013, the Company did not consolidate or deconsolidate any seed investment entities. As such, 100% of the recorded balance of seed investments as of December 31, 2013 represented the Company’s economic interest in the seed investments. See “—Consolidation of Variable Interest Entities” below for more information on the Company’s policy regarding the consolidation of seed investment entities.</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9 of Notes to Consolidated Financial Statements for additional information regarding goodwill.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6"/>
          <w:szCs w:val="16"/>
          <w:i w:val="1"/>
          <w:iCs w:val="1"/>
          <w:color w:val="auto"/>
        </w:rPr>
        <w:t>Investments</w:t>
      </w:r>
      <w:r>
        <w:rPr>
          <w:rFonts w:ascii="Arial" w:cs="Arial" w:eastAsia="Arial" w:hAnsi="Arial"/>
          <w:sz w:val="16"/>
          <w:szCs w:val="16"/>
          <w:color w:val="auto"/>
        </w:rPr>
        <w:t>” above for more information regarding our investments.</w:t>
      </w:r>
    </w:p>
    <w:p>
      <w:pPr>
        <w:spacing w:after="0" w:line="107"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Lazard Fund Interests and other similar deferred compensation arrangements. The Company measures its net economic exposure to market and other risks arising from investments that it owns, excluding (i) investments held in connection with Lazard Fund Interests and other similar deferred compensation arrangements and (ii) investments in funds owned entirely by the noncontrolling interest holders of certain acquired entities.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Equity Market Price Risk—At December 31, 2013, the Company’s exposure to equity market price risk in its investment portfolio, which primarily relates to investments in equity securities, equity funds and hedge funds, was approximately $134 million. The Company hedges market exposure arising from a significant portion of our equity investment portfolios by entering into total return swaps. The Company estimates that a hypothetical 10% adverse change in market prices would result in a net decrease of approximately $1.7 million in the carrying value of such investments, including the effect of the hedging transactions.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Rate/Credit Spread Risk—At December 31, 2013, the Company’s exposure to interest rate and credit spread risk in its investment portfolio related to investments in debt securities or funds which invest primarily in debt securities was $48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in the carrying value of such investments, including the effect of the hedging transactions.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Foreign Exchange Rate Risk—At December 31, 2013, the Company’s exposure to foreign exchange rate risk in its investment portfolio, which primarily relates to investments in foreign currency denominated equity and debt securities, was $85 million. A significant portion of the Company’s foreign currency exposure is hedged through the aforementioned total return swaps, The Company estimates that a 10% adverse change in foreign exchange rates versus US dollars would result in a decrease of approximately $1.4 million in the carrying value of such investments, including the effect of the hedging transactions.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to certain legacy businesses. At December 31, 2013, the Company’s exposure to changes in fair value of such investments was approximately $104 million. The Company estimates that a hypothetical 10% adverse change in fair value would result in a decrease of approximately $10.4 million in the carrying value of such investments.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December 31, 2013, total receivables amounted to $513 million, net of an allowance for doubtful accounts of $29 million. As of that date, Financial Advisory and Asset Management fees, and customer and related party receivables comprised 88%, 10% and 2% of total receivables, respectively. At December 31, 2012, total receivables amounted to $478 million, net of an allowance for doubtful accounts of $23 million. As of that date, Financial Advisory and Asset Management fees, and customer and related party receivables comprised 84%, 11% and 5% of total receivables, respectively. At December 31, 2013 and 2012, the Company had receivables past due or deemed uncollectible of approximately $39 million and $26 million, respectively. See also “Critical Accounting Policies and Estimates—Revenue Recognition” above and Note 4 of Notes to Consolidated Financial Statements for additional information regarding receivables.</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2013 and 2012, customer receivables included $15 million and $14 million of LFB loans, respectively. Such loans are closely monitored for counterparty creditworthiness to help minimize exposure. In addition, as of December 31, 2013,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December 31, 2013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$1 million at both December 31, 2013 and 2012, respectively, and derivative liabilities, excluding the derivative liability arising from the Company’s obligation pertaining to Lazard Fund Interests and other similar deferred compensation arrangements, amounted to $2 million and $5 million at such respective dates.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Lazard Fund Interests awards. Derivative liabilities relating to Lazard Fund Interests amounted to $162 million and $98 million at December 31, 2013 and 2012, respectively.</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December 31, 2013, we do not believe that the impact of potential significant movements in either the currency or interest rate markets on LFB’s positions would materially affect the Company’s annual operating income.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short-term investments generally have floating interest rates. Based on account balances as of December 31, 2013, Lazard estimates that its annual operating income relating to cash and short-term investments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2013, the Company’s cash and cash equivalents totaled approximately $841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6"/>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7"/>
          </w:tcPr>
          <w:p>
            <w:pPr>
              <w:spacing w:after="0" w:line="136" w:lineRule="exact"/>
              <w:rPr>
                <w:rFonts w:ascii="Arial" w:cs="Arial" w:eastAsia="Arial" w:hAnsi="Arial"/>
                <w:sz w:val="15"/>
                <w:szCs w:val="15"/>
                <w:color w:val="0000EE"/>
              </w:rPr>
            </w:pPr>
            <w:hyperlink w:anchor="page76">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Reports of Independent Registered Public Accounting Firm</w:t>
              </w:r>
            </w:hyperlink>
          </w:p>
        </w:tc>
        <w:tc>
          <w:tcPr>
            <w:tcW w:w="556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75-76</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Financial Condition as of December 31, 2013 and 2012</w:t>
              </w:r>
            </w:hyperlink>
          </w:p>
        </w:tc>
        <w:tc>
          <w:tcPr>
            <w:tcW w:w="450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304"/>
        </w:trPr>
        <w:tc>
          <w:tcPr>
            <w:tcW w:w="4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Statements of Operations for the years ended December 31, 2013, 2012 and 2011</w:t>
              </w:r>
            </w:hyperlink>
          </w:p>
        </w:tc>
        <w:tc>
          <w:tcPr>
            <w:tcW w:w="3700" w:type="dxa"/>
            <w:vAlign w:val="bottom"/>
            <w:gridSpan w:val="5"/>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Income for the years ended December 31, 2013,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83">
              <w:r>
                <w:rPr>
                  <w:rFonts w:ascii="Arial" w:cs="Arial" w:eastAsia="Arial" w:hAnsi="Arial"/>
                  <w:sz w:val="18"/>
                  <w:szCs w:val="18"/>
                  <w:color w:val="0000EE"/>
                  <w:w w:val="86"/>
                </w:rPr>
                <w:t>Consolidated Statements of Cash Flows for the years ended December 31, 2013, 2012 and 2011</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Changes in Stockholders’ Equity for the years ended December 31, 2013,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304"/>
        </w:trPr>
        <w:tc>
          <w:tcPr>
            <w:tcW w:w="4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Notes to Consolidated Financial Statements</w:t>
              </w:r>
            </w:hyperlink>
          </w:p>
        </w:tc>
        <w:tc>
          <w:tcPr>
            <w:tcW w:w="5180" w:type="dxa"/>
            <w:vAlign w:val="bottom"/>
            <w:tcBorders>
              <w:top w:val="single" w:sz="8" w:color="0000EE"/>
            </w:tcBorders>
            <w:gridSpan w:val="11"/>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64"/>
        </w:trPr>
        <w:tc>
          <w:tcPr>
            <w:tcW w:w="10820" w:type="dxa"/>
            <w:vAlign w:val="bottom"/>
            <w:gridSpan w:val="18"/>
          </w:tcPr>
          <w:p>
            <w:pPr>
              <w:spacing w:after="0"/>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39">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302"/>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Financial Condition as of December 31, 2013 and 2012</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Condensed Statements of Operations for the years ended December 31, 2013, 2012 and 2011</w:t>
              </w:r>
            </w:hyperlink>
          </w:p>
        </w:tc>
        <w:tc>
          <w:tcPr>
            <w:tcW w:w="3840" w:type="dxa"/>
            <w:vAlign w:val="bottom"/>
            <w:gridSpan w:val="7"/>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Condensed Statements of Comprehensive Income for the years ended December 31, 2013, 2012 and 2011</w:t>
              </w:r>
            </w:hyperlink>
          </w:p>
        </w:tc>
        <w:tc>
          <w:tcPr>
            <w:tcW w:w="2940" w:type="dxa"/>
            <w:vAlign w:val="bottom"/>
            <w:gridSpan w:val="3"/>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Condensed Statements of Cash Flows for the years ended December 31, 2013, 2012 and 2011</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6580" w:type="dxa"/>
            <w:vAlign w:val="bottom"/>
            <w:tcBorders>
              <w:top w:val="single" w:sz="8" w:color="0000EE"/>
            </w:tcBorders>
            <w:gridSpan w:val="11"/>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Financial Statements</w:t>
              </w:r>
            </w:hyperlink>
          </w:p>
        </w:tc>
        <w:tc>
          <w:tcPr>
            <w:tcW w:w="3800" w:type="dxa"/>
            <w:vAlign w:val="bottom"/>
            <w:gridSpan w:val="6"/>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2013.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(1992). </w:t>
      </w:r>
      <w:r>
        <w:rPr>
          <w:rFonts w:ascii="Arial" w:cs="Arial" w:eastAsia="Arial" w:hAnsi="Arial"/>
          <w:sz w:val="18"/>
          <w:szCs w:val="18"/>
          <w:color w:val="auto"/>
        </w:rPr>
        <w:t>Based on management’s assessment and those criteria, management believes that the Company maintained effective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of December 31, 2013.</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2013, as stated in their report which appears under “Report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Ltd and subsidiaries (the “Company”) as of December 31,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2013 of the Company, and our report dated February 27, 2014,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jc w:val="both"/>
        <w:ind w:right="28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2013 and 2012, and the related consolidated statements of operations, comprehensive income, cash flows, and changes in stockholders’ equity for each of the three years in the period ended December 31, 2013.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Lazard Ltd and subsidiaries at December 31, 2013 and 2012, and the results of their operations and their cash flows for each of the three years in the period ended December 31, 2013,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 and our report dated February 27, 2014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841,482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62,046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0"/>
              </w:rPr>
              <w:t>Receivables (net of allowance for doubtful accounts of $28,777 and $23,017 at December 31, 2013 and 2012, respectively):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452,535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512,675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478,105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414,673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$253,930 and $225,861 at December 31, 2013 and 2012,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248,796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$45,379 and $35,281 at December 31, 2013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respectively)</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363,877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3,011,137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2,986,893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275,434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2,381,139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2,335,353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December 31, 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2012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4"/>
              </w:rPr>
              <w:t>129,056,081 and 128,216,423 shares issued at December 31, 2013 and 2012, respectively, including shares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held 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December 31, 2013 and 2012)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737,899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(133,004)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1"/>
              </w:rPr>
              <w:t>Class A common stock held by subsidiaries, at cost (8,317,065 and 12,802,938 shares at December 31, 2013 and 2012,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(249,213)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3,011,137</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580" w:type="dxa"/>
            <w:vAlign w:val="bottom"/>
            <w:tcBorders>
              <w:bottom w:val="single" w:sz="8" w:color="auto"/>
            </w:tcBorders>
            <w:gridSpan w:val="5"/>
          </w:tcPr>
          <w:p>
            <w:pPr>
              <w:jc w:val="center"/>
              <w:ind w:left="874"/>
              <w:spacing w:after="0"/>
              <w:rPr>
                <w:sz w:val="20"/>
                <w:szCs w:val="20"/>
                <w:color w:val="auto"/>
              </w:rPr>
            </w:pPr>
            <w:r>
              <w:rPr>
                <w:rFonts w:ascii="Arial" w:cs="Arial" w:eastAsia="Arial" w:hAnsi="Arial"/>
                <w:sz w:val="14"/>
                <w:szCs w:val="14"/>
                <w:b w:val="1"/>
                <w:bCs w:val="1"/>
                <w:color w:val="auto"/>
                <w:w w:val="87"/>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124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760" w:type="dxa"/>
            <w:vAlign w:val="bottom"/>
            <w:gridSpan w:val="2"/>
            <w:vMerge w:val="continue"/>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$ 972,533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$ 1,039,188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$ 970,167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020" w:type="dxa"/>
            <w:vAlign w:val="bottom"/>
          </w:tcPr>
          <w:p>
            <w:pPr>
              <w:jc w:val="right"/>
              <w:spacing w:after="0"/>
              <w:rPr>
                <w:sz w:val="20"/>
                <w:szCs w:val="20"/>
                <w:color w:val="auto"/>
              </w:rPr>
            </w:pPr>
            <w:r>
              <w:rPr>
                <w:rFonts w:ascii="Arial" w:cs="Arial" w:eastAsia="Arial" w:hAnsi="Arial"/>
                <w:sz w:val="18"/>
                <w:szCs w:val="18"/>
                <w:color w:val="auto"/>
              </w:rPr>
              <w:t>994,707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858,834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92,788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89,983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79,381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81,565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1,985,352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1,912,448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1,278,534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1,351,129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122,926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113,163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95,573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89,289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86,892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43,958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59,298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51,390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81,507</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1,768,545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1,788,563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216,807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123,885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165,114</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92,785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$ 160,212</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$ 84,309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$ 174,917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7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120,854,267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116,953,989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118,032,020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133,737,079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129,325,622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137,629,525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8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6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$ 165,114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$ 92,785</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(15,536)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(9,474)</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w w:val="93"/>
              </w:rPr>
              <w:t>Actuarial loss (net of tax benefit of $6,388, $12,950 and $12,526 for the years ended December 31,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2013, 2012 and 2011, respectively)</w:t>
            </w:r>
          </w:p>
        </w:tc>
        <w:tc>
          <w:tcPr>
            <w:tcW w:w="1100" w:type="dxa"/>
            <w:vAlign w:val="bottom"/>
            <w:gridSpan w:val="3"/>
          </w:tcPr>
          <w:p>
            <w:pPr>
              <w:jc w:val="right"/>
              <w:ind w:right="112"/>
              <w:spacing w:after="0"/>
              <w:rPr>
                <w:sz w:val="20"/>
                <w:szCs w:val="20"/>
                <w:color w:val="auto"/>
              </w:rPr>
            </w:pPr>
            <w:r>
              <w:rPr>
                <w:rFonts w:ascii="Arial" w:cs="Arial" w:eastAsia="Arial" w:hAnsi="Arial"/>
                <w:sz w:val="18"/>
                <w:szCs w:val="18"/>
                <w:color w:val="auto"/>
              </w:rPr>
              <w:t>(13,500)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(40,298)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Adjustments for items reclassified to earnings (net of tax expense of $1,929, $1,145 and $1,031 for the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2013, 2012 and 2011, respectively)</w:t>
            </w:r>
          </w:p>
        </w:tc>
        <w:tc>
          <w:tcPr>
            <w:tcW w:w="1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4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80" w:type="dxa"/>
            <w:vAlign w:val="bottom"/>
          </w:tcPr>
          <w:p>
            <w:pPr>
              <w:spacing w:after="0"/>
              <w:rPr>
                <w:sz w:val="20"/>
                <w:szCs w:val="20"/>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(21,929)</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(19,158)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(44,462)</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73,627</w:t>
            </w: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138,416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$ 65,312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132,992</w:t>
            </w: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165,114</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92,785</w:t>
            </w:r>
          </w:p>
        </w:tc>
        <w:tc>
          <w:tcPr>
            <w:tcW w:w="1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30,855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310,036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360,751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8,359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(4,457)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Loss (gain) on extinguishment of debt</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50,757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58,570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31,157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(30,096)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(60,731)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(62,683)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(166,535)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526,697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481,908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397,802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(60,964)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(89,301)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investing activities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(54,553)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(84,933)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3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 from noncontrolling interests</w:t>
            </w: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493,398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and subordinated debt</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(578,464)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(131,829)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(27,767)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(132,477)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(354,464)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(204,835)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(121,620)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(135,108)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(132,533)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(44,883)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financing activities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(487,072)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(563,220)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(552,359)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12,644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AND CASH EQUIVALENTS</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(153,601)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(205,904)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850,190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1,003,791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6"/>
              </w:rPr>
              <w:t>1,209,695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EQUIVALENTS—December 31</w:t>
            </w:r>
          </w:p>
        </w:tc>
        <w:tc>
          <w:tcPr>
            <w:tcW w:w="1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841,482</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850,190</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1,003,791</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investing non-cash transaction:</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Class A common stock issued/issuable in connection with business acquisitions</w:t>
            </w:r>
          </w:p>
        </w:tc>
        <w:tc>
          <w:tcPr>
            <w:tcW w:w="1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paid during the year for:</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1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78,671</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78,441</w:t>
            </w:r>
          </w:p>
        </w:tc>
        <w:tc>
          <w:tcPr>
            <w:tcW w:w="1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 net of refunds</w:t>
            </w:r>
          </w:p>
        </w:tc>
        <w:tc>
          <w:tcPr>
            <w:tcW w:w="14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22,623</w:t>
            </w:r>
          </w:p>
        </w:tc>
        <w:tc>
          <w:tcPr>
            <w:tcW w:w="2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23,267</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35,038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6"/>
              </w:rPr>
              <w:t>Held By Subsidiaries</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174,917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w w:val="95"/>
              </w:rPr>
              <w:t>Other comprehensive loss - net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(41,925)</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(41,925)</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(2,537)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(44,462)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Business acquisitions and related equity</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 issuable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w w:val="92"/>
              </w:rPr>
              <w:t>(including related amortization)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41,800</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41,800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3,056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44,856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Conversion of Series A preferred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(14,100)</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2,434,561</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w w:val="94"/>
              </w:rPr>
              <w:t>Delivery of Class A common 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(126,812)</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(3,515,362)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123,411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(3,401)</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Amortization of share-based incentive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260,816</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260,816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14,326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275,142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12,092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(12,167)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(70,572)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(70,572)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w w:val="99"/>
              </w:rPr>
              <w:t>Purchase of Class A common 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6,135,189</w:t>
            </w:r>
          </w:p>
        </w:tc>
        <w:tc>
          <w:tcPr>
            <w:tcW w:w="8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(204,835)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(204,835)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(204,835)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Delivery of Class A common stock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incentive compensation and related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benefits of $972</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(297,779)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(5,975,318)</w:t>
            </w:r>
          </w:p>
        </w:tc>
        <w:tc>
          <w:tcPr>
            <w:tcW w:w="7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204,992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(92,787)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Repurchase of common membership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(753)</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876,814</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Adjustment related to the change in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w w:val="97"/>
              </w:rPr>
              <w:t>Lazard Ltd’s ownership in Lazard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4"/>
                <w:szCs w:val="14"/>
                <w:color w:val="auto"/>
              </w:rPr>
              <w:t>Group</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(1,580)</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(21,317)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(21,317)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Adjustments related to noncontrolling</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12,421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(281)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12,140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(12,140)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2011</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7,921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123,009,312</w:t>
            </w: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1,230</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659,013</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$ 258,646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(88,364)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3,492,017</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(104,382)</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726,143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140,713</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866,856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740" w:type="dxa"/>
            <w:vAlign w:val="bottom"/>
            <w:gridSpan w:val="4"/>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3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64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84,309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84,309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92,785</w:t>
            </w:r>
          </w:p>
        </w:tc>
        <w:tc>
          <w:tcPr>
            <w:tcW w:w="0" w:type="dxa"/>
            <w:vAlign w:val="bottom"/>
          </w:tcPr>
          <w:p>
            <w:pPr>
              <w:spacing w:after="0"/>
              <w:rPr>
                <w:sz w:val="1"/>
                <w:szCs w:val="1"/>
                <w:color w:val="auto"/>
              </w:rPr>
            </w:pPr>
          </w:p>
        </w:tc>
      </w:tr>
      <w:tr>
        <w:trPr>
          <w:trHeight w:val="138"/>
        </w:trPr>
        <w:tc>
          <w:tcPr>
            <w:tcW w:w="2120" w:type="dxa"/>
            <w:vAlign w:val="bottom"/>
          </w:tcPr>
          <w:p>
            <w:pPr>
              <w:ind w:left="220"/>
              <w:spacing w:after="0" w:line="138" w:lineRule="exact"/>
              <w:rPr>
                <w:sz w:val="20"/>
                <w:szCs w:val="20"/>
                <w:color w:val="auto"/>
              </w:rPr>
            </w:pPr>
            <w:r>
              <w:rPr>
                <w:rFonts w:ascii="Arial" w:cs="Arial" w:eastAsia="Arial" w:hAnsi="Arial"/>
                <w:sz w:val="14"/>
                <w:szCs w:val="14"/>
                <w:color w:val="auto"/>
                <w:w w:val="89"/>
              </w:rPr>
              <w:t>Other comprehensive loss -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(18,997)</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(18,997)</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(19,158)</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120" w:type="dxa"/>
            <w:vAlign w:val="bottom"/>
          </w:tcPr>
          <w:p>
            <w:pPr>
              <w:ind w:left="220"/>
              <w:spacing w:after="0" w:line="138" w:lineRule="exact"/>
              <w:rPr>
                <w:sz w:val="20"/>
                <w:szCs w:val="20"/>
                <w:color w:val="auto"/>
              </w:rPr>
            </w:pPr>
            <w:r>
              <w:rPr>
                <w:rFonts w:ascii="Arial" w:cs="Arial" w:eastAsia="Arial" w:hAnsi="Arial"/>
                <w:sz w:val="14"/>
                <w:szCs w:val="14"/>
                <w:color w:val="auto"/>
                <w:w w:val="95"/>
              </w:rPr>
              <w:t>Class A common stock issuable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Pr>
          <w:p>
            <w:pPr>
              <w:ind w:left="440"/>
              <w:spacing w:after="0"/>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4,030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4,030</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(1,633)</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(57,287)</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1,633</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w w:val="89"/>
              </w:rPr>
              <w:t>Amortization of share-based incentive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306,642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306,642</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3,706</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310,348</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24,990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(135,108)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(135,108)</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(135,108)</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12,817,196</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(354,464)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(354,464)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(354,464)</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w w:val="92"/>
              </w:rPr>
              <w:t>Delivery of Class A common stock in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related tax expense of $972</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(153,274)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2"/>
              </w:rPr>
              <w:t>(3,448,988)</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107,431</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(45,843)</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(45,855)</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Modification of equity incentive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award</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(26,601)</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(26,601)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(26,922)</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w w:val="98"/>
              </w:rPr>
              <w:t>common membership interests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5,207,112</w:t>
            </w: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(26,026)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(26,026)</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(14,783)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Adjustments related to noncontrolling</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32,935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(3,180)</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29,755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(29,755)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2012</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2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128,216,424</w:t>
            </w: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1,282</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846,050</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3"/>
              </w:rPr>
              <w:t>$ 182,647</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(110,541)</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8"/>
              </w:rPr>
              <w:t>12,802,938</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(349,782)</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569,656</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81,884</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651,540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5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840" w:type="dxa"/>
            <w:vAlign w:val="bottom"/>
            <w:gridSpan w:val="3"/>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Series A</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54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3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16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8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40" w:type="dxa"/>
            <w:vAlign w:val="bottom"/>
            <w:gridSpan w:val="4"/>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128,216,424</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$ 182,647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12,802,938</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(349,782)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160,212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160,212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165,114</w:t>
            </w:r>
          </w:p>
        </w:tc>
        <w:tc>
          <w:tcPr>
            <w:tcW w:w="0" w:type="dxa"/>
            <w:vAlign w:val="bottom"/>
          </w:tcPr>
          <w:p>
            <w:pPr>
              <w:spacing w:after="0"/>
              <w:rPr>
                <w:sz w:val="1"/>
                <w:szCs w:val="1"/>
                <w:color w:val="auto"/>
              </w:rPr>
            </w:pPr>
          </w:p>
        </w:tc>
      </w:tr>
      <w:tr>
        <w:trPr>
          <w:trHeight w:val="138"/>
        </w:trPr>
        <w:tc>
          <w:tcPr>
            <w:tcW w:w="2160" w:type="dxa"/>
            <w:vAlign w:val="bottom"/>
          </w:tcPr>
          <w:p>
            <w:pPr>
              <w:ind w:left="220"/>
              <w:spacing w:after="0" w:line="138" w:lineRule="exact"/>
              <w:rPr>
                <w:sz w:val="20"/>
                <w:szCs w:val="20"/>
                <w:color w:val="auto"/>
              </w:rPr>
            </w:pPr>
            <w:r>
              <w:rPr>
                <w:rFonts w:ascii="Arial" w:cs="Arial" w:eastAsia="Arial" w:hAnsi="Arial"/>
                <w:sz w:val="14"/>
                <w:szCs w:val="14"/>
                <w:color w:val="auto"/>
                <w:w w:val="91"/>
              </w:rPr>
              <w:t>Other comprehensive loss - net of</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(21,796)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(21,796)</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(133)</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(21,929)</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60" w:type="dxa"/>
            <w:vAlign w:val="bottom"/>
          </w:tcPr>
          <w:p>
            <w:pPr>
              <w:ind w:left="220"/>
              <w:spacing w:after="0" w:line="138" w:lineRule="exact"/>
              <w:rPr>
                <w:sz w:val="20"/>
                <w:szCs w:val="20"/>
                <w:color w:val="auto"/>
              </w:rPr>
            </w:pPr>
            <w:r>
              <w:rPr>
                <w:rFonts w:ascii="Arial" w:cs="Arial" w:eastAsia="Arial" w:hAnsi="Arial"/>
                <w:sz w:val="14"/>
                <w:szCs w:val="14"/>
                <w:color w:val="auto"/>
                <w:w w:val="97"/>
              </w:rPr>
              <w:t>Class A common stock issuable</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440"/>
              <w:spacing w:after="0" w:line="159" w:lineRule="exact"/>
              <w:rPr>
                <w:sz w:val="20"/>
                <w:szCs w:val="20"/>
                <w:color w:val="auto"/>
              </w:rPr>
            </w:pPr>
            <w:r>
              <w:rPr>
                <w:rFonts w:ascii="Arial" w:cs="Arial" w:eastAsia="Arial" w:hAnsi="Arial"/>
                <w:sz w:val="14"/>
                <w:szCs w:val="14"/>
                <w:color w:val="auto"/>
              </w:rPr>
              <w:t>amortization)</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786</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786</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(including dividend-</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equivalents)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(6,893)</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(228,275)</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7,072</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1"/>
              </w:rPr>
              <w:t>Amortization of share-based incentive</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20"/>
              <w:spacing w:after="0" w:line="159" w:lineRule="exact"/>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234,608</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234,608</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1,290</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235,898</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16,927</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(17,215)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(121,620)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(121,620)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(121,620)</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Purchase of Class A common stock</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3,488,101</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(132,477)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(132,477)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(132,477)</w:t>
            </w:r>
          </w:p>
        </w:tc>
        <w:tc>
          <w:tcPr>
            <w:tcW w:w="0" w:type="dxa"/>
            <w:vAlign w:val="bottom"/>
          </w:tcPr>
          <w:p>
            <w:pPr>
              <w:spacing w:after="0"/>
              <w:rPr>
                <w:sz w:val="1"/>
                <w:szCs w:val="1"/>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w w:val="94"/>
              </w:rPr>
              <w:t>Delivery of Class A common stock in</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shared-based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20"/>
              <w:spacing w:after="0" w:line="159" w:lineRule="exact"/>
              <w:rPr>
                <w:sz w:val="20"/>
                <w:szCs w:val="20"/>
                <w:color w:val="auto"/>
              </w:rPr>
            </w:pPr>
            <w:r>
              <w:rPr>
                <w:rFonts w:ascii="Arial" w:cs="Arial" w:eastAsia="Arial" w:hAnsi="Arial"/>
                <w:sz w:val="14"/>
                <w:szCs w:val="14"/>
                <w:color w:val="auto"/>
              </w:rPr>
              <w:t>related tax benefit of $40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(357,858)</w:t>
            </w: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(609)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(7,745,699)</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225,974</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(132,493)</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(132,493)</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common membership interests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839,658</w:t>
            </w:r>
          </w:p>
        </w:tc>
        <w:tc>
          <w:tcPr>
            <w:tcW w:w="6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6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(13,535)</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(13,535)</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Adjustments related to noncontrolling</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4,288</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(667)</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(4,621)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2013</w:t>
            </w: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129,056,082</w:t>
            </w:r>
          </w:p>
        </w:tc>
        <w:tc>
          <w:tcPr>
            <w:tcW w:w="6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1,291</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737,899</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83"/>
              </w:rPr>
              <w:t>$ 203,236</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(133,004)</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8,317,065</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9"/>
              </w:rPr>
              <w:t>$ (249,213)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560,209</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69,789</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629,998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340" w:right="280" w:hanging="332"/>
        <w:spacing w:after="0" w:line="186"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Includes 123,009,311, 128,216,423 and 129,056,081 shares of the Company’s Class A common stock issued at December 31, 2011, 2012 and 2013,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99.5% and 98.8% of all outstanding Lazard Group common membership interests as of December 31, 2013 and 2012,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0.5% and 1.2% of the outstanding Lazard Group common membership interests as of December 31, 2013 and 2012, respectively. Additionally, LAZ-MD Holdings was the sole owner of the one issued and outstanding share of Lazard Ltd’s Class B common stock (the “Class B common stock”) which provided LAZ-MD Holdings with approximately 0.5% and 1.2% of the voting power but no economic rights in the Company as of December 31, 2013 and 2012,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26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$(2,887), $(761) and $1,406, respectively, for the years ended December 31, 2013, 2012 and 2011, and are included in “revenue-other” on the respective consolidated statements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90" w:lineRule="exact"/>
        <w:rPr>
          <w:sz w:val="20"/>
          <w:szCs w:val="20"/>
          <w:color w:val="auto"/>
        </w:rPr>
      </w:pPr>
    </w:p>
    <w:p>
      <w:pPr>
        <w:ind w:left="900" w:right="6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65"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i w:val="1"/>
          <w:iCs w:val="1"/>
          <w:color w:val="auto"/>
        </w:rPr>
        <w:t>Investments</w:t>
      </w:r>
      <w:r>
        <w:rPr>
          <w:rFonts w:ascii="Arial" w:cs="Arial" w:eastAsia="Arial" w:hAnsi="Arial"/>
          <w:sz w:val="16"/>
          <w:szCs w:val="16"/>
          <w:b w:val="1"/>
          <w:bCs w:val="1"/>
          <w:color w:val="auto"/>
        </w:rPr>
        <w:t>—</w:t>
      </w:r>
      <w:r>
        <w:rPr>
          <w:rFonts w:ascii="Arial" w:cs="Arial" w:eastAsia="Arial" w:hAnsi="Arial"/>
          <w:sz w:val="16"/>
          <w:szCs w:val="16"/>
          <w:color w:val="auto"/>
        </w:rPr>
        <w:t>Investments in debt and marketable equity securities held either directly, or indirectly through asset management funds, at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0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$34,750, $30,855 and $24,580 for the years ended December 31, 2013, 2012 and 2011,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b w:val="1"/>
          <w:bCs w:val="1"/>
          <w:i w:val="1"/>
          <w:iCs w:val="1"/>
          <w:color w:val="auto"/>
        </w:rPr>
        <w:t>Goodwill and Other Intangible Assets—</w:t>
      </w:r>
      <w:r>
        <w:rPr>
          <w:rFonts w:ascii="Arial" w:cs="Arial" w:eastAsia="Arial" w:hAnsi="Arial"/>
          <w:sz w:val="18"/>
          <w:szCs w:val="18"/>
          <w:color w:val="auto"/>
        </w:rPr>
        <w:t>As goodwill has an indefinite life, it is required to be tested for impairment annually or more frequently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impairment may have occurred. For years prior to 2011, the Company assessed whether any goodwill recorded by its applicable reporting units was impaired by comparing the fair value of each reporting unit with its respective carrying amount. In this process, Lazard used its best judgment and information available to it at the time to perform this review and utilized various valuation techniques in order to determine the applicable fair values. Commencing in 2011, as permitted under an amendment issued by the Financial Accounting Standards Board (the “FASB”), the Company elected to perform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the fourth quarter of 2013, the Company changed the date of its annual goodwill impairment testing from December 31 to November 1. This change is preferable because it provides the Company with additional time to complete the annual goodwill impairment test in advance of its year-end reporting. The Company will continue to perform interim impairment testing should circumstances or events require. This change does not result in a delay, acceleration, or avoidance of an impairment charge. This change will be applied prospectively because it is impracticable to apply it retrospectively due to the difficulty in making estimates and assumptions without using hindsight. The Company completed its annual goodwill review as of November 1, 2013 and determined that no impairment existed.</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Consolidated Financial Statements with respect to goodwill and other intangible assets.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consolidated statements of operations.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(“Lazard Fund Interests”)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and other similar deferred compensation arrangements, which are reported in “revenue-other” in the consolidated statements of operations. For information regarding Lazard Fund Interests and other similar deferred compensation arrangements, see Notes 5, 7 and 14 of Notes to Consolidated Financial Statements.</w:t>
      </w:r>
    </w:p>
    <w:p>
      <w:pPr>
        <w:spacing w:after="0" w:line="112"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Deposits and Other Customer Payables</w:t>
      </w:r>
      <w:r>
        <w:rPr>
          <w:rFonts w:ascii="Arial" w:cs="Arial" w:eastAsia="Arial" w:hAnsi="Arial"/>
          <w:sz w:val="18"/>
          <w:szCs w:val="18"/>
          <w:b w:val="1"/>
          <w:bCs w:val="1"/>
          <w:color w:val="auto"/>
        </w:rPr>
        <w:t>—</w:t>
      </w:r>
      <w:r>
        <w:rPr>
          <w:rFonts w:ascii="Arial" w:cs="Arial" w:eastAsia="Arial" w:hAnsi="Arial"/>
          <w:sz w:val="18"/>
          <w:szCs w:val="18"/>
          <w:color w:val="auto"/>
        </w:rPr>
        <w:t>Principally relates to LFB customer-related demand and time deposits, both interest-bearing and non-interest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short-term inter-bank borrowings and amounts due on short-term collateralized borrowing activities. Collateralized borrowing activities amounted to $13,854 at December 31, 2012 and were fully collateralized with pledged assets of equal or greater value (no such collateralized borrowing activities existed at December 31, 2013).</w:t>
      </w:r>
    </w:p>
    <w:p>
      <w:pPr>
        <w:spacing w:after="0" w:line="14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deposits with banks,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Other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2013, 2012 and 2011 are $18,327, $24,762 and $18,942, respectively.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Revenue is 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1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b w:val="1"/>
          <w:bCs w:val="1"/>
          <w:i w:val="1"/>
          <w:iCs w:val="1"/>
          <w:color w:val="auto"/>
        </w:rPr>
        <w:t>Equity-Based Incentive Compensation Awards—</w:t>
      </w:r>
      <w:r>
        <w:rPr>
          <w:rFonts w:ascii="Arial" w:cs="Arial" w:eastAsia="Arial" w:hAnsi="Arial"/>
          <w:sz w:val="18"/>
          <w:szCs w:val="18"/>
          <w:color w:val="auto"/>
        </w:rPr>
        <w:t>Equity-based incentive compensation awards that do not require future service are expensed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Equity-based compensation awards that require future service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amortized over the applicable vesting period, or requisite service period, based on the fair value of the Company’s Class A common stock on the date of grant.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Equity-based incentive compensation is recognized in “compensation and benefits” expense.</w:t>
      </w:r>
    </w:p>
    <w:p>
      <w:pPr>
        <w:spacing w:after="0" w:line="159"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i w:val="1"/>
          <w:iCs w:val="1"/>
          <w:color w:val="auto"/>
        </w:rPr>
        <w:t>Costs-Saving Initiatives and Staff Reductions</w:t>
      </w:r>
      <w:r>
        <w:rPr>
          <w:rFonts w:ascii="Arial" w:cs="Arial" w:eastAsia="Arial" w:hAnsi="Arial"/>
          <w:sz w:val="16"/>
          <w:szCs w:val="16"/>
          <w:b w:val="1"/>
          <w:bCs w:val="1"/>
          <w:color w:val="auto"/>
        </w:rPr>
        <w:t>—</w:t>
      </w:r>
      <w:r>
        <w:rPr>
          <w:rFonts w:ascii="Arial" w:cs="Arial" w:eastAsia="Arial" w:hAnsi="Arial"/>
          <w:sz w:val="16"/>
          <w:szCs w:val="16"/>
          <w:color w:val="auto"/>
        </w:rPr>
        <w:t>Charges associated with management-approved cost-saving plans or staff reductions can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0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Lazard Ltd, through certain of its subsidiaries, is subject to U.S. corporate federal income tax on its allocable share of the results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of Lazard Group, and certain non-U.S. subsidiaries of the Company are subject to income taxes in their local jurisdictions. In addition, the Company is subject to New York City Unincorporated Business Taxes (“UBT”) attributable to Lazard Group’s operations apportioned to New York City.</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and the Company provides for U.S. income taxes on a current basis for substantially all of those earnings. The repatriation of prior year earnings attributable to “non-pass-through” entities would not result in the recognition of a material amount of additional U.S. income taxes.</w:t>
      </w:r>
    </w:p>
    <w:p>
      <w:pPr>
        <w:spacing w:after="0" w:line="14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 A deferred tax asset is recognized if it is more likely than not (defined as a likelihood of greater than 50%) that a tax benefit will be accepted by a taxing authority.</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nature, frequency, and magnitude of any recent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“income tax expense”. See Note 17 of Notes to Consolidated Financial Statements for additional information relating to income taxes.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amount of cash paid during the year for income taxes shown on the consolidated statements of cash flows for the years ended December 31, 2012 and 2011 has been conformed to the current year presentation, which is net of refunds.</w:t>
      </w:r>
    </w:p>
    <w:p>
      <w:pPr>
        <w:spacing w:after="0" w:line="25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Offsetting (Netting) Assets and Liabilities</w:t>
      </w:r>
      <w:r>
        <w:rPr>
          <w:rFonts w:ascii="Arial" w:cs="Arial" w:eastAsia="Arial" w:hAnsi="Arial"/>
          <w:sz w:val="16"/>
          <w:szCs w:val="16"/>
          <w:color w:val="auto"/>
        </w:rPr>
        <w:t>—In the first quarter of 2013, the Company adopted the new disclosure requirements issued by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 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FASB issued guidance on the presentation of unrecognized tax benefits when net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early adopt this guidance in the fourth quarter of 2013, the impact of which did not have a material impact on the Company’s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years ended December 31, 2013, 2012 and 2011 was as follows:</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6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$19,450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Bad debt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4,395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6,579</w:t>
            </w:r>
          </w:p>
        </w:tc>
        <w:tc>
          <w:tcPr>
            <w:tcW w:w="5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Balance, December 31</w:t>
            </w: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28,777</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23,017</w:t>
            </w:r>
          </w:p>
        </w:tc>
        <w:tc>
          <w:tcPr>
            <w:tcW w:w="50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19,450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and 2012, the Company had receivables past due or deemed uncollectible of $39,341 and $25,604, respectively.</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Of the Company’s fee receivables at December 31, 2013 and 2012, $69,464 and $76,481,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$443,211 and $401,562 at December 31, 2013 and 2012, respectively, approximates fair value.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60"/>
          </w:cols>
          <w:pgMar w:left="24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$516 and $578, respectively)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59,394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190,702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r>
      <w:tr>
        <w:trPr>
          <w:trHeight w:val="229"/>
        </w:trPr>
        <w:tc>
          <w:tcPr>
            <w:tcW w:w="20" w:type="dxa"/>
            <w:vAlign w:val="bottom"/>
          </w:tcPr>
          <w:p>
            <w:pPr>
              <w:spacing w:after="0"/>
              <w:rPr>
                <w:sz w:val="19"/>
                <w:szCs w:val="19"/>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400,694</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356,721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478,105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414,673</w:t>
            </w: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468,101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407,083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$7,099, $31,515 and $130,481, respectively, at December 31, 2013 and $5,054, $18,615 and $76,907, respectively, at December 31, 2012, held in order to satisfy the Company’s liability upon vesting of previously granted Lazard Fund Interests and other similar deferred compensation arrangements. Lazard Fund Interests represent grants by the Company to eligible employees of actual or notional interests in a number of Lazard-managed funds (see Notes 7 and 14 of Notes to Consolidated Financial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funds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$9,787 and $11,490 at December 31, 2013 and 2012, respectively (see Note 12 of Notes to Consolidated Financial Statements).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Company reported in revenue-other on its consolidated statements of operations gross unrealized investment gains and losses pertaining to “trading” securities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12,844</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funds valued based on NAV or its equivalent that are not redeemable within the near term are classified as Level 3.</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equity and fixed income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7 of Notes to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classification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309,160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468,783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408,016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2013, 2012 and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Year Ended December 31, 2013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Included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00" w:type="dxa"/>
            <w:vAlign w:val="bottom"/>
          </w:tcPr>
          <w:p>
            <w:pPr>
              <w:spacing w:after="0"/>
              <w:rPr>
                <w:sz w:val="12"/>
                <w:szCs w:val="12"/>
                <w:color w:val="auto"/>
              </w:rPr>
            </w:pPr>
          </w:p>
        </w:tc>
        <w:tc>
          <w:tcPr>
            <w:tcW w:w="82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Other (a)</w:t>
            </w:r>
          </w:p>
        </w:tc>
        <w:tc>
          <w:tcPr>
            <w:tcW w:w="20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95"/>
              </w:rPr>
              <w:t>Acquisitions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Disposition</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1,095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(19,231)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920" w:type="dxa"/>
            <w:vAlign w:val="bottom"/>
            <w:gridSpan w:val="6"/>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116,101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13,373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7,261</w:t>
            </w:r>
          </w:p>
        </w:tc>
        <w:tc>
          <w:tcPr>
            <w:tcW w:w="122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(22,815)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1,613</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Included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10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112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1"/>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Other (a)</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(6,844)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122,718</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4"/>
              </w:rPr>
              <w:t>8,589</w:t>
            </w: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(35,796)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133,100</w:t>
            </w:r>
          </w:p>
        </w:tc>
        <w:tc>
          <w:tcPr>
            <w:tcW w:w="1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16,118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8,599</w:t>
            </w:r>
          </w:p>
        </w:tc>
        <w:tc>
          <w:tcPr>
            <w:tcW w:w="100" w:type="dxa"/>
            <w:vAlign w:val="bottom"/>
          </w:tcPr>
          <w:p>
            <w:pPr>
              <w:spacing w:after="0"/>
              <w:rPr>
                <w:sz w:val="19"/>
                <w:szCs w:val="19"/>
                <w:color w:val="auto"/>
              </w:rPr>
            </w:pPr>
          </w:p>
        </w:tc>
        <w:tc>
          <w:tcPr>
            <w:tcW w:w="980" w:type="dxa"/>
            <w:vAlign w:val="bottom"/>
            <w:gridSpan w:val="5"/>
          </w:tcPr>
          <w:p>
            <w:pPr>
              <w:jc w:val="right"/>
              <w:ind w:right="32"/>
              <w:spacing w:after="0"/>
              <w:rPr>
                <w:sz w:val="20"/>
                <w:szCs w:val="20"/>
                <w:color w:val="auto"/>
              </w:rPr>
            </w:pPr>
            <w:r>
              <w:rPr>
                <w:rFonts w:ascii="Arial" w:cs="Arial" w:eastAsia="Arial" w:hAnsi="Arial"/>
                <w:sz w:val="18"/>
                <w:szCs w:val="18"/>
                <w:color w:val="auto"/>
              </w:rPr>
              <w:t>$ (42,670)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954</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Year Ended December 31, 2011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6"/>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Included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10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112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1"/>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Other (a)</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(195)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10,340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163,482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(3,319)</w:t>
            </w:r>
          </w:p>
        </w:tc>
        <w:tc>
          <w:tcPr>
            <w:tcW w:w="44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33,117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color w:val="auto"/>
                <w:w w:val="89"/>
              </w:rPr>
              <w:t>(69,218)(b)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(3,416)</w:t>
            </w: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93"/>
              </w:rPr>
              <w:t>$  43,482</w:t>
            </w: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 (69,413)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Earnings for the years ended December 31, 2013, 2012 and 2011 include net unrealized gains (losses) of $6,032, $12,910 and $(3,268), respectively.</w:t>
      </w:r>
    </w:p>
    <w:p>
      <w:pPr>
        <w:spacing w:after="0" w:line="23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Sales/dispositions of private equity fund investments for the year ended December 31, 2011 include $49,500 in connection with a reduction of interests in a fund which ceased to be consolidated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2013 and 2012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512"/>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88"/>
              </w:rPr>
              <w:t>Fair Value Measurements Using: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Quoted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Prices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Active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Markets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Identical</w:t>
            </w:r>
          </w:p>
        </w:tc>
        <w:tc>
          <w:tcPr>
            <w:tcW w:w="58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841,482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841,482</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$841,482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244,879</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244,879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62,046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62,046</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62,046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71,433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Interest-bearing deposits (included within investments)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516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6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275,434</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$275,434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1,048,350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7"/>
              </w:rPr>
              <w:t>1,117,247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1,117,247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92"/>
              <w:spacing w:after="0"/>
              <w:rPr>
                <w:sz w:val="20"/>
                <w:szCs w:val="20"/>
                <w:color w:val="auto"/>
              </w:rPr>
            </w:pPr>
            <w:r>
              <w:rPr>
                <w:rFonts w:ascii="Arial" w:cs="Arial" w:eastAsia="Arial" w:hAnsi="Arial"/>
                <w:sz w:val="14"/>
                <w:szCs w:val="14"/>
                <w:b w:val="1"/>
                <w:bCs w:val="1"/>
                <w:color w:val="auto"/>
                <w:w w:val="87"/>
              </w:rPr>
              <w:t>December 31, 2012</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7"/>
              </w:rPr>
              <w:t>Fair Value Measurements Using: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Quoted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Prices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Active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Markets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for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Identical</w:t>
            </w:r>
          </w:p>
        </w:tc>
        <w:tc>
          <w:tcPr>
            <w:tcW w:w="58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850,190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850,190</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$850,190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292,494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292,494</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292,494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65,232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65,232</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65,232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76,481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Interest-bearing deposits (included within investments)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578</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269,763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269,763</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$269,763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4"/>
              </w:rPr>
              <w:t>1,076,850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1,207,227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1,207,227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 Money market funds are valued through the use of quoted market prices, or $1.00 per share, which generally is the NAV of the fund.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carrying value of deposits with banks, and cash deposited with clearing organizations and other segregated cash, approximates fair value because of the relatively short period of time between their origination and expected maturity.</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71"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b w:val="1"/>
          <w:bCs w:val="1"/>
          <w:i w:val="1"/>
          <w:iCs w:val="1"/>
          <w:color w:val="auto"/>
        </w:rPr>
        <w:t>Fair Value of Certain Investments Based on NAV</w:t>
      </w:r>
      <w:r>
        <w:rPr>
          <w:rFonts w:ascii="Arial" w:cs="Arial" w:eastAsia="Arial" w:hAnsi="Arial"/>
          <w:sz w:val="15"/>
          <w:szCs w:val="15"/>
          <w:color w:val="auto"/>
        </w:rPr>
        <w:t>—The Company’s Level 2 and Level 3 investments at December 31, 2013 and 2012 include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that are valued using NAV or its equivalent as a practical expedient in determining fair value. Information with respect thereto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December 31, 2012</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6"/>
          </w:tcPr>
          <w:p>
            <w:pPr>
              <w:ind w:left="20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2460" w:type="dxa"/>
            <w:vAlign w:val="bottom"/>
            <w:gridSpan w:val="6"/>
          </w:tcPr>
          <w:p>
            <w:pPr>
              <w:ind w:left="280"/>
              <w:spacing w:after="0"/>
              <w:rPr>
                <w:sz w:val="20"/>
                <w:szCs w:val="20"/>
                <w:color w:val="auto"/>
              </w:rPr>
            </w:pPr>
            <w:r>
              <w:rPr>
                <w:rFonts w:ascii="Arial" w:cs="Arial" w:eastAsia="Arial" w:hAnsi="Arial"/>
                <w:sz w:val="14"/>
                <w:szCs w:val="14"/>
                <w:b w:val="1"/>
                <w:bCs w:val="1"/>
                <w:color w:val="auto"/>
              </w:rPr>
              <w:t>Investments Not Redeemable</w:t>
            </w: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Investments Redeemable</w:t>
            </w: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3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Redeemable</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Years</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25,110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1000" w:type="dxa"/>
            <w:vAlign w:val="bottom"/>
          </w:tcPr>
          <w:p>
            <w:pPr>
              <w:spacing w:after="0"/>
              <w:rPr>
                <w:sz w:val="20"/>
                <w:szCs w:val="20"/>
                <w:color w:val="auto"/>
              </w:rPr>
            </w:pPr>
            <w:r>
              <w:rPr>
                <w:rFonts w:ascii="Arial" w:cs="Arial" w:eastAsia="Arial" w:hAnsi="Arial"/>
                <w:sz w:val="18"/>
                <w:szCs w:val="18"/>
                <w:color w:val="auto"/>
                <w:w w:val="98"/>
              </w:rPr>
              <w:t>&lt;30-90 days</w:t>
            </w: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9"/>
              </w:rPr>
              <w:t>&lt;30-120 days</w:t>
            </w: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1000" w:type="dxa"/>
            <w:vAlign w:val="bottom"/>
          </w:tcPr>
          <w:p>
            <w:pPr>
              <w:spacing w:after="0"/>
              <w:rPr>
                <w:sz w:val="20"/>
                <w:szCs w:val="20"/>
                <w:color w:val="auto"/>
              </w:rPr>
            </w:pPr>
            <w:r>
              <w:rPr>
                <w:rFonts w:ascii="Arial" w:cs="Arial" w:eastAsia="Arial" w:hAnsi="Arial"/>
                <w:sz w:val="18"/>
                <w:szCs w:val="18"/>
                <w:color w:val="auto"/>
                <w:w w:val="98"/>
              </w:rPr>
              <w:t>&lt;30-60 days</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w:t>
            </w:r>
          </w:p>
        </w:tc>
        <w:tc>
          <w:tcPr>
            <w:tcW w:w="2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1000" w:type="dxa"/>
            <w:vAlign w:val="bottom"/>
          </w:tcPr>
          <w:p>
            <w:pPr>
              <w:spacing w:after="0"/>
              <w:rPr>
                <w:sz w:val="20"/>
                <w:szCs w:val="20"/>
                <w:color w:val="auto"/>
              </w:rPr>
            </w:pPr>
            <w:r>
              <w:rPr>
                <w:rFonts w:ascii="Arial" w:cs="Arial" w:eastAsia="Arial" w:hAnsi="Arial"/>
                <w:sz w:val="18"/>
                <w:szCs w:val="18"/>
                <w:color w:val="auto"/>
                <w:w w:val="98"/>
              </w:rPr>
              <w:t>30-120 days</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31,482</w:t>
            </w:r>
          </w:p>
        </w:tc>
        <w:tc>
          <w:tcPr>
            <w:tcW w:w="102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21%</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61%</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179,417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weekly (20%), monthly (73%) and quarterly (7%)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monthly (2%) and quarterly (98%)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daily (60%), weekly (1%) and monthly (39%)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See Note 5 of Notes to Consolidated Financial Statements for discussion of significant investment strategies for investments with value based on NAV.</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2013,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from (i) commitments to CP II, which amounted to $1,940 for potential “follow-on investments” and/or for fund expenses through the earlier of February 25, 2017 or the liquidation of the fund, (ii) commitments to EGCP III, which amounted to $18,501,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$6,694,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commitment regarding EGCP III described above reflects a March 1, 2012 reduction of $17,400 from the Company’s original commitment of $50,000 that an investor group, owned by current and former managing directors, including certain of our executive officers, assumed from the Company. In connection with their assumption of this assumed commitment, each investor received a right to collect a portion of the Company’s carried interest arising from EGCP III, to the extent any such carried interest is actually received by the Company, equal to 20% of the profit earned by such investor on his or her investment.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tables below present the fair values of the Company’s derivative instruments reported within “other assets” and “other liabilities” and the fair value of the Company’s derivative liabilities relating to its obligation pertaining to Lazard Fund Interests and other similar deferred compensation arrangements (see Note 14 of Notes to Consolidated Financial Statements) on the accompanying consolidated statements of financial condition as of December 31, 2013 and 2012: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Equity and fixed income swaps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162,422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164,001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$2,019 and $1,587 as of December 31, 2013, respectively, and $0 and $4,342 as of December 31, 2012, respectively, for contracts with the same counterparty under legally enforceable master netting agreements. Such amounts are recorded “net” in “other assets”, with receivables for net cash collateral under such contracts of $11,384 and $15,304 as of December 31, 2013 and 2012,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consolidated statements of operations for the years ended December 31, 2013, 2012 and 2011,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currency exchange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2500"/>
        <w:spacing w:after="0" w:line="284" w:lineRule="auto"/>
        <w:rPr>
          <w:sz w:val="20"/>
          <w:szCs w:val="20"/>
          <w:color w:val="auto"/>
        </w:rPr>
      </w:pPr>
      <w:r>
        <w:rPr>
          <w:rFonts w:ascii="Arial" w:cs="Arial" w:eastAsia="Arial" w:hAnsi="Arial"/>
          <w:sz w:val="18"/>
          <w:szCs w:val="18"/>
          <w:color w:val="auto"/>
        </w:rPr>
        <w:t>Lazard Fund Interests and other similar deferred compensation arrangements Equity and fixed income swaps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r>
      <w:tr>
        <w:trPr>
          <w:trHeight w:val="215"/>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(3,162)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(1,844)</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$2,422</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(14,099)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(7,557)</w:t>
            </w:r>
          </w:p>
        </w:tc>
        <w:tc>
          <w:tcPr>
            <w:tcW w:w="50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(10,931)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(18,327)</w:t>
            </w:r>
          </w:p>
        </w:tc>
        <w:tc>
          <w:tcPr>
            <w:tcW w:w="500" w:type="dxa"/>
            <w:vAlign w:val="bottom"/>
          </w:tcPr>
          <w:p>
            <w:pPr>
              <w:jc w:val="right"/>
              <w:spacing w:after="0"/>
              <w:rPr>
                <w:sz w:val="20"/>
                <w:szCs w:val="20"/>
                <w:color w:val="auto"/>
              </w:rPr>
            </w:pPr>
            <w:r>
              <w:rPr>
                <w:rFonts w:ascii="Arial" w:cs="Arial" w:eastAsia="Arial" w:hAnsi="Arial"/>
                <w:sz w:val="18"/>
                <w:szCs w:val="18"/>
                <w:color w:val="auto"/>
              </w:rPr>
              <w:t>4,276</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(28,192)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(27,728)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7920" w:space="720"/>
            <w:col w:w="278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2013 and 2012,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$173,772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$166,560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175,600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149,598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3,756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502,726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253,930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2013 and 2012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363,877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392,822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2013 and 2012, goodwill of $280,912 and $299,787,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2013, 2012 and 2011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7"/>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$364,328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$356,657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Business acquisitions, including, in the 2011 period, additional contingent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consideration earned relating to a prior year business acquisition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345,453</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364,328</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During the fourth quarter of 2013, the Company changed its annual impairment evaluation date from December 31 to November 1. Pursuant to the Company’s goodwill impairment review for the years ended December 31, 2013, 2012 and 2011, the Company determined that no impairment existed.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00"/>
          </w:cols>
          <w:pgMar w:left="24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2013 and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of intangible assets for the years ended December 31, 2013, 2012 and 2011 was $10,114, $8,359 and $11,915,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is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84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40" w:type="dxa"/>
            <w:vAlign w:val="bottom"/>
            <w:tcBorders>
              <w:top w:val="single" w:sz="8" w:color="auto"/>
            </w:tcBorders>
            <w:shd w:val="clear" w:color="auto" w:fill="CCEEFF"/>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Approximately 43%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2013 and 2012:</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$ 110,014</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60,433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9,188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46,116</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259,277</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000"/>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2013 and 2012:</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$136,677</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119,940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121,854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84,897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74,880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12,855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24,374</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513,427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499,651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2013 and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Outstanding As Of</w:t>
            </w:r>
          </w:p>
        </w:tc>
      </w:t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 (a)</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6.85%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600,000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548,350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Lazard Group 4.25%</w:t>
            </w: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(b)</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11/14/20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gridSpan w:val="3"/>
          </w:tcPr>
          <w:p>
            <w:pPr>
              <w:spacing w:after="0"/>
              <w:rPr>
                <w:sz w:val="20"/>
                <w:szCs w:val="20"/>
                <w:color w:val="auto"/>
              </w:rPr>
            </w:pPr>
            <w:r>
              <w:rPr>
                <w:rFonts w:ascii="Arial" w:cs="Arial" w:eastAsia="Arial" w:hAnsi="Arial"/>
                <w:sz w:val="18"/>
                <w:szCs w:val="18"/>
                <w:color w:val="auto"/>
              </w:rPr>
              <w:t>Lazard Group Credit Facility</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150,000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9/25/15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1,048,350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1,076,850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November 6, 2013, the Company launched a tender for all of the outstanding 7.125% senior notes maturing on May 15, 2015 (the “2015 Notes”) and simultaneously announced a redemption notice for any notes not tendered. As a result, the outstanding 2015 Notes of $528,500 were extinguished in the fourth quarter of 2013, which resulted in a pre-tax loss on extinguishment of $50,757, including the recognition of unamortized issuance costs. As a result of the extinguishment, the unamortized amount of the interest rate hedge related to the 2015 Notes was also recognized, which resulted in a loss of $1,563. Both the loss on extinguishment and the loss related to the interest rate hedge were recorded in “operating expenses—other” in the consolidated statement of operations.</w:t>
      </w:r>
    </w:p>
    <w:p>
      <w:pPr>
        <w:spacing w:after="0" w:line="4" w:lineRule="exact"/>
        <w:rPr>
          <w:rFonts w:ascii="Arial" w:cs="Arial" w:eastAsia="Arial" w:hAnsi="Arial"/>
          <w:sz w:val="18"/>
          <w:szCs w:val="18"/>
          <w:color w:val="auto"/>
        </w:rPr>
      </w:pPr>
    </w:p>
    <w:p>
      <w:pPr>
        <w:ind w:left="460" w:hanging="452"/>
        <w:spacing w:after="0" w:line="295"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 November 14, 2013, and in connection with the redemption of the 2015 Notes, Lazard Group issued $500,000 aggregate principal amount of 4.25% senior notes maturing on November 14, 2020 (the “2020 Notes”). Interest on the 2020 Notes is payable semi-annually on May 14 and November 14 of each year commencing on May 14, 2014. In connection with the issuance of the 2020 Notes, the Company entered into and settled an interest rate forward agreement and recognized a related loss of $ 1,767. The loss was recorded in “operating expenses—other” in the consolidated statements of operations.</w:t>
      </w:r>
    </w:p>
    <w:p>
      <w:pPr>
        <w:spacing w:after="0" w:line="11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applicable margin. As of December 31, 2013, the annual interest rate for a loan accruing interest (based on the Federal Funds overnight rate), including the applicable margin, was 0.79%. At December 31, 2013 and 2012, no amounts were outstanding under the Credit Facility or the prior revolving credit facility, respectively.</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December 31, 2013, the Company was in compliance with such provisions. All of the Company’s senior debt obligations are unsecured.</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2013 for each of the five years in the period ending December 31, 2018 and thereafter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2014-2016</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1,048,350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senior debt at December 31, 2013 and 2012 is carried at historical amounts. See Note 6 of Notes to Consolidated Financial Statements for information regarding the fair value and fair value hierarchy category of the Company’s senior debt.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2013, the Company had approximately $258,000 in unused lines of credit available to it, including the Credit Facility, and unused lines of credit available to LFB of approximately $48,000 (at December 31, 2013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On July 22, 2011, the Company repurchased its then outstanding $150,000 subordinated promissory note, at a cost, excluding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of $131,829. Such repurchase resulted in a pre-tax gain of $18,171, which was recognized by the Company in the third quarter of 2011 and included in “revenue-other” on the accompanying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2013, 2012 and 2011, aggregate rental expense relating to operating leases amounted to $86,504, $80,888 and $76,718,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2033. Sublease income from such agreements was $11,404, $9,613 and $10,967 for the years ended December 31, 2013, 2012 and 2011, respectively, which includes sublease income of $4,136, $3,290 and $2,192, respectively, from an affiliate of LFCM Holdings, LLC (“LFCM Holdings”).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2017 at a weighted average interest rate of approximately 6.2%. Such obligations are collateralized primarily by certain buildings with a net book value of approximately $19,876 and $21,932 at December 31, 2013 and 2012, respectively. The net book value of all assets recorded under capital leases aggregated $20,806 and $23,486 at December 31, 2013 and 2012,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3,221</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81,467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9,478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155,547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2013 and 2012, the Company has recognized liabilities of $11,203 and $7,516,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2013, LFB had $5,897 of such indemnifications and held $4,993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Certain Business Transactions</w:t>
      </w:r>
      <w:r>
        <w:rPr>
          <w:rFonts w:ascii="Arial" w:cs="Arial" w:eastAsia="Arial" w:hAnsi="Arial"/>
          <w:sz w:val="16"/>
          <w:szCs w:val="16"/>
          <w:color w:val="auto"/>
        </w:rPr>
        <w:t>—On September 25, 2008, the Company, LAM and LAZ Sub I, LLC, a then newly-formed subsidiary of LFNY, completed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consisted of (i) cash payments made from the closing of the LAM Merger through January 2, 2009 of approximately $60,000, (ii) a cash payment made on October 31, 2011 of approximately $90,000, (iii) the delivery on October 31, 2011 of 2,210,520 shares of Class A common stock and (iv) the satisfaction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of Lazard’s minimum statutory tax withholding requirements for certain employees in lieu of delivering 68,384 shares of Class A common stock on October 31, 2011. In addition, with respect to certain former employees of LAM and its subsidiaries, as of December 31, 2013 and 2012, additional cash payments of $961 and additional issuances of 24,537 shares of Class A common stock are subject to delayed payment/issuance until the eighth anniversary of the closing of the LAM Merger because the applicable employees were no longer employed by Lazard or its affiliates on October 31, 2011, subject to certain exceptions.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December 31, 2013 and 2012, 1,371,992 and 1,209,154 shares, respectively, have been earned because applicable performance thresholds have been satisfied. Such shares are no longer subject to any contingencies. As of December 31, 2013 and 2012, 1,029,006 and 686,004, respectively, of such shares have been settled.</w:t>
      </w:r>
    </w:p>
    <w:p>
      <w:pPr>
        <w:spacing w:after="0" w:line="118"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b w:val="1"/>
          <w:bCs w:val="1"/>
          <w:i w:val="1"/>
          <w:iCs w:val="1"/>
          <w:color w:val="auto"/>
        </w:rPr>
        <w:t>Contingent Consideration Relating To Other Business Acquisitions</w:t>
      </w:r>
      <w:r>
        <w:rPr>
          <w:rFonts w:ascii="Arial" w:cs="Arial" w:eastAsia="Arial" w:hAnsi="Arial"/>
          <w:sz w:val="15"/>
          <w:szCs w:val="15"/>
          <w:color w:val="auto"/>
        </w:rPr>
        <w:t>—For a business acquired in 2013, the Company was obligated to issue a maximum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107,617 shares of Class A common stock if certain performance thresholds were achieved. The Company is no longer obligated to issue such shares.</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a business acquired in 2011, the Company was obligated to pay earnout consideration if certain performance thresholds were achieved. The maximum potential earnout consideration payable by the Company could not exceed $7,000. For the years ended December 31, 2013 and 2012, no cash payments relating to the earnout consideration were required. As the performance thresholds ultimately were not achieved, the Company is no longer obligated to pay the earnout consideration.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December 31, 2013, these commitments were not material.</w:t>
      </w:r>
    </w:p>
    <w:p>
      <w:pPr>
        <w:spacing w:after="0" w:line="14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See Notes 6 and 15 of Notes to Consolidated Financial Statements for information regarding commitments relating to investment capital funding commitments and obligations to fund our pension plans,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December 31, 2013, LFB had no such underwriting commitments.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color w:val="auto"/>
        </w:rPr>
        <w:t>—During the year ended December 31, 2011, the Company issued an aggregate of 2,434,561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delivered 3,515,362 shares from Class A common stock held by its subsidiaries in connection with the LAM Merger (as described in Note 12 of Notes to Consolidated Financial Statements) and certain prior year business acquisitions.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2013, 2012 and 2011,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2,976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5,170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121,620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135,108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122,540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140,278</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vMerge w:val="restart"/>
          </w:tcPr>
          <w:p>
            <w:pPr>
              <w:jc w:val="right"/>
              <w:ind w:right="2592"/>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—During the years ended December 31, 2013, 2012 and 2011, Lazard Ltd issued 839,658,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5,207,112 and 876,814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2013, 2012 and 2011, the Board of Directors of Lazard Ltd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and Lazard Group common membership interests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expects that the share repurchase program, with respect to the Class A common stock, will primarily be used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16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16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Share/Common</w:t>
            </w:r>
          </w:p>
        </w:tc>
      </w:tr>
      <w:tr>
        <w:trPr>
          <w:trHeight w:val="149"/>
        </w:trPr>
        <w:tc>
          <w:tcPr>
            <w:tcW w:w="16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16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3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Years Ending December 31:</w:t>
            </w:r>
          </w:p>
        </w:tc>
        <w:tc>
          <w:tcPr>
            <w:tcW w:w="1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2011</w:t>
            </w:r>
          </w:p>
        </w:tc>
        <w:tc>
          <w:tcPr>
            <w:tcW w:w="67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6,135,189</w:t>
            </w:r>
          </w:p>
        </w:tc>
        <w:tc>
          <w:tcPr>
            <w:tcW w:w="1020" w:type="dxa"/>
            <w:vAlign w:val="bottom"/>
            <w:tcBorders>
              <w:top w:val="single" w:sz="8" w:color="CCEEFF"/>
            </w:tcBorders>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top w:val="single" w:sz="8" w:color="CCEEFF"/>
            </w:tcBorders>
          </w:tcPr>
          <w:p>
            <w:pPr>
              <w:spacing w:after="0"/>
              <w:rPr>
                <w:sz w:val="24"/>
                <w:szCs w:val="24"/>
                <w:color w:val="auto"/>
              </w:rPr>
            </w:pPr>
          </w:p>
        </w:tc>
      </w:tr>
      <w:tr>
        <w:trPr>
          <w:trHeight w:val="218"/>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12,817,196</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6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3,488,101</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the delivery of shares of Class A common stock through December 31, 2013 relating to (i) the settlement of vested restricted stock units (“RSUs”) and deferred stock units (“DSUs”), (ii) the incentive plan share awards of shares of restricted Class A common stock, (iii) the delivery of shares of restricted Class A common stock in exchange for RSUs and (iv) the delivery of shares of Class A common stock in connection with business acquisitions and the LAM Merger, there were 8,317,065 and 12,802,938 shares of Class A common stock held by our subsidiaries at December 31, 2013 and 2012, respectively. Such shares of Class A common stock are reported, at cost, as “Class A common stock held by subsidiaries” on the accompanying consolidated statements of financial condition.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2013, a total of $121,589 of share repurchase capacity remained available under the Company’s share repurchase authorizations, of which $21,589 and $100,000 will expire on December 31, 2014 and 2015, respectively.</w:t>
      </w:r>
    </w:p>
    <w:p>
      <w:pPr>
        <w:spacing w:after="0" w:line="132"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are each non-participating securities convertible into Class A common stock, and have no voting or dividend rights. During the year ended December 31, 2011, 14,100 shares of Series A preferred stock was converted into shares of Class A common stock, resulting in the issuance of 2,434,561 shares of Class A common stock. As of both December 31, 2013 and 2012, 7,921 shares of Series A preferred stock were outstanding, and no shares of Series B preferred stock were outstanding. At December 31, 2013 and 2012, no shares of Series A preferred stock were convertible into shares of Class A common stock on a contingent or a non-contingent basis.</w:t>
      </w:r>
    </w:p>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 below reflects the components of AOCI at December 31, 2013 and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then 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2"/>
                <w:szCs w:val="12"/>
                <w:color w:val="auto"/>
              </w:rPr>
            </w:pPr>
          </w:p>
        </w:tc>
        <w:tc>
          <w:tcPr>
            <w:tcW w:w="860" w:type="dxa"/>
            <w:vAlign w:val="bottom"/>
            <w:gridSpan w:val="3"/>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Interest</w:t>
            </w:r>
          </w:p>
        </w:tc>
        <w:tc>
          <w:tcPr>
            <w:tcW w:w="9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4"/>
              </w:rPr>
              <w:t>Employee</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5"/>
              </w:rPr>
              <w:t>Rate</w:t>
            </w:r>
          </w:p>
        </w:tc>
        <w:tc>
          <w:tcPr>
            <w:tcW w:w="9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4"/>
              </w:rPr>
              <w:t>Benefit</w:t>
            </w:r>
          </w:p>
        </w:tc>
        <w:tc>
          <w:tcPr>
            <w:tcW w:w="140" w:type="dxa"/>
            <w:vAlign w:val="bottom"/>
          </w:tcPr>
          <w:p>
            <w:pPr>
              <w:spacing w:after="0"/>
              <w:rPr>
                <w:sz w:val="12"/>
                <w:szCs w:val="12"/>
                <w:color w:val="auto"/>
              </w:rPr>
            </w:pPr>
          </w:p>
        </w:tc>
        <w:tc>
          <w:tcPr>
            <w:tcW w:w="1040" w:type="dxa"/>
            <w:vAlign w:val="bottom"/>
            <w:gridSpan w:val="2"/>
          </w:tcPr>
          <w:p>
            <w:pPr>
              <w:jc w:val="right"/>
              <w:ind w:right="458"/>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18"/>
              <w:spacing w:after="0"/>
              <w:rPr>
                <w:sz w:val="20"/>
                <w:szCs w:val="20"/>
                <w:color w:val="auto"/>
              </w:rPr>
            </w:pPr>
            <w:r>
              <w:rPr>
                <w:rFonts w:ascii="Arial" w:cs="Arial" w:eastAsia="Arial" w:hAnsi="Arial"/>
                <w:sz w:val="14"/>
                <w:szCs w:val="14"/>
                <w:b w:val="1"/>
                <w:bCs w:val="1"/>
                <w:color w:val="auto"/>
                <w:w w:val="88"/>
              </w:rPr>
              <w:t>Hedge</w:t>
            </w:r>
          </w:p>
        </w:tc>
        <w:tc>
          <w:tcPr>
            <w:tcW w:w="90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Pr>
          <w:p>
            <w:pPr>
              <w:spacing w:after="0"/>
              <w:rPr>
                <w:sz w:val="14"/>
                <w:szCs w:val="14"/>
                <w:color w:val="auto"/>
              </w:rPr>
            </w:pPr>
          </w:p>
        </w:tc>
        <w:tc>
          <w:tcPr>
            <w:tcW w:w="1040" w:type="dxa"/>
            <w:vAlign w:val="bottom"/>
            <w:gridSpan w:val="2"/>
          </w:tcPr>
          <w:p>
            <w:pPr>
              <w:jc w:val="right"/>
              <w:ind w:right="418"/>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(2,502</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(111,633</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Activity January 1 to December 31, 2013: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(13,500)</w:t>
            </w:r>
          </w:p>
        </w:tc>
        <w:tc>
          <w:tcPr>
            <w:tcW w:w="118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(29,036)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0" w:type="dxa"/>
            <w:vAlign w:val="bottom"/>
          </w:tcPr>
          <w:p>
            <w:pPr>
              <w:spacing w:after="0"/>
              <w:rPr>
                <w:sz w:val="1"/>
                <w:szCs w:val="1"/>
                <w:color w:val="auto"/>
              </w:rPr>
            </w:pPr>
          </w:p>
        </w:tc>
      </w:tr>
      <w:tr>
        <w:trPr>
          <w:trHeight w:val="223"/>
        </w:trPr>
        <w:tc>
          <w:tcPr>
            <w:tcW w:w="54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38"/>
              <w:spacing w:after="0"/>
              <w:rPr>
                <w:sz w:val="20"/>
                <w:szCs w:val="20"/>
                <w:color w:val="auto"/>
              </w:rPr>
            </w:pPr>
            <w:r>
              <w:rPr>
                <w:rFonts w:ascii="Arial" w:cs="Arial" w:eastAsia="Arial" w:hAnsi="Arial"/>
                <w:sz w:val="18"/>
                <w:szCs w:val="18"/>
                <w:color w:val="auto"/>
                <w:w w:val="97"/>
              </w:rPr>
              <w:t>2,502</w:t>
            </w:r>
          </w:p>
        </w:tc>
        <w:tc>
          <w:tcPr>
            <w:tcW w:w="720" w:type="dxa"/>
            <w:vAlign w:val="bottom"/>
          </w:tcPr>
          <w:p>
            <w:pPr>
              <w:jc w:val="right"/>
              <w:spacing w:after="0"/>
              <w:rPr>
                <w:sz w:val="20"/>
                <w:szCs w:val="20"/>
                <w:color w:val="auto"/>
              </w:rPr>
            </w:pPr>
            <w:r>
              <w:rPr>
                <w:rFonts w:ascii="Arial" w:cs="Arial" w:eastAsia="Arial" w:hAnsi="Arial"/>
                <w:sz w:val="18"/>
                <w:szCs w:val="18"/>
                <w:color w:val="auto"/>
              </w:rPr>
              <w:t>4,605</w:t>
            </w:r>
          </w:p>
        </w:tc>
        <w:tc>
          <w:tcPr>
            <w:tcW w:w="180" w:type="dxa"/>
            <w:vAlign w:val="bottom"/>
          </w:tcPr>
          <w:p>
            <w:pPr>
              <w:spacing w:after="0"/>
              <w:rPr>
                <w:sz w:val="19"/>
                <w:szCs w:val="19"/>
                <w:color w:val="auto"/>
              </w:rPr>
            </w:pPr>
          </w:p>
        </w:tc>
        <w:tc>
          <w:tcPr>
            <w:tcW w:w="1180" w:type="dxa"/>
            <w:vAlign w:val="bottom"/>
            <w:gridSpan w:val="3"/>
          </w:tcPr>
          <w:p>
            <w:pPr>
              <w:jc w:val="right"/>
              <w:ind w:right="238"/>
              <w:spacing w:after="0"/>
              <w:rPr>
                <w:sz w:val="20"/>
                <w:szCs w:val="20"/>
                <w:color w:val="auto"/>
              </w:rPr>
            </w:pPr>
            <w:r>
              <w:rPr>
                <w:rFonts w:ascii="Arial" w:cs="Arial" w:eastAsia="Arial" w:hAnsi="Arial"/>
                <w:sz w:val="18"/>
                <w:szCs w:val="18"/>
                <w:color w:val="auto"/>
              </w:rPr>
              <w:t>7,107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(loss)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w w:val="97"/>
              </w:rPr>
              <w:t>2,502</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(8,895)</w:t>
            </w:r>
          </w:p>
        </w:tc>
        <w:tc>
          <w:tcPr>
            <w:tcW w:w="118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(21,929)</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Balance, December 31, 2013</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3,869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3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(137,431)</w:t>
            </w:r>
          </w:p>
        </w:tc>
        <w:tc>
          <w:tcPr>
            <w:tcW w:w="1180" w:type="dxa"/>
            <w:vAlign w:val="bottom"/>
            <w:gridSpan w:val="3"/>
          </w:tcPr>
          <w:p>
            <w:pPr>
              <w:jc w:val="right"/>
              <w:ind w:right="17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(133,562)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(133,004)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reflects adjustments for items reclassified out of AOCI, by component, for the year ended December 31,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2,502(a)</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color w:val="auto"/>
              </w:rPr>
              <w:t>Amortization relating to employee benefit plans</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3"/>
            <w:vMerge w:val="continue"/>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6,534(b)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40" w:hanging="452"/>
        <w:spacing w:after="0" w:line="25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Included in “interest expense” and “operating expenses—other” in the amounts of $939 and $1,563, respectively, on the consolidated statements of operations.</w:t>
      </w:r>
    </w:p>
    <w:p>
      <w:pPr>
        <w:ind w:left="460" w:right="760" w:hanging="452"/>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of Notes to Consolidated Financial Statements). Such amount is included in “compensation and benefits” expense on the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ownership interests in Lazard Group held by Lazard Ltd and LAZ-MD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1200" w:type="dxa"/>
            <w:vAlign w:val="bottom"/>
          </w:tcPr>
          <w:p>
            <w:pPr>
              <w:spacing w:after="0"/>
              <w:rPr>
                <w:sz w:val="7"/>
                <w:szCs w:val="7"/>
                <w:color w:val="auto"/>
              </w:rPr>
            </w:pPr>
          </w:p>
        </w:tc>
        <w:tc>
          <w:tcPr>
            <w:tcW w:w="4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As of December 31:</w:t>
            </w:r>
          </w:p>
        </w:tc>
        <w:tc>
          <w:tcPr>
            <w:tcW w:w="44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Ownership</w:t>
            </w:r>
          </w:p>
        </w:tc>
        <w:tc>
          <w:tcPr>
            <w:tcW w:w="11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1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2011</w:t>
            </w:r>
          </w:p>
        </w:tc>
        <w:tc>
          <w:tcPr>
            <w:tcW w:w="44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continue"/>
            <w:shd w:val="clear" w:color="auto" w:fill="CCEEFF"/>
          </w:tcPr>
          <w:p>
            <w:pPr>
              <w:spacing w:after="0"/>
              <w:rPr>
                <w:sz w:val="17"/>
                <w:szCs w:val="17"/>
                <w:color w:val="auto"/>
              </w:rPr>
            </w:pPr>
          </w:p>
        </w:tc>
        <w:tc>
          <w:tcPr>
            <w:tcW w:w="44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123,009,311</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94.8%</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6,756,779</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129,766,090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2012</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128,216,423</w:t>
            </w:r>
          </w:p>
        </w:tc>
        <w:tc>
          <w:tcPr>
            <w:tcW w:w="3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98.8%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1,549,667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129,056,081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710,009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years ended December 31, 2013, 2012 and 2011 did not materially impact Lazard Ltd’s stockholders’ equity.</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2013, 2012 and 2011 and noncontrolling interests as of December 31, 2013 and 2012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7"/>
              </w:rPr>
              <w:t>Net Income (Loss)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10"/>
          </w:tcPr>
          <w:p>
            <w:pPr>
              <w:jc w:val="center"/>
              <w:ind w:left="279"/>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LAZ-MD Holdings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5,114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4,902</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8,476</w:t>
            </w: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15,642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2013</w:t>
            </w:r>
          </w:p>
        </w:tc>
        <w:tc>
          <w:tcPr>
            <w:tcW w:w="5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$ 66,641</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75,262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LAZ-MD Holdings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2,566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$ 69,789</w:t>
            </w: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81,884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b w:val="1"/>
          <w:bCs w:val="1"/>
          <w:i w:val="1"/>
          <w:iCs w:val="1"/>
          <w:color w:val="auto"/>
        </w:rPr>
        <w:t>Dividends Declared, December 2013 and January 29, 2014</w:t>
      </w:r>
      <w:r>
        <w:rPr>
          <w:rFonts w:ascii="Arial" w:cs="Arial" w:eastAsia="Arial" w:hAnsi="Arial"/>
          <w:sz w:val="18"/>
          <w:szCs w:val="18"/>
          <w:color w:val="auto"/>
        </w:rPr>
        <w:t>—On December 10, 2013, the Board of Directors of Lazard Ltd (i) declared a special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$0.25 per share on its Class A common stock payable on December 27, 2013 to stockholders of record on December 20, 2013 and (ii) on January 29, 2014, the Board of Directors of Lazard Ltd declared a quarterly dividend of $0.30 per share on its Class A common stock, payable on February 21, 2014, to stockholders of record on February 10, 2014.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2013,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DSUs) within the Company’s accompanying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RSUs (a)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$ 209,974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$ 298,809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$ 264,110</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700" w:type="dxa"/>
            <w:vAlign w:val="bottom"/>
          </w:tcPr>
          <w:p>
            <w:pPr>
              <w:jc w:val="right"/>
              <w:spacing w:after="0"/>
              <w:rPr>
                <w:sz w:val="20"/>
                <w:szCs w:val="20"/>
                <w:color w:val="auto"/>
              </w:rPr>
            </w:pPr>
            <w:r>
              <w:rPr>
                <w:rFonts w:ascii="Arial" w:cs="Arial" w:eastAsia="Arial" w:hAnsi="Arial"/>
                <w:sz w:val="18"/>
                <w:szCs w:val="18"/>
                <w:color w:val="auto"/>
              </w:rPr>
              <w:t>11,374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9,767</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$ 235,898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$ 310,348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$ 275,142</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5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and staff reductions, as applicable, for the years ended December 31, 2013 and 2012, aggregating $9,099 and $26,158, respectively (see Note 16 of Notes to Consolidated Financial Statements).</w:t>
      </w: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years ended December 31, 2013 and 2012, of $247 and $713, respectively.</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PRSUs, which are a form of RSUs that are also subject to service-based vesting conditions, have additional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2013, 2012 and 2011, issuances of RSUs pertaining to such dividend participation rights and respective charges to “retained earnings”, net of estimated forfeitures, (with corresponding credits to “additional paid-in-capital”)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2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442,242</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920,791</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389,846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$ 16,476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$ 24,990</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11,120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resulted in 39,315, 53,239 and 26,859 DSUs granted during the years ended December 31, 2013, 2012 and 2011,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years ended December 31, 2013, 2012 and 2011.</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Directors’ Fee Deferral Unit Plan permits its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2013, 2012 and 2011, 7,623, 10,597 and 8,184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2013:</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22,108,635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389,846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7,002,736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(8,054,387)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20,751,829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920,791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8,594,744</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63,836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(581,411)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Vested/Exchanged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(7,284,031)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34.71</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21,481,131</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204,496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442,242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5,174,810</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37.21</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46,938</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(9,768,849)</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34.65</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16,618,192</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251,434</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years ended December 31, 2013, 2012 and 2011, 9,768,849, 7,284,031 and 8,054,387 RSUs vested or were exchanged, respectively (including,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2012, 1,523,642 RSUs that were exchanged for shares of restricted Class A common stock and 958,213 RSUs that were modified through forward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into a liability award of $28,612). As of the modification date in 2012, the Company recorded a liability in “accrued compensation and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$26,922 related to such liability award and an offsetting reduction to “additional paid-in-capital”. Such liability awards were settled on March 1, 2013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$28,612. During the year ended December 31, 2013, compensation expense of $1,690 was recorded for such liability awards. In connection with the vested RSUs,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satisfied its minimum statutory tax withholding requirements in lieu of issuing 3,651,050, 1,471,814 and 2,353,561 shares of Class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the years ended December 31, 2013, 2012 and 2011, respectively. Accordingly, 6,117,799, 3,330,362, and 5,700,826 shares of Class A common stock held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were delivered during the years ended December 31, 2013, 2012 and 2011, respectively.</w:t>
      </w:r>
    </w:p>
    <w:p>
      <w:pPr>
        <w:spacing w:after="0" w:line="165" w:lineRule="exact"/>
        <w:rPr>
          <w:sz w:val="20"/>
          <w:szCs w:val="20"/>
          <w:color w:val="auto"/>
        </w:rPr>
      </w:pPr>
    </w:p>
    <w:p>
      <w:pPr>
        <w:jc w:val="center"/>
        <w:ind w:right="320"/>
        <w:spacing w:after="0" w:line="370" w:lineRule="auto"/>
        <w:rPr>
          <w:sz w:val="20"/>
          <w:szCs w:val="20"/>
          <w:color w:val="auto"/>
        </w:rPr>
      </w:pPr>
      <w:r>
        <w:rPr>
          <w:rFonts w:ascii="Arial" w:cs="Arial" w:eastAsia="Arial" w:hAnsi="Arial"/>
          <w:sz w:val="15"/>
          <w:szCs w:val="15"/>
          <w:color w:val="auto"/>
        </w:rPr>
        <w:t>As of December 31, 2013, unrecognized RSU compensation expense, adjusted for estimated forfeitures, was approximately $156,537, with such unrecognized compensation expense expected to be recognized over a weighted average period of approximately 1.0 years subsequent to December 31, 2013.</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327,238</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(327,238)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1"/>
        </w:trPr>
        <w:tc>
          <w:tcPr>
            <w:tcW w:w="816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 (a)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2,100,965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(21,178)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(202,510)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r>
      <w:tr>
        <w:trPr>
          <w:trHeight w:val="221"/>
        </w:trPr>
        <w:tc>
          <w:tcPr>
            <w:tcW w:w="816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(37,782)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33.37</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(1,728,509)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22"/>
        </w:trPr>
        <w:tc>
          <w:tcPr>
            <w:tcW w:w="816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335" w:lineRule="auto"/>
        <w:tabs>
          <w:tab w:leader="none" w:pos="4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Includes, during the year ended December 31, 2012, as described above, 1,523,642 shares of restricted Class A common stock issued in exchange for 1,523,642 previously granted RSUs at a grant date fair value of $35.95 per share. The vesting terms of such restricted Class A common stock issued were substantially the same as those of the original awards exchanged. There was no incremental compensation cost incurred as a result of the exchanges.</w:t>
      </w:r>
    </w:p>
    <w:p>
      <w:pPr>
        <w:spacing w:after="0" w:line="8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As mentioned above, during 2012, the Company exchanged 1,523,642 RSUs for shares of restricted Class A common stock.</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2013 and 2012, the Company satisfied its minimum statutory tax withholding requirements in lieu of delivering 18,599 and 28,129 shares of Class A common stock during such respective years. Accordingly, 1,709,910 and 174,381 shares of Class A common stock held by the Company were delivered during the years ended December 31, 2013 and 2012, respectively.</w:t>
      </w:r>
    </w:p>
    <w:p>
      <w:pPr>
        <w:spacing w:after="0" w:line="143"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dividends paid on Class A common stock during the period, which will vest concurrently with the underlying restricted stock award. At December 31, 2013, unrecognized restricted stock expense was approximately $7,361, with such expense to be recognized over a weighted average period of approximately 1.2 years subsequent to December 31,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year ended December 31,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2014.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the PRSUs granted in 2013, three times the target number in the event of a substantial increase in 2014 in our revenue (adjusted for certain items)). The PRSUs granted in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generally include dividend participation rights. In October 2013, the Company modified the outstanding PRSUs that may vest above the level of two times target to add incremental performance criteria. Pursuant to the modification, in addition to the previously applicable performance criteria, the Company would also have to achieve a particular level of fiscal year 2014 revenue (adjusted for certain items) in order for the PRSUs to vest between a level of two to three times the target level.</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December 31, 2013, the total estimated unrecognized compensation expense for PRSUs granted in 2013 was approximately $19,430, and the Company expects to amortize such expense over a weighted-average period of approximately 1.4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Lazard Fund Interests and other similar deferred compensation arrangements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(24,006)</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(58,023)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14,099</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64,679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64,679</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(10,646)</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(33,476)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47,445</w:t>
            </w:r>
          </w:p>
        </w:tc>
        <w:tc>
          <w:tcPr>
            <w:tcW w:w="7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97,593</w:t>
            </w: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1.5 years subsequent to December 31, 2013.</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consolidated statements of operations for the years ended December 31, 2013 and 2012:</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$62,197</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$41,209</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14,099</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48,766</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580" w:right="1080" w:hanging="5572"/>
        <w:spacing w:after="0" w:line="440" w:lineRule="auto"/>
        <w:tabs>
          <w:tab w:leader="none" w:pos="4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years ended December 31, 2013 and 2012, of $2,665 and $3,495, respectively. 118</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2014</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2014, the Company granted approximately $275,000 of deferred incentive awards (excluding PRSUs) to eligible employees. These grants included: RSUs or shares of restricted Class A common stock; deferred incentive awards that allow eligible employees the choice of receiving a portion of their award in a combination of (i) Lazard Fund Interests and (ii) additional RSUs or shares of restricted Class A common stock; deferred cash awards; and a portion of fund managers’ year-end incentive compensation that is reinvested in certain asset management funds. In addition, the Company granted approximately $16,000 of PRSUs (valued at the target payout level).</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RSUs, restricted Class A common stock and Lazard Fund Interests granted each provide for one-third vesting on March 1, 2016 and the remaining two-thirds vesting on March 1, 2017. The PRSUs granted provide for cliff vesting in March 2017,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237"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Management also evaluates from time to time whether to make voluntary contributions to the plans. The Company did not make a contribution to the U.S. pension plans during the year ended December 31, 2013. The Company does not expect to make a contribution to the U.S. pension plans during the year ending December 31, 2014.</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was approximately $16,900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$16,500 at December 31, 2013 and 2012 and has been recorded in “cash deposited with clearing organizations and other segregated cash” on the accompanying consolidated statements of financial condition. Income on the account security arrangement accretes to the Company and is recorded in interest income.</w:t>
      </w:r>
    </w:p>
    <w:p>
      <w:pPr>
        <w:spacing w:after="0" w:line="62"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During the year ended December 31, 2013, the Company contributed 1.4 million British pounds to these U.K. pension plans and expects to contribute a similar amount during the year ending December 31, 2014. Additionally, during the year ended December 31, 2013, no contributions were made to other non-U.S. pension plans. The Company expects to contribute approximately $4,800 to these other non-U.S. pension plans during the year ending December 31, 2014.</w:t>
      </w:r>
    </w:p>
    <w:p>
      <w:pPr>
        <w:spacing w:after="0" w:line="8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656,025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575,031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5,668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(23,258)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(26,420)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709,850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656,025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607,705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568,911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(23,258)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(26,420)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643,844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Funded (deficit)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(66,006)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2013 and 2012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(66,154)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(50,979)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(5,080)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(5,668)</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(66,006)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$30,448 and $25,989 at December 31, 2013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respectively) 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159,575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143,133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168,476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154,475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5580"/>
              <w:spacing w:after="0"/>
              <w:rPr>
                <w:sz w:val="20"/>
                <w:szCs w:val="20"/>
                <w:color w:val="auto"/>
              </w:rPr>
            </w:pPr>
            <w:r>
              <w:rPr>
                <w:rFonts w:ascii="Arial" w:cs="Arial" w:eastAsia="Arial" w:hAnsi="Arial"/>
                <w:sz w:val="18"/>
                <w:szCs w:val="18"/>
                <w:color w:val="auto"/>
              </w:rPr>
              <w:t>120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$26,200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$25,231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$617,644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$582,474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$643,844</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$607,705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Arial" w:cs="Arial" w:eastAsia="Arial" w:hAnsi="Arial"/>
                <w:sz w:val="18"/>
                <w:szCs w:val="18"/>
                <w:color w:val="auto"/>
                <w:w w:val="92"/>
              </w:rPr>
              <w:t>$29,427</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$35,276</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$680,423</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$620,749</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$709,850</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$656,025</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Arial" w:cs="Arial" w:eastAsia="Arial" w:hAnsi="Arial"/>
                <w:sz w:val="18"/>
                <w:szCs w:val="18"/>
                <w:color w:val="auto"/>
                <w:w w:val="92"/>
              </w:rPr>
              <w:t>$29,427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$35,276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$680,423</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$620,749</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$709,850</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$656,025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the return on plan assets, benefits paid, contributions and other amounts recognized in AOCI for the years ended December 31, 2013,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1"/>
              </w:rPr>
              <w:t>Pension Plans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Medical Plan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7"/>
          </w:tcPr>
          <w:p>
            <w:pPr>
              <w:jc w:val="center"/>
              <w:ind w:left="236"/>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940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27,219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28,266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(27,078)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(26,657)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(30,490)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2,843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Settlement loss (a)</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0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41,353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33,882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29,870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23,258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26,420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21,718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changes in plan assets and benefit obligations recognized in AOCI (excluding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tax benefit of $4,459, $11,805 and $11,495 during the years ended December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2013, 2012 and 2011,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17,251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50,209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51,703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(3,691)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47,394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47,975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21,616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49,639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year ended December 31, 2012, the Company’s pension plans in the U.S. made lump sum benefit payments in excess of the plans’ annual service and interest costs, which, under U.S. GAAP, requires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plans’ obligations and assets be remeasured. The remeasurement of the plans resulted in the recognition of actuarial losses totaling $2,167 recorded in “other comprehensive income (loss), net of tax” (“OCI”), which, combined with a settlement loss of $1,135 recognized in “compensation and benefits” expense, resulted in a net charge to OCI of $1,032.</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2013 that are expected to be recognized as components of net periodic benefit cost (credit) for the year ending December 31, 2014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Pension</w:t>
            </w:r>
          </w:p>
        </w:tc>
        <w:tc>
          <w:tcPr>
            <w:tcW w:w="44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9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$2,954</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$4,451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$4,361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Pension Plans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4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4.3%</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3.3%</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880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(610)</w:t>
            </w:r>
          </w:p>
        </w:tc>
      </w:tr>
      <w:tr>
        <w:trPr>
          <w:trHeight w:val="356"/>
        </w:trPr>
        <w:tc>
          <w:tcPr>
            <w:tcW w:w="2880" w:type="dxa"/>
            <w:vAlign w:val="bottom"/>
          </w:tcPr>
          <w:p>
            <w:pPr>
              <w:spacing w:after="0"/>
              <w:rPr>
                <w:sz w:val="24"/>
                <w:szCs w:val="24"/>
                <w:color w:val="auto"/>
              </w:rPr>
            </w:pPr>
          </w:p>
        </w:tc>
        <w:tc>
          <w:tcPr>
            <w:tcW w:w="4100" w:type="dxa"/>
            <w:vAlign w:val="bottom"/>
          </w:tcPr>
          <w:p>
            <w:pPr>
              <w:jc w:val="right"/>
              <w:ind w:right="1632"/>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4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$ 23,736</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2015</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25,095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26,721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2019-2023</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163,107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2013 and 2012,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in accordance with fair value measurement disclosure requirements:</w:t>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27,762</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44,728</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323,812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337,976</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183,779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183,779</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273,989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366,935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643,844</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2012</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29,337</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40,334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322,149</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257,652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347,625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Activity in the fair value of the pension plans’ Level 3 debt and alternative investment funds for the years ended December 31, 2013 and 2012 consisted of net unrealized/realized gains of $434 and $443, respectively, favorable foreign currency translation adjustments of $58 and $77, respectively, and in 2012, purchases of $131.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Level 1 equity funds are $81,633 and $106,873 as of December 31, 2013 and 2012, respectively, that are invested in funds managed by LAM.</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Consistent with the plans’ investment strategies, at December 31, 2013 and 2012, the Company’s U.S. pension plan had 54% and 51%, respectively, of the plans’ assets invested in Level 1 equity funds and 46% and 49%, respectively, invested in Level 1 debt funds. The Company’s non-U.S. pension plans at December 31, 2013 and 2012 had 32% and 30%, respectively, of the plans’ assets invested in equities and equity funds that are primarily Level 1 assets; 60% and 61%, respectively of the plans’ assets invested in debt and debt funds that are primarily Level 2 assets, and 8% and 9%, respectively, of the plans’ assets invested in cash, which is a Level 1 asset, or in alternative investment funds that are primarily Level 2 assets.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assets classified as Level 2 assets are primarily valued based on inputs other than quoted prices that are directly observable or derived principally from, or corroborated by, market data. The fair value of plan investments classified as Level 3 assets are primarily based on NAV determined based on information provided by external fund administrators.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$11,778, $13,070 and $10,944 for the years ended December 31, 2013, 2012 and 2011,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Cost Saving Initiatives</w:t>
      </w:r>
      <w:r>
        <w:rPr>
          <w:rFonts w:ascii="Arial" w:cs="Arial" w:eastAsia="Arial" w:hAnsi="Arial"/>
          <w:sz w:val="18"/>
          <w:szCs w:val="18"/>
          <w:color w:val="auto"/>
        </w:rPr>
        <w:t>—In October 2012, the Company announced cost saving initiatives (the “Cost Saving Initiatives”) relating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year ended December 31,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5,417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47,779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$ 16,689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8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2013: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$121,879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$ 125,311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obligations pursuant to the Cost Saving Initiatives during 2013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9"/>
              </w:rPr>
              <w:t>Accrued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0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00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New charges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51,399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13,304</w:t>
            </w:r>
          </w:p>
        </w:tc>
        <w:tc>
          <w:tcPr>
            <w:tcW w:w="7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64,703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(12,007)</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(3,387)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(15,394)</w:t>
            </w: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(73,660)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(6,275)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(79,935)</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$ 17,216</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60"/>
          </w:cols>
          <w:pgMar w:left="24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2013, 2012 and 2011, and a reconciliation of the U.S. federal statutory income tax rate to the Company’s effective tax rates for such years, are shown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 (3,678)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41,084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27,650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35,885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7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35,557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37,726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Deferred:</w:t>
            </w:r>
          </w:p>
        </w:tc>
        <w:tc>
          <w:tcPr>
            <w:tcW w:w="7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(3,330)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Foreign</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(4,520)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(1,127)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(2,832)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(6,121)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14,454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(4,457)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51,693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31,100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44,940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of noncontrolling interests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Share-based incentive compensation</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Foreign source income not subject to U.S. income tax</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Change in U.S. federal valuation allowance</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net</w:t>
            </w:r>
          </w:p>
        </w:tc>
        <w:tc>
          <w:tcPr>
            <w:tcW w:w="7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21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40"/>
          </w:cols>
          <w:pgMar w:left="240" w:top="459"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440"/>
              <w:spacing w:after="0"/>
              <w:rPr>
                <w:sz w:val="20"/>
                <w:szCs w:val="20"/>
                <w:color w:val="auto"/>
              </w:rPr>
            </w:pPr>
            <w:r>
              <w:rPr>
                <w:rFonts w:ascii="Arial" w:cs="Arial" w:eastAsia="Arial" w:hAnsi="Arial"/>
                <w:sz w:val="18"/>
                <w:szCs w:val="18"/>
                <w:color w:val="auto"/>
                <w:w w:val="91"/>
              </w:rPr>
              <w:t>Basis adjustments (primarily as a result of the separation and recapitalization transactions that occurred during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660"/>
              <w:spacing w:after="0"/>
              <w:rPr>
                <w:sz w:val="20"/>
                <w:szCs w:val="20"/>
                <w:color w:val="auto"/>
              </w:rPr>
            </w:pPr>
            <w:r>
              <w:rPr>
                <w:rFonts w:ascii="Arial" w:cs="Arial" w:eastAsia="Arial" w:hAnsi="Arial"/>
                <w:sz w:val="18"/>
                <w:szCs w:val="18"/>
                <w:color w:val="auto"/>
              </w:rPr>
              <w:t>2005 and from secondary offerings)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739,059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820,229</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250,413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243,564</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348,433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308,233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58,273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30,626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1,404,347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1,406,056</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(1,225,305)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(1,238,765)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179,042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167,291</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33,715</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30,042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70,394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adjustments recorded as of December 31, 2013 and 2012 are the result of:</w:t>
      </w:r>
    </w:p>
    <w:p>
      <w:pPr>
        <w:spacing w:after="0" w:line="90" w:lineRule="exact"/>
        <w:rPr>
          <w:sz w:val="20"/>
          <w:szCs w:val="20"/>
          <w:color w:val="auto"/>
        </w:rPr>
      </w:pPr>
    </w:p>
    <w:p>
      <w:pPr>
        <w:ind w:left="780" w:right="420" w:hanging="326"/>
        <w:spacing w:after="0" w:line="332"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purchases and redemptions of historical and working member interests consummated in connection with the separation and recapitalization of the Company, which resulted in deferred tax assets of $123,027 and $158,459 at December 31, 2013 and 2012, respectively,</w:t>
      </w:r>
    </w:p>
    <w:p>
      <w:pPr>
        <w:spacing w:after="0" w:line="4" w:lineRule="exact"/>
        <w:rPr>
          <w:rFonts w:ascii="Arial" w:cs="Arial" w:eastAsia="Arial" w:hAnsi="Arial"/>
          <w:sz w:val="16"/>
          <w:szCs w:val="16"/>
          <w:color w:val="auto"/>
        </w:rPr>
      </w:pPr>
    </w:p>
    <w:p>
      <w:pPr>
        <w:ind w:left="780" w:right="580" w:hanging="326"/>
        <w:spacing w:after="0" w:line="332"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tax basis step-ups resulting from the exchange of LAZ-MD exchangeable interests and from secondary offerings, and associated with the LAM Merger, which in the aggregate resulted in deferred tax assets of $603,552 and $638,993 at December 31, 2013 and 2012, respectively,</w:t>
      </w:r>
    </w:p>
    <w:p>
      <w:pPr>
        <w:spacing w:after="0" w:line="4" w:lineRule="exact"/>
        <w:rPr>
          <w:rFonts w:ascii="Arial" w:cs="Arial" w:eastAsia="Arial" w:hAnsi="Arial"/>
          <w:sz w:val="16"/>
          <w:szCs w:val="16"/>
          <w:color w:val="auto"/>
        </w:rPr>
      </w:pPr>
    </w:p>
    <w:p>
      <w:pPr>
        <w:ind w:left="780" w:right="34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basis step-up for U.S. income tax purposes on certain U.K. assets, which resulted in deferred tax assets of $6,538 and $16,083 at December 31, 2013 and 2012, respectively,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tax basis step-up for payments made under the tax receivable agreement of $5,942 and $6,694 at December 31, 2013 and 2012, respectively.</w:t>
      </w:r>
    </w:p>
    <w:p>
      <w:pPr>
        <w:spacing w:after="0" w:line="194"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Although we have been profitable on a consolidated basis in the last three years, certain of our tax-paying entities have individually experienced minimal profits on a cumulative three-year basis and losses in 2012, primarily due to permanent differences between net income and taxable income at such entities. Considering the recent operating results of such entities, we have recorded valuation allowances on our deferred tax assets of $1,225,305 and $1,238,765 as of December 31, 2013 and December 31, 2012, respectively. The valuation allowance at December 31, 2013 reflects a net decrease of $13,460 from the balance of $1,238,765 at December 31, 2012. This net decrease in the valuation allowance for the year ended December 31, 2013 consists of additions of $13,375 and $22,010 for the amounts charged to income tax expense and stockholders’ equity, respectively, and a deduction of $48,845 which was credited to income tax expense.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Taking into account all available information, we cannot determine that it is more likely than not that deferred tax assets will be realized. If the cumulative positive information outweighs the negative, including among other matters the achievement by the relevant tax-paying entities of sustainable levels of profitability, the evaluation of the realizability of the deferred tax assets could change and a significant amount of the valuation allowance could be released in whole or in part. This could occur at some point or points over the next few years, including as early as the end of 2014. If any significant valuation allowance reduction were to occur, we would likely have a negative effective tax rate in the period in which such reduction occurs.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were recorded at December 31, 2013 primarily relating to:</w:t>
      </w:r>
    </w:p>
    <w:p>
      <w:pPr>
        <w:spacing w:after="0" w:line="51" w:lineRule="exact"/>
        <w:rPr>
          <w:sz w:val="20"/>
          <w:szCs w:val="20"/>
          <w:color w:val="auto"/>
        </w:rPr>
      </w:pPr>
    </w:p>
    <w:p>
      <w:pPr>
        <w:ind w:left="900" w:right="32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$74,619, primarily in the U.K., France, Australia, Italy, Germany, Singapore and Italy;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carryforwards of approximately $266,243 in the U.S., which begin expiring in 2029.</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2013 and 2012 of $30,200 and $19,900 are not included in the table above. The impact of such excess tax deductions will be recorded in stockholders’ equity if and when such deferred tax assets are ultimately realized.</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2009.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2013, 2012 and 2011 is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6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Balance, January 1 (excluding interest and penalties of $14,799, $8,454 and $7,099, respectively)</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$55,947</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62,200</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$58,605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years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Current year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17,596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19,690</w:t>
            </w:r>
          </w:p>
        </w:tc>
        <w:tc>
          <w:tcPr>
            <w:tcW w:w="4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Tax positions taken during prior years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(385)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(5,397)</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 with tax authorities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(12,077)</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Lapse of the applicable statute of limitations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(5,083)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(9,862)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December 31 (excluding interest and penalties of $12,200, $14,799 and $8,454,</w:t>
            </w: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62,905</w:t>
            </w:r>
          </w:p>
        </w:tc>
        <w:tc>
          <w:tcPr>
            <w:tcW w:w="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55,947</w:t>
            </w:r>
          </w:p>
        </w:tc>
        <w:tc>
          <w:tcPr>
            <w:tcW w:w="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62,200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1752"/>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with respect to unrecognized tax benefits is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88"/>
        </w:trPr>
        <w:tc>
          <w:tcPr>
            <w:tcW w:w="69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3"/>
              </w:rPr>
              <w:t>Unrecognized tax benefits at the end of the year that, if recognized, would favorably affect the</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$12,200, $14,799 and $8,454,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$36,272</w:t>
            </w: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44,452</w:t>
            </w:r>
          </w:p>
        </w:tc>
        <w:tc>
          <w:tcPr>
            <w:tcW w:w="5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44,545</w:t>
            </w:r>
          </w:p>
        </w:tc>
        <w:tc>
          <w:tcPr>
            <w:tcW w:w="100" w:type="dxa"/>
            <w:vAlign w:val="bottom"/>
            <w:shd w:val="clear" w:color="auto" w:fill="CCEEFF"/>
          </w:tcPr>
          <w:p>
            <w:pPr>
              <w:spacing w:after="0"/>
              <w:rPr>
                <w:sz w:val="19"/>
                <w:szCs w:val="19"/>
                <w:color w:val="auto"/>
              </w:rPr>
            </w:pPr>
          </w:p>
        </w:tc>
      </w:tr>
      <w:tr>
        <w:trPr>
          <w:trHeight w:val="208"/>
        </w:trPr>
        <w:tc>
          <w:tcPr>
            <w:tcW w:w="6960" w:type="dxa"/>
            <w:vAlign w:val="bottom"/>
          </w:tcPr>
          <w:p>
            <w:pPr>
              <w:spacing w:after="0"/>
              <w:rPr>
                <w:sz w:val="20"/>
                <w:szCs w:val="20"/>
                <w:color w:val="auto"/>
              </w:rPr>
            </w:pPr>
            <w:r>
              <w:rPr>
                <w:rFonts w:ascii="Arial" w:cs="Arial" w:eastAsia="Arial" w:hAnsi="Arial"/>
                <w:sz w:val="18"/>
                <w:szCs w:val="18"/>
                <w:color w:val="auto"/>
                <w:w w:val="93"/>
              </w:rPr>
              <w:t>Offset to deferred tax assets for unrecognized tax benefits that, if recognized, would not affect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960" w:type="dxa"/>
            <w:vAlign w:val="bottom"/>
          </w:tcPr>
          <w:p>
            <w:pPr>
              <w:ind w:left="220"/>
              <w:spacing w:after="0"/>
              <w:rPr>
                <w:sz w:val="20"/>
                <w:szCs w:val="20"/>
                <w:color w:val="auto"/>
              </w:rPr>
            </w:pPr>
            <w:r>
              <w:rPr>
                <w:rFonts w:ascii="Arial" w:cs="Arial" w:eastAsia="Arial" w:hAnsi="Arial"/>
                <w:sz w:val="18"/>
                <w:szCs w:val="18"/>
                <w:color w:val="auto"/>
              </w:rPr>
              <w:t>the effective tax rate</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w w:val="89"/>
              </w:rPr>
              <w:t>$38,833</w:t>
            </w: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26,294</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26,109</w:t>
            </w:r>
          </w:p>
        </w:tc>
        <w:tc>
          <w:tcPr>
            <w:tcW w:w="100" w:type="dxa"/>
            <w:vAlign w:val="bottom"/>
          </w:tcPr>
          <w:p>
            <w:pPr>
              <w:spacing w:after="0"/>
              <w:rPr>
                <w:sz w:val="19"/>
                <w:szCs w:val="19"/>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penalties recognized in current income tax expense (after giving effect to the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$7,326, $3,130 and $1,785, respectively)</w:t>
            </w:r>
          </w:p>
        </w:tc>
        <w:tc>
          <w:tcPr>
            <w:tcW w:w="1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88"/>
              </w:rPr>
              <w:t>$ (2,599)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5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anticipates that it is reasonably possible that approximately $8,600 of unrecognized tax benefits recorded at December 31, 2013 may be recognized within 12 months as a result of the lapse of the statute of limitations in various tax jurisdictions.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the subsequent exchanges through December 31, 2013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Included in our deferred tax assets as of December 31, 2013 are approximately $652,000 related to certain basis step-up assets and approximately $257,000 of net operating losses generated by the amortization of such step-up assets, all of which are subject to the tax receivable agreement dated as of May 10, 2005 with LFCM Holdings. The tax receivable agreement requires the Company to pay LFCM Holdings 85% of the cash savings, if any, in U.S. federal, state and local income tax or franchise tax that the Company actually realizes as a result of these increases in tax basis. The Company records provisions for payments under the tax receivable agreement to the extent they are probable and estimable. During the years ended December 31, 2013 and 2011, the Company recorded a provision pursuant to tax receivable agreement of $1,249 and $429, respectively, in “operating expenses—other” on the consolidated statements of operations (no provision was required for the year ended December 31, 2012).</w:t>
      </w:r>
    </w:p>
    <w:p>
      <w:pPr>
        <w:spacing w:after="0" w:line="24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years ended December 31, 2013, 2012 and 2011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years as in the basic net income per share calculation described above, plus,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as in the basic net income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years ended December 31, 2013, 2012 and 2011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6"/>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154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2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$84,309</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89"/>
              </w:rPr>
              <w:t>Add (deduct) - adjustment associated with Class A common stock issuable on a non-contingent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basis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84,316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income relating to interest expense and changes in net income attributable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to noncontrolling interests resulting from assumed Class A common stock issuances in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connection with share-based incentive compensation, convertible debt, convertible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and exchangeable interests, net of tax</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 attributable to Lazard Ltd - diluted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$161,277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$84,687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120,096,305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116,163,821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115,005,676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5"/>
              </w:rPr>
              <w:t>Add - adjustment for shares of Class A common stock issuable on a non-contingent basis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757,962</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790,168</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120,854,267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116,953,989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Weighted average number of incremental shares of Class A common stock issuable from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share-based incentive compensation, convertible debt, convertible preferred stock and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12,882,812</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12,371,633</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19,597,505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133,737,079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129,325,622</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137,629,525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19.</w:t>
        <w:tab/>
        <w:t>RELATED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2"/>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8"/>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55"/>
        </w:trPr>
        <w:tc>
          <w:tcPr>
            <w:tcW w:w="20" w:type="dxa"/>
            <w:vAlign w:val="bottom"/>
          </w:tcPr>
          <w:p>
            <w:pPr>
              <w:spacing w:after="0"/>
              <w:rPr>
                <w:sz w:val="4"/>
                <w:szCs w:val="4"/>
                <w:color w:val="auto"/>
              </w:rPr>
            </w:pPr>
          </w:p>
        </w:tc>
        <w:tc>
          <w:tcPr>
            <w:tcW w:w="87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LFCM Holdings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LFCM Holdings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5,031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former and current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discussed below.</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former and current employees of the separated businesses. The Company retained all accrued liabilities under, and assets of, the pension plans in the U.S. and the U.K. as well as the 401(k) plan accounts of the inactive employees of LFCM Holdings and its subsidiaries.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administrative services agreement, dated as of May 10, 2005, by and among LAZ-MD Holdings, LFCM Holdings and Lazard Group,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earlier if there is a change of control of either party or the business alliance provided in the business alliance agreement entered into on May 10, 2005, by and among LAZ-MD Holdings, LFCM Holdings and Lazard Group (described below) expires or is terminated. The party receiving a service may also terminate a service earlier upon 180 days’ notice as long as the receiving party pays the service provider an additional three months of service fee for the terminated service.</w:t>
      </w:r>
    </w:p>
    <w:p>
      <w:pPr>
        <w:spacing w:after="0" w:line="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LFCM Holdings elects to terminate the agreement in connection with any such renewal or elects to terminate on account of a change of control of the other party. As of December 31, 2013, the date by which either party was required to provide notice of non-renewal had been tolled, and neither party had given notice of non-renewal or termination.</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years ended December 31, 2013, 2012 and 2011, amounts recorded by Lazard Group relating to the administrative services agreement amounted to $1,456, $7,637 and $10,277, respectively, and net referral fees for underwriting, private placement, M&amp;A and restructuring transactions under the business alliance agreement amounted to $(1,646), $5,947 and $18,862,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Receivables from LFCM Holdings and its subsidiaries as of December 31, 2013 and 2012 include $3,112 and $14,299, respectively, related to administrative and support services and other receivables which include sublease income and reimbursement of expenses incurred on behalf of LFCM Holdings, and $4,682 and $6,230, respectively, related to referral fees for underwriting and private placement transactions. Payables to LFCM Holdings and its subsidiaries at December 31, 2013 and 2012 include $3,051 and $2,943, respectively, primarily relating to referral fees for Financial Advisory transactions, and, at December 31, 2013, $1,249 related to obligations pursuant to the tax receivable agreement (see Note 17 of Notes to Consolidated Financial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2013, 2012 and 2011, amounts recorded by Lazard Group relating to referral fees for restructuring and M&amp;A transactions and fee sharing with MBA Lazard Holdings S.A. and its affiliates (“MBA”), an Argentina-based group in which the Company has a 50% ownership interest, amounted to $(2,221), $1,506 and $1,866, respectively, and are reported in advisory fee revenue.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receivables and payables at December 31, 2013 and 2012 primarily relate to referral fees for M&amp;A and restructuring transactions with MBA and at December 31, 2012 a related party loan.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40"/>
          </w:cols>
          <w:pgMar w:left="240" w:top="459" w:right="3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2013, 2012 and 2011, such charges amounted to $1,000, $1,000 and $750,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Through February 2009, the Company had prepaid $5,500 of the option exercise price related to the North American business of LAI. The remaining option to purchase the North American fund management activities is currently exercisable at any time prior to May 10, 2014, for a purchase price of $2,500.</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Accordingly, during such period the Company wrote-off the $5,500 previously capitalized cost associated with the prepayment of the option which is included within “other” operating expenses on the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December 31, 2013, LFNY’s regulatory net capital was $110,317, which exceeded the minimum requirement by $106,944.</w:t>
      </w:r>
    </w:p>
    <w:p>
      <w:pPr>
        <w:spacing w:after="0" w:line="11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December 31, 2013, the aggregate regulatory net capital of the U.K. Subsidiaries was $77,786, which exceeded the minimum requirement by $63,349.</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December 31, 2013, the consolidated regulatory net capital of CFLF was $196,109, which exceeded the minimum requirement set for regulatory capital levels by $162,915.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2013, for those subsidiaries with regulatory capital requirements, their aggregate net capital was $113,118, which exceeded the minimum required capital by $78,848.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2013, 2012 and 2011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the years ended December 31, 2013, 2012 and 2011, no individual client constituted more than 10% of the net revenue of any of the Company’s business segments.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2013(b)</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2012(b)</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980,577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1,049,090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959,668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1,057,620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714,708</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793,007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767,699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1,039,130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704,045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659,502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628,945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335,085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236,758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612,018</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566,677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583,524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(34,355)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71,441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(139,187)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(104,343)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1,684,411</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1,627,209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1,730,713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1,985,352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1,912,448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1,829,512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1,768,545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1,788,563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1,594,013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216,807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3,011,137</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2,986,893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3,081,936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2013</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26,938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21,895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14,339</w:t>
            </w:r>
          </w:p>
        </w:tc>
        <w:tc>
          <w:tcPr>
            <w:tcW w:w="8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34,750</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30,855</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24,580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 Initiatives announced by the Company in 2013 and 2012, and the impact on each of the Company’s business segments.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1,217,014</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1,172,566</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1,083,457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281,740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265,523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1,985,352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1,912,448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1,829,512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(37,329)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(20,812)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216,807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123,885</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1,529,695</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1,507,331</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1,630,547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824,712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808,655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3,011,137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2,986,893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3,081,936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136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2013 and 2012.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2013 Fiscal 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First(a)</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Second(a)</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Fourth(b)</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(dollars in thousands, except per share data)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$401,903</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$ 490,405</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$ 480,354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$ 612,690</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$ 1,985,352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380,306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449,467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399,236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539,536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1,768,545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216,807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31,921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62,748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52,796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165,114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31,353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60,282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53,217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Net income per share of common stock:</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 Initiatives.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 for information regarding the debt refinancing.</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2012 Fiscal 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First</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2"/>
              </w:rPr>
              <w:t>Second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7"/>
              </w:rPr>
              <w:t>Fourth(a)</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(dollars in thousands, except per share data)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$486,039</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$ 436,910</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$ 428,806</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$ 560,693</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$ 1,912,448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448,216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392,377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382,080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565,890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1,788,563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123,885</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29,056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34,162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92,785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25,552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30,821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See Note 16 of Notes to Consolidated Financial Statements for information regarding the Cost Saving Initiatives announced in the fourth quarter of 2012.</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2013 (the end of the period covered by this Annual Report on Form 10-K). Based on that evaluation, our Chief Executive Officer and Chief Financial Officer have concluded that, as of the end of the period covered by this Annual Report on Form</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20"/>
          </w:cols>
          <w:pgMar w:left="24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experts, as well as information regarding our Code of Business Conduct and Ethics that applies to our Chief Executive Officer and senior financial officers, will be presented in Lazard Ltd’s definitive proxy statement for its 2014 annual general meeting of shareholders, which will be held in April 2014, and is incorporated herein by reference. Information regarding our executive officers is included in Part I of this Annual Report on Form 10-K under the caption “Executive Officers of the Registrant.”</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2014 annual general meeting of shareholders,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2014 annual general meeting of shareholders, which will be held in April 2014,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shareholder matters will be presented in Lazard Ltd’s definitive proxy statement for its 2014 annual general meeting of shareholders, which will be held in April 2014,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2013 regarding securities issued under our 2005 Equity Incentive Plan and 2008 Incentive Compensation Plan.</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right="20" w:hanging="215"/>
        <w:spacing w:after="0" w:line="268" w:lineRule="auto"/>
        <w:rPr>
          <w:sz w:val="20"/>
          <w:szCs w:val="20"/>
          <w:color w:val="auto"/>
        </w:rPr>
      </w:pPr>
      <w:r>
        <w:rPr>
          <w:rFonts w:ascii="Arial" w:cs="Arial" w:eastAsia="Arial" w:hAnsi="Arial"/>
          <w:sz w:val="18"/>
          <w:szCs w:val="18"/>
          <w:color w:val="auto"/>
        </w:rPr>
        <w:t>Equity compensation plans approved by security holders</w:t>
      </w:r>
    </w:p>
    <w:p>
      <w:pPr>
        <w:spacing w:after="0" w:line="199" w:lineRule="exact"/>
        <w:rPr>
          <w:sz w:val="20"/>
          <w:szCs w:val="20"/>
          <w:color w:val="auto"/>
        </w:rPr>
      </w:pPr>
    </w:p>
    <w:p>
      <w:pPr>
        <w:ind w:left="220" w:right="340" w:hanging="215"/>
        <w:spacing w:after="0" w:line="266" w:lineRule="auto"/>
        <w:rPr>
          <w:sz w:val="20"/>
          <w:szCs w:val="20"/>
          <w:color w:val="auto"/>
        </w:rPr>
      </w:pPr>
      <w:r>
        <w:rPr>
          <w:rFonts w:ascii="Arial" w:cs="Arial" w:eastAsia="Arial" w:hAnsi="Arial"/>
          <w:sz w:val="18"/>
          <w:szCs w:val="18"/>
          <w:color w:val="auto"/>
        </w:rPr>
        <w:t>Equity compensation plans not approved by security holders</w:t>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Plan</w:t>
            </w:r>
          </w:p>
        </w:tc>
        <w:tc>
          <w:tcPr>
            <w:tcW w:w="21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Options,</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the</w:t>
            </w:r>
          </w:p>
        </w:tc>
      </w:tr>
      <w:tr>
        <w:trPr>
          <w:trHeight w:val="161"/>
        </w:trPr>
        <w:tc>
          <w:tcPr>
            <w:tcW w:w="20" w:type="dxa"/>
            <w:vAlign w:val="bottom"/>
          </w:tcPr>
          <w:p>
            <w:pPr>
              <w:spacing w:after="0"/>
              <w:rPr>
                <w:sz w:val="14"/>
                <w:szCs w:val="14"/>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Category</w:t>
            </w:r>
          </w:p>
        </w:tc>
        <w:tc>
          <w:tcPr>
            <w:tcW w:w="21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Warrants and Rights</w:t>
            </w:r>
          </w:p>
        </w:tc>
        <w:tc>
          <w:tcPr>
            <w:tcW w:w="20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Warrants and Rights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Second Column)</w:t>
            </w:r>
          </w:p>
        </w:tc>
      </w:tr>
      <w:tr>
        <w:trPr>
          <w:trHeight w:val="201"/>
        </w:trPr>
        <w:tc>
          <w:tcPr>
            <w:tcW w:w="2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2008 Incentive</w:t>
            </w:r>
          </w:p>
        </w:tc>
        <w:tc>
          <w:tcPr>
            <w:tcW w:w="6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18,760,475</w:t>
            </w:r>
          </w:p>
        </w:tc>
        <w:tc>
          <w:tcPr>
            <w:tcW w:w="840" w:type="dxa"/>
            <w:vAlign w:val="bottom"/>
          </w:tcPr>
          <w:p>
            <w:pPr>
              <w:spacing w:after="0"/>
              <w:rPr>
                <w:sz w:val="19"/>
                <w:szCs w:val="19"/>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20,169,352</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2005 Equity</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Incentive</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74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(2)</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40,405</w:t>
            </w:r>
            <w:r>
              <w:rPr>
                <w:rFonts w:ascii="Arial" w:cs="Arial" w:eastAsia="Arial" w:hAnsi="Arial"/>
                <w:sz w:val="11"/>
                <w:szCs w:val="11"/>
                <w:color w:val="auto"/>
              </w:rPr>
              <w:t>(3)</w:t>
            </w:r>
          </w:p>
        </w:tc>
        <w:tc>
          <w:tcPr>
            <w:tcW w:w="2020" w:type="dxa"/>
            <w:vAlign w:val="bottom"/>
            <w:gridSpan w:val="2"/>
          </w:tcPr>
          <w:p>
            <w:pPr>
              <w:jc w:val="right"/>
              <w:ind w:right="78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6,825,575</w:t>
            </w:r>
            <w:r>
              <w:rPr>
                <w:rFonts w:ascii="Arial" w:cs="Arial" w:eastAsia="Arial" w:hAnsi="Arial"/>
                <w:sz w:val="11"/>
                <w:szCs w:val="11"/>
                <w:color w:val="auto"/>
              </w:rPr>
              <w:t>(5)</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18,800,880</w:t>
            </w:r>
            <w:r>
              <w:rPr>
                <w:rFonts w:ascii="Arial" w:cs="Arial" w:eastAsia="Arial" w:hAnsi="Arial"/>
                <w:sz w:val="11"/>
                <w:szCs w:val="11"/>
                <w:color w:val="auto"/>
              </w:rPr>
              <w:t>(3)</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26,994,927</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-1028700</wp:posOffset>
            </wp:positionV>
            <wp:extent cx="7246620" cy="4286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-162560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440" w:space="720"/>
            <w:col w:w="7220"/>
          </w:cols>
          <w:pgMar w:left="240" w:top="459" w:right="279" w:bottom="1440" w:gutter="0" w:footer="0" w:header="0"/>
          <w:type w:val="continuous"/>
        </w:sectPr>
      </w:pPr>
    </w:p>
    <w:p>
      <w:pPr>
        <w:ind w:left="460" w:right="40" w:hanging="452"/>
        <w:spacing w:after="0" w:line="235" w:lineRule="auto"/>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Our 2008 Incentive Compensation Plan was approved by the stockholders of Lazard Ltd on May 6, 2008. The number of shares of Lazard Ltd Class A common stock available for issuance under the 2008 Incentive Compensation Plan is determined by a formula, which generally provides that the aggregate number of</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77" w:lineRule="auto"/>
        <w:rPr>
          <w:sz w:val="20"/>
          <w:szCs w:val="20"/>
          <w:color w:val="auto"/>
        </w:rPr>
      </w:pPr>
      <w:r>
        <w:rPr>
          <w:rFonts w:ascii="Arial" w:cs="Arial" w:eastAsia="Arial" w:hAnsi="Arial"/>
          <w:sz w:val="16"/>
          <w:szCs w:val="16"/>
          <w:color w:val="auto"/>
        </w:rPr>
        <w:t>shares subject to outstanding awards under the 2008 Incentive Compensation Plan may not exceed 30% of the aggregate number of then-outstanding shares of Lazard Ltd Class A common stock (treating, for this purpose, the then-outstanding LAZ-MD Holdings exchangeable interests as shares of Lazard Ltd Class A common stock on an as-if-fully exchanged basis in accordance with the Master Separation Agreement).</w:t>
      </w:r>
    </w:p>
    <w:p>
      <w:pPr>
        <w:spacing w:after="0" w:line="11" w:lineRule="exact"/>
        <w:rPr>
          <w:sz w:val="20"/>
          <w:szCs w:val="20"/>
          <w:color w:val="auto"/>
        </w:rPr>
      </w:pPr>
    </w:p>
    <w:p>
      <w:pPr>
        <w:ind w:left="460" w:right="540" w:hanging="452"/>
        <w:spacing w:after="0" w:line="228" w:lineRule="auto"/>
        <w:tabs>
          <w:tab w:leader="none" w:pos="46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Our 2005 Equity Incentive Plan was established prior to our equity public offering in May 2005 and, as a result, did not require approval by security holders.</w:t>
      </w:r>
    </w:p>
    <w:p>
      <w:pPr>
        <w:spacing w:after="0" w:line="1" w:lineRule="exact"/>
        <w:rPr>
          <w:rFonts w:ascii="Arial" w:cs="Arial" w:eastAsia="Arial" w:hAnsi="Arial"/>
          <w:sz w:val="22"/>
          <w:szCs w:val="22"/>
          <w:color w:val="auto"/>
          <w:vertAlign w:val="superscript"/>
        </w:rPr>
      </w:pPr>
    </w:p>
    <w:p>
      <w:pPr>
        <w:ind w:left="460" w:right="60" w:hanging="452"/>
        <w:spacing w:after="0" w:line="233" w:lineRule="auto"/>
        <w:tabs>
          <w:tab w:leader="none" w:pos="46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stock unit awards, after giving effect to forfeitures, as of December 31, 2013. As of that date, the only grants made under the 2005 Equity Incentive Plan and 2008 Incentive Compensation Plan have been in the form of stock unit awards and restricted stock awards. See Note 14 of Notes to Consolidated Financial Statements for a description of the plans.</w:t>
      </w:r>
    </w:p>
    <w:p>
      <w:pPr>
        <w:ind w:left="460" w:right="60" w:hanging="452"/>
        <w:spacing w:after="0" w:line="237" w:lineRule="auto"/>
        <w:tabs>
          <w:tab w:leader="none" w:pos="460" w:val="left"/>
        </w:tabs>
        <w:numPr>
          <w:ilvl w:val="0"/>
          <w:numId w:val="92"/>
        </w:numPr>
        <w:rPr>
          <w:rFonts w:ascii="Arial" w:cs="Arial" w:eastAsia="Arial" w:hAnsi="Arial"/>
          <w:sz w:val="21"/>
          <w:szCs w:val="21"/>
          <w:color w:val="auto"/>
          <w:vertAlign w:val="superscript"/>
        </w:rPr>
      </w:pPr>
      <w:r>
        <w:rPr>
          <w:rFonts w:ascii="Arial" w:cs="Arial" w:eastAsia="Arial" w:hAnsi="Arial"/>
          <w:sz w:val="17"/>
          <w:szCs w:val="17"/>
          <w:color w:val="auto"/>
        </w:rPr>
        <w:t>Each stock unit awarded under our 2005 Equity Incentive Plan and 2008 Incentive Compensation Plan was granted at no cost to the persons receiving them and represents the contingent right to receive the equivalent number of shares of Lazard Ltd Class A common stock.</w:t>
      </w:r>
    </w:p>
    <w:p>
      <w:pPr>
        <w:ind w:left="460" w:right="320" w:hanging="452"/>
        <w:spacing w:after="0" w:line="225" w:lineRule="auto"/>
        <w:tabs>
          <w:tab w:leader="none" w:pos="46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Gives effect to the number of securities remaining available for future issuance, after considering the impact of vested RSUs not delivered as a result of withholding taxes.</w:t>
      </w: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regarding certain relationships and related transactions, and director independence, will be presented in Lazard Ltd’s definitive proxy statement for its 2014 annual general meeting of shareholders, which will be held in April 2014,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2014 annual general meeting of shareholders, which will be held in April 2014,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ind w:left="9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65"/>
        </w:trPr>
        <w:tc>
          <w:tcPr>
            <w:tcW w:w="68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10500" w:type="dxa"/>
            <w:vAlign w:val="bottom"/>
          </w:tcPr>
          <w:p>
            <w:pPr>
              <w:ind w:left="42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31"/>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4.4</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001-32492) filed on November 14, 2013).</w:t>
            </w:r>
          </w:p>
        </w:tc>
      </w:tr>
      <w:tr>
        <w:trPr>
          <w:trHeight w:val="324"/>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4.6</w:t>
            </w:r>
          </w:p>
        </w:tc>
        <w:tc>
          <w:tcPr>
            <w:tcW w:w="10500" w:type="dxa"/>
            <w:vAlign w:val="bottom"/>
          </w:tcPr>
          <w:p>
            <w:pPr>
              <w:ind w:left="42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65"/>
        </w:trPr>
        <w:tc>
          <w:tcPr>
            <w:tcW w:w="84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142</w:t>
            </w:r>
          </w:p>
        </w:tc>
      </w:tr>
    </w:tbl>
    <w:p>
      <w:pPr>
        <w:sectPr>
          <w:pgSz w:w="11900" w:h="16838" w:orient="portrait"/>
          <w:cols w:equalWidth="0" w:num="1">
            <w:col w:w="11340"/>
          </w:cols>
          <w:pgMar w:left="240" w:top="460" w:right="3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Business Alliance Agreement, dated as of May 10, 2005, by and between Lazard Group LLC and LFCM Holdings LLC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Group LLC and LFCM Holdings LLC (incorporated by reference to Exhibit 10.12 to the Registrant’s Annual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144</w:t>
            </w: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and Citibank, N.A., as Administrative Agent (incorporated by reference to Exhibit 10.47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10.51*</w:t>
            </w:r>
          </w:p>
        </w:tc>
        <w:tc>
          <w:tcPr>
            <w:tcW w:w="10400" w:type="dxa"/>
            <w:vAlign w:val="bottom"/>
          </w:tcPr>
          <w:p>
            <w:pPr>
              <w:ind w:left="300"/>
              <w:spacing w:after="0"/>
              <w:rPr>
                <w:sz w:val="20"/>
                <w:szCs w:val="20"/>
                <w:color w:val="auto"/>
              </w:rPr>
            </w:pPr>
            <w:r>
              <w:rPr>
                <w:rFonts w:ascii="Arial" w:cs="Arial" w:eastAsia="Arial" w:hAnsi="Arial"/>
                <w:sz w:val="18"/>
                <w:szCs w:val="18"/>
                <w:color w:val="auto"/>
                <w:w w:val="87"/>
              </w:rPr>
              <w:t>Second Amendment, dated as of March 14, 2013,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87"/>
              </w:rPr>
              <w:t>October 4, 2004 and amended on March 23, 2010, among the Registrant, Lazard Group LLC and Alexander F. Stern (incorporated by reference</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10.52*</w:t>
            </w: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10.53*</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10.54*</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0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18.1</w:t>
            </w:r>
          </w:p>
        </w:tc>
        <w:tc>
          <w:tcPr>
            <w:tcW w:w="10400" w:type="dxa"/>
            <w:vAlign w:val="bottom"/>
          </w:tcPr>
          <w:p>
            <w:pPr>
              <w:ind w:left="300"/>
              <w:spacing w:after="0"/>
              <w:rPr>
                <w:sz w:val="20"/>
                <w:szCs w:val="20"/>
                <w:color w:val="auto"/>
              </w:rPr>
            </w:pPr>
            <w:r>
              <w:rPr>
                <w:rFonts w:ascii="Arial" w:cs="Arial" w:eastAsia="Arial" w:hAnsi="Arial"/>
                <w:sz w:val="18"/>
                <w:szCs w:val="18"/>
                <w:color w:val="auto"/>
              </w:rPr>
              <w:t>Preferability Letter Regarding Change in Accounting Principle Relating to Goodwill.</w:t>
            </w:r>
          </w:p>
        </w:tc>
      </w:tr>
      <w:tr>
        <w:trPr>
          <w:trHeight w:val="338"/>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21.1</w:t>
            </w:r>
          </w:p>
        </w:tc>
        <w:tc>
          <w:tcPr>
            <w:tcW w:w="10400" w:type="dxa"/>
            <w:vAlign w:val="bottom"/>
          </w:tcPr>
          <w:p>
            <w:pPr>
              <w:ind w:left="300"/>
              <w:spacing w:after="0"/>
              <w:rPr>
                <w:sz w:val="20"/>
                <w:szCs w:val="20"/>
                <w:color w:val="auto"/>
              </w:rPr>
            </w:pPr>
            <w:r>
              <w:rPr>
                <w:rFonts w:ascii="Arial" w:cs="Arial" w:eastAsia="Arial" w:hAnsi="Arial"/>
                <w:sz w:val="18"/>
                <w:szCs w:val="18"/>
                <w:color w:val="auto"/>
              </w:rPr>
              <w:t>Subsidiaries of Registrant.</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23.1</w:t>
            </w:r>
          </w:p>
        </w:tc>
        <w:tc>
          <w:tcPr>
            <w:tcW w:w="1040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0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Management’s Report on Internal Control Over Financial Reporting</w:t>
              </w:r>
            </w:hyperlink>
          </w:p>
        </w:tc>
        <w:tc>
          <w:tcPr>
            <w:tcW w:w="6020" w:type="dxa"/>
            <w:vAlign w:val="bottom"/>
            <w:gridSpan w:val="10"/>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Reports of Independent Registered Public Accounting Firm</w:t>
              </w:r>
            </w:hyperlink>
          </w:p>
        </w:tc>
        <w:tc>
          <w:tcPr>
            <w:tcW w:w="6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Financial Condition as of December 31, 2013 and 2012</w:t>
              </w:r>
            </w:hyperlink>
          </w:p>
        </w:tc>
        <w:tc>
          <w:tcPr>
            <w:tcW w:w="4940" w:type="dxa"/>
            <w:vAlign w:val="bottom"/>
            <w:gridSpan w:val="9"/>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Operations for the years ended December 31, 2013,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Income for the years ended December 31, 2013, 2012</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and 2011</w:t>
              </w:r>
            </w:hyperlink>
          </w:p>
        </w:tc>
        <w:tc>
          <w:tcPr>
            <w:tcW w:w="392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83">
              <w:r>
                <w:rPr>
                  <w:rFonts w:ascii="Arial" w:cs="Arial" w:eastAsia="Arial" w:hAnsi="Arial"/>
                  <w:sz w:val="18"/>
                  <w:szCs w:val="18"/>
                  <w:color w:val="0000EE"/>
                  <w:w w:val="86"/>
                </w:rPr>
                <w:t>Consolidated Statements of Cash Flows for the years ended December 31, 2013, 2012 and 2011</w:t>
              </w:r>
            </w:hyperlink>
          </w:p>
        </w:tc>
        <w:tc>
          <w:tcPr>
            <w:tcW w:w="4080" w:type="dxa"/>
            <w:vAlign w:val="bottom"/>
            <w:gridSpan w:val="6"/>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4"/>
        </w:trPr>
        <w:tc>
          <w:tcPr>
            <w:tcW w:w="82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Statements of Changes in Stockholders’ Equity for the years ended December 31, 2013, 2012 and 2011</w:t>
              </w:r>
            </w:hyperlink>
          </w:p>
        </w:tc>
        <w:tc>
          <w:tcPr>
            <w:tcW w:w="25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Supplemental Financial Information</w:t>
              </w:r>
            </w:hyperlink>
          </w:p>
        </w:tc>
        <w:tc>
          <w:tcPr>
            <w:tcW w:w="77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Quarterly Results</w:t>
              </w:r>
            </w:hyperlink>
          </w:p>
        </w:tc>
        <w:tc>
          <w:tcPr>
            <w:tcW w:w="8080" w:type="dxa"/>
            <w:vAlign w:val="bottom"/>
            <w:gridSpan w:val="1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gridSpan w:val="1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Financial Condition as of December 31, 2013 and 2012</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Condensed Statements of Operations for the years ended December 31, 2013, 2012 and 2011</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Condensed Statements of Comprehensive Income for the years ended December 31, 2013, 2012 and 2011</w:t>
              </w:r>
            </w:hyperlink>
          </w:p>
        </w:tc>
        <w:tc>
          <w:tcPr>
            <w:tcW w:w="2940" w:type="dxa"/>
            <w:vAlign w:val="bottom"/>
            <w:gridSpan w:val="2"/>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Condensed Statements of Cash Flows for the years ended December 31, 2013, 2012 and 2011</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80" w:type="dxa"/>
            <w:vAlign w:val="bottom"/>
            <w:tcBorders>
              <w:top w:val="single" w:sz="8" w:color="0000EE"/>
            </w:tcBorders>
            <w:gridSpan w:val="14"/>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Financial Statements</w:t>
              </w:r>
            </w:hyperlink>
          </w:p>
        </w:tc>
        <w:tc>
          <w:tcPr>
            <w:tcW w:w="3800" w:type="dxa"/>
            <w:vAlign w:val="bottom"/>
            <w:gridSpan w:val="3"/>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688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(1,818,211)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(1,852,072)</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2,379,308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2,421,780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561,789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570,006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390"/>
        </w:trPr>
        <w:tc>
          <w:tcPr>
            <w:tcW w:w="8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9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880"/>
              <w:spacing w:after="0"/>
              <w:rPr>
                <w:sz w:val="20"/>
                <w:szCs w:val="20"/>
                <w:color w:val="auto"/>
              </w:rPr>
            </w:pPr>
            <w:r>
              <w:rPr>
                <w:rFonts w:ascii="Arial" w:cs="Arial" w:eastAsia="Arial" w:hAnsi="Arial"/>
                <w:sz w:val="18"/>
                <w:szCs w:val="18"/>
                <w:color w:val="auto"/>
              </w:rPr>
              <w:t>Series A—7,921 shares issued and outstanding at December 31, 2013 and 2012</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B—no shares issued and outstanding</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Class A, par value $.01 per share (500,000,000 shares authorized; 129,056,081 and 128,216,423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5"/>
              </w:rPr>
              <w:t>issued at December 31, 2013 and 2012, respectively, including shares held by subsidiaries as indicated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below)</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8"/>
        </w:trPr>
        <w:tc>
          <w:tcPr>
            <w:tcW w:w="8940" w:type="dxa"/>
            <w:vAlign w:val="bottom"/>
          </w:tcPr>
          <w:p>
            <w:pPr>
              <w:ind w:left="880"/>
              <w:spacing w:after="0"/>
              <w:rPr>
                <w:sz w:val="20"/>
                <w:szCs w:val="20"/>
                <w:color w:val="auto"/>
              </w:rPr>
            </w:pPr>
            <w:r>
              <w:rPr>
                <w:rFonts w:ascii="Arial" w:cs="Arial" w:eastAsia="Arial" w:hAnsi="Arial"/>
                <w:sz w:val="18"/>
                <w:szCs w:val="18"/>
                <w:color w:val="auto"/>
                <w:w w:val="95"/>
              </w:rPr>
              <w:t>Class B, par value $.01 per share (1 share authorized, issued and outstanding at December 31, 2013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10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737,899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846,050</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203,236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182,647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(133,004)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(110,541)</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809,422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Class A common stock held by subsidiaries, at cost (8,317,065 and 12,802,938 shares at December 31, 2013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2012, respectively)</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(249,213)</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(349,782)</w:t>
            </w:r>
          </w:p>
        </w:tc>
        <w:tc>
          <w:tcPr>
            <w:tcW w:w="0" w:type="dxa"/>
            <w:vAlign w:val="bottom"/>
          </w:tcPr>
          <w:p>
            <w:pPr>
              <w:spacing w:after="0"/>
              <w:rPr>
                <w:sz w:val="1"/>
                <w:szCs w:val="1"/>
                <w:color w:val="auto"/>
              </w:rPr>
            </w:pPr>
          </w:p>
        </w:tc>
      </w:tr>
      <w:tr>
        <w:trPr>
          <w:trHeight w:val="230"/>
        </w:trPr>
        <w:tc>
          <w:tcPr>
            <w:tcW w:w="894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560,209</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561,789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00" w:type="dxa"/>
            <w:vAlign w:val="bottom"/>
            <w:gridSpan w:val="7"/>
          </w:tcPr>
          <w:p>
            <w:pPr>
              <w:ind w:lef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Equity in earnings of subsidiaries</w:t>
            </w:r>
          </w:p>
        </w:tc>
        <w:tc>
          <w:tcPr>
            <w:tcW w:w="3760" w:type="dxa"/>
            <w:vAlign w:val="bottom"/>
            <w:gridSpan w:val="3"/>
          </w:tcPr>
          <w:p>
            <w:pPr>
              <w:jc w:val="right"/>
              <w:ind w:right="220"/>
              <w:spacing w:after="0"/>
              <w:rPr>
                <w:sz w:val="20"/>
                <w:szCs w:val="20"/>
                <w:color w:val="auto"/>
              </w:rPr>
            </w:pPr>
            <w:r>
              <w:rPr>
                <w:rFonts w:ascii="Arial" w:cs="Arial" w:eastAsia="Arial" w:hAnsi="Arial"/>
                <w:sz w:val="18"/>
                <w:szCs w:val="18"/>
                <w:color w:val="auto"/>
              </w:rPr>
              <w:t>$103,769</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$20,598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$109,294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58,227</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65,319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2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161,996</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85,917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176,336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3760" w:type="dxa"/>
            <w:vAlign w:val="bottom"/>
            <w:gridSpan w:val="3"/>
          </w:tcPr>
          <w:p>
            <w:pPr>
              <w:jc w:val="right"/>
              <w:ind w:right="220"/>
              <w:spacing w:after="0"/>
              <w:rPr>
                <w:sz w:val="20"/>
                <w:szCs w:val="20"/>
                <w:color w:val="auto"/>
              </w:rPr>
            </w:pPr>
            <w:r>
              <w:rPr>
                <w:rFonts w:ascii="Arial" w:cs="Arial" w:eastAsia="Arial" w:hAnsi="Arial"/>
                <w:sz w:val="18"/>
                <w:szCs w:val="18"/>
                <w:color w:val="auto"/>
              </w:rPr>
              <w:t>1,662</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1,477</w:t>
            </w:r>
          </w:p>
        </w:tc>
        <w:tc>
          <w:tcPr>
            <w:tcW w:w="6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1,784</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1,608</w:t>
            </w:r>
          </w:p>
        </w:tc>
        <w:tc>
          <w:tcPr>
            <w:tcW w:w="6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160,212</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84,309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174,917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8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160,212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$ 84,309</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174,917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(15,438)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2,488</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2"/>
              </w:rPr>
              <w:t>Actuarial loss (net of tax benefit of $6,353, $12,796 and $11,874 for the years ended December 31,</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1060"/>
              <w:spacing w:after="0"/>
              <w:rPr>
                <w:sz w:val="20"/>
                <w:szCs w:val="20"/>
                <w:color w:val="auto"/>
              </w:rPr>
            </w:pPr>
            <w:r>
              <w:rPr>
                <w:rFonts w:ascii="Arial" w:cs="Arial" w:eastAsia="Arial" w:hAnsi="Arial"/>
                <w:sz w:val="18"/>
                <w:szCs w:val="18"/>
                <w:color w:val="auto"/>
              </w:rPr>
              <w:t>2013, 2012 and 2011, respectively)</w:t>
            </w:r>
          </w:p>
        </w:tc>
        <w:tc>
          <w:tcPr>
            <w:tcW w:w="1160" w:type="dxa"/>
            <w:vAlign w:val="bottom"/>
            <w:gridSpan w:val="3"/>
          </w:tcPr>
          <w:p>
            <w:pPr>
              <w:jc w:val="right"/>
              <w:ind w:right="112"/>
              <w:spacing w:after="0"/>
              <w:rPr>
                <w:sz w:val="20"/>
                <w:szCs w:val="20"/>
                <w:color w:val="auto"/>
              </w:rPr>
            </w:pPr>
            <w:r>
              <w:rPr>
                <w:rFonts w:ascii="Arial" w:cs="Arial" w:eastAsia="Arial" w:hAnsi="Arial"/>
                <w:sz w:val="18"/>
                <w:szCs w:val="18"/>
                <w:color w:val="auto"/>
              </w:rPr>
              <w:t>(13,426)</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(39,817)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(36,256)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Adjustments for items reclassified to earnings (net of tax expense of $1,918, $1,131 and $977 for the</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2013, 2012 and 2011, respectively)</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4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40" w:type="dxa"/>
            <w:vAlign w:val="bottom"/>
          </w:tcPr>
          <w:p>
            <w:pPr>
              <w:spacing w:after="0"/>
              <w:rPr>
                <w:sz w:val="19"/>
                <w:szCs w:val="19"/>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(21,796)</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(18,997)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(41,925)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138,416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$ 65,312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160,212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84,309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Noncash items included in net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Equity in earnings of subsidiaries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(103,769)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Changes in due to/from subsidiaries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122,010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135,188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Class A common stock dividends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(121,620)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(135,108)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(121,620)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(135,108)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(70,572)</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January 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December 31</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2013 and 2012, and for each of the three years in the period ended December 31, 2013,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55" w:name="page156"/>
    <w:bookmarkEnd w:id="155"/>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6"/>
          </w:tcPr>
          <w:p>
            <w:pPr>
              <w:jc w:val="right"/>
              <w:ind w:right="8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216,807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123,885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235,499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243,650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(182,234)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103,668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106,470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110,919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117,119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127,398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320,475</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230,355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346,418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360,769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(54,836)</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90,126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97,709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24,287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24,905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106,470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110,919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117,119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127,398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56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3.09(d)</w:t>
            </w: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2.16(e)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3.08(f)</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Deficiency in the coverage of operating income (loss) before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4.35.</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pacing w:after="0" w:line="25"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18.1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audited the consolidated financial statements of Lazard Ltd and subsidiaries as of December 31, 2013 and 2012, and for each of the three years in the period ended December 31, 2013, included in your Annual Report on Form 10-K to the Securities and Exchange Commission and have issued our report thereon dated February 27, 2014. Note 2 to such consolidated financial statements contains a description of your adoption during the year ended December 31, 2013 of the change in the annual goodwill impairment test date from December 31st to November 1st. In our judgment, such change is to an alternative accounting principle that is preferable under the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Group LLC</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Services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333-126752, No. 333-154977 and No. 333-193845 each on Form S-8 and Registration Statement No. 333-188308 on Form S-3 of our reports dated February 27, 2014, relating to the consolidated financial statements and financial statement schedule of Lazard Ltd, and the effectiveness of Lazard Ltd’s internal control over financial reporting appearing in this Annual Report on Form 10-K of Lazard Ltd for the year ended December 31, 2013.</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lowerLetter"/>
      <w:start w:val="3"/>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lowerRoman"/>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lowerRoman"/>
      <w:start w:val="3"/>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lowerLetter"/>
      <w:start w:val="1"/>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Letter"/>
      <w:start w:val="1"/>
    </w:lvl>
  </w:abstractNum>
  <w:abstractNum w:abstractNumId="31">
    <w:nsid w:val="5FF87E05"/>
    <w:multiLevelType w:val="hybridMultilevel"/>
    <w:lvl w:ilvl="0">
      <w:lvlJc w:val="left"/>
      <w:lvlText w:val="(%1)"/>
      <w:numFmt w:val="lowerRoman"/>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lowerLetter"/>
      <w:start w:val="1"/>
    </w:lvl>
  </w:abstractNum>
  <w:abstractNum w:abstractNumId="34">
    <w:nsid w:val="1DBABF00"/>
    <w:multiLevelType w:val="hybridMultilevel"/>
    <w:lvl w:ilvl="0">
      <w:lvlJc w:val="left"/>
      <w:lvlText w:val="(%1)"/>
      <w:numFmt w:val="lowerLetter"/>
      <w:start w:val="1"/>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2"/>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lowerLetter"/>
      <w:start w:val="2"/>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2"/>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decimal"/>
      <w:start w:val="3"/>
    </w:lvl>
  </w:abstractNum>
  <w:abstractNum w:abstractNumId="54">
    <w:nsid w:val="613EFDC5"/>
    <w:multiLevelType w:val="hybridMultilevel"/>
    <w:lvl w:ilvl="0">
      <w:lvlJc w:val="left"/>
      <w:lvlText w:val="%1."/>
      <w:numFmt w:val="decimal"/>
      <w:start w:val="4"/>
    </w:lvl>
  </w:abstractNum>
  <w:abstractNum w:abstractNumId="55">
    <w:nsid w:val="BF72B14"/>
    <w:multiLevelType w:val="hybridMultilevel"/>
    <w:lvl w:ilvl="0">
      <w:lvlJc w:val="left"/>
      <w:lvlText w:val="%1."/>
      <w:numFmt w:val="decimal"/>
      <w:start w:val="5"/>
    </w:lvl>
  </w:abstractNum>
  <w:abstractNum w:abstractNumId="56">
    <w:nsid w:val="11447B73"/>
    <w:multiLevelType w:val="hybridMultilevel"/>
    <w:lvl w:ilvl="0">
      <w:lvlJc w:val="left"/>
      <w:lvlText w:val="(%1)"/>
      <w:numFmt w:val="lowerLetter"/>
      <w:start w:val="1"/>
    </w:lvl>
  </w:abstractNum>
  <w:abstractNum w:abstractNumId="57">
    <w:nsid w:val="42963E5A"/>
    <w:multiLevelType w:val="hybridMultilevel"/>
    <w:lvl w:ilvl="0">
      <w:lvlJc w:val="left"/>
      <w:lvlText w:val="%1."/>
      <w:numFmt w:val="decimal"/>
      <w:start w:val="6"/>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decimal"/>
      <w:start w:val="7"/>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decimal"/>
      <w:start w:val="8"/>
    </w:lvl>
  </w:abstractNum>
  <w:abstractNum w:abstractNumId="64">
    <w:nsid w:val="60B6DF70"/>
    <w:multiLevelType w:val="hybridMultilevel"/>
    <w:lvl w:ilvl="0">
      <w:lvlJc w:val="left"/>
      <w:lvlText w:val="%1."/>
      <w:numFmt w:val="decimal"/>
      <w:start w:val="9"/>
    </w:lvl>
  </w:abstractNum>
  <w:abstractNum w:abstractNumId="65">
    <w:nsid w:val="6A5EE64"/>
    <w:multiLevelType w:val="hybridMultilevel"/>
    <w:lvl w:ilvl="0">
      <w:lvlJc w:val="left"/>
      <w:lvlText w:val="%1"/>
      <w:numFmt w:val="decimal"/>
      <w:start w:val="1"/>
    </w:lvl>
    <w:lvl w:ilvl="1">
      <w:lvlJc w:val="left"/>
      <w:lvlText w:val="(%2)"/>
      <w:numFmt w:val="lowerLetter"/>
      <w:start w:val="1"/>
    </w:lvl>
  </w:abstractNum>
  <w:abstractNum w:abstractNumId="66">
    <w:nsid w:val="14330624"/>
    <w:multiLevelType w:val="hybridMultilevel"/>
    <w:lvl w:ilvl="0">
      <w:lvlJc w:val="left"/>
      <w:lvlText w:val="%1."/>
      <w:numFmt w:val="decimal"/>
      <w:start w:val="10"/>
    </w:lvl>
    <w:lvl w:ilvl="1">
      <w:lvlJc w:val="left"/>
      <w:lvlText w:val="%2"/>
      <w:numFmt w:val="lowerLetter"/>
      <w:start w:val="1"/>
    </w:lvl>
  </w:abstractNum>
  <w:abstractNum w:abstractNumId="67">
    <w:nsid w:val="7FFFCA11"/>
    <w:multiLevelType w:val="hybridMultilevel"/>
    <w:lvl w:ilvl="0">
      <w:lvlJc w:val="left"/>
      <w:lvlText w:val="%1."/>
      <w:numFmt w:val="decimal"/>
      <w:start w:val="11"/>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decimal"/>
      <w:start w:val="12"/>
    </w:lvl>
  </w:abstractNum>
  <w:abstractNum w:abstractNumId="70">
    <w:nsid w:val="100F59DC"/>
    <w:multiLevelType w:val="hybridMultilevel"/>
    <w:lvl w:ilvl="0">
      <w:lvlJc w:val="left"/>
      <w:lvlText w:val="%1."/>
      <w:numFmt w:val="decimal"/>
      <w:start w:val="13"/>
    </w:lvl>
  </w:abstractNum>
  <w:abstractNum w:abstractNumId="71">
    <w:nsid w:val="7FB7E0AA"/>
    <w:multiLevelType w:val="hybridMultilevel"/>
    <w:lvl w:ilvl="0">
      <w:lvlJc w:val="left"/>
      <w:lvlText w:val="(%1)"/>
      <w:numFmt w:val="lowerLetter"/>
      <w:start w:val="1"/>
    </w:lvl>
  </w:abstractNum>
  <w:abstractNum w:abstractNumId="72">
    <w:nsid w:val="6EB5BD4"/>
    <w:multiLevelType w:val="hybridMultilevel"/>
    <w:lvl w:ilvl="0">
      <w:lvlJc w:val="left"/>
      <w:lvlText w:val="%1."/>
      <w:numFmt w:val="decimal"/>
      <w:start w:val="14"/>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decimal"/>
      <w:start w:val="15"/>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decimal"/>
      <w:start w:val="16"/>
    </w:lvl>
  </w:abstractNum>
  <w:abstractNum w:abstractNumId="79">
    <w:nsid w:val="14E17E33"/>
    <w:multiLevelType w:val="hybridMultilevel"/>
    <w:lvl w:ilvl="0">
      <w:lvlJc w:val="left"/>
      <w:lvlText w:val="%1."/>
      <w:numFmt w:val="decimal"/>
      <w:start w:val="17"/>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1)"/>
      <w:numFmt w:val="lowerRoman"/>
      <w:start w:val="1"/>
    </w:lvl>
  </w:abstractNum>
  <w:abstractNum w:abstractNumId="82">
    <w:nsid w:val="68EBC550"/>
    <w:multiLevelType w:val="hybridMultilevel"/>
    <w:lvl w:ilvl="0">
      <w:lvlJc w:val="left"/>
      <w:lvlText w:val="%1."/>
      <w:numFmt w:val="decimal"/>
      <w:start w:val="18"/>
    </w:lvl>
  </w:abstractNum>
  <w:abstractNum w:abstractNumId="83">
    <w:nsid w:val="2DF6D648"/>
    <w:multiLevelType w:val="hybridMultilevel"/>
    <w:lvl w:ilvl="0">
      <w:lvlJc w:val="left"/>
      <w:lvlText w:val="%1."/>
      <w:numFmt w:val="decimal"/>
      <w:start w:val="20"/>
    </w:lvl>
  </w:abstractNum>
  <w:abstractNum w:abstractNumId="84">
    <w:nsid w:val="46B7D447"/>
    <w:multiLevelType w:val="hybridMultilevel"/>
    <w:lvl w:ilvl="0">
      <w:lvlJc w:val="left"/>
      <w:lvlText w:val="%1."/>
      <w:numFmt w:val="decimal"/>
      <w:start w:val="2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2"/>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lowerLetter"/>
      <w:start w:val="1"/>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decimal"/>
      <w:start w:val="2"/>
    </w:lvl>
  </w:abstractNum>
  <w:abstractNum w:abstractNumId="92">
    <w:nsid w:val="7F01579B"/>
    <w:multiLevelType w:val="hybridMultilevel"/>
    <w:lvl w:ilvl="0">
      <w:lvlJc w:val="left"/>
      <w:lvlText w:val="(%1)"/>
      <w:numFmt w:val="lowerLetter"/>
      <w:start w:val="1"/>
    </w:lvl>
    <w:lvl w:ilvl="1">
      <w:lvlJc w:val="left"/>
      <w:lvlText w:val="%2."/>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lowerLetter"/>
      <w:start w:val="1"/>
    </w:lvl>
    <w:lvl w:ilvl="1">
      <w:lvlJc w:val="left"/>
      <w:lvlText w:val="•"/>
      <w:numFmt w:val="bullet"/>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2019-12-07T08:46:05Z</dcterms:created>
  <dcterms:modified xsi:type="dcterms:W3CDTF">2019-12-07T08:46:05Z</dcterms:modified>
</cp:coreProperties>
</file>