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6"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2780" w:type="dxa"/>
            <w:vAlign w:val="bottom"/>
          </w:tcPr>
          <w:p>
            <w:pPr>
              <w:jc w:val="center"/>
              <w:ind w:right="105"/>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tcPr>
          <w:p>
            <w:pPr>
              <w:jc w:val="right"/>
              <w:ind w:right="438"/>
              <w:spacing w:after="0"/>
              <w:rPr>
                <w:sz w:val="20"/>
                <w:szCs w:val="20"/>
                <w:color w:val="auto"/>
              </w:rPr>
            </w:pPr>
            <w:r>
              <w:rPr>
                <w:rFonts w:ascii="Arial" w:cs="Arial" w:eastAsia="Arial" w:hAnsi="Arial"/>
                <w:sz w:val="18"/>
                <w:szCs w:val="18"/>
                <w:b w:val="1"/>
                <w:bCs w:val="1"/>
                <w:color w:val="auto"/>
              </w:rPr>
              <w:t>51-0278097</w:t>
            </w:r>
          </w:p>
        </w:tc>
        <w:tc>
          <w:tcPr>
            <w:tcW w:w="0" w:type="dxa"/>
            <w:vAlign w:val="bottom"/>
          </w:tcPr>
          <w:p>
            <w:pPr>
              <w:spacing w:after="0"/>
              <w:rPr>
                <w:sz w:val="1"/>
                <w:szCs w:val="1"/>
                <w:color w:val="auto"/>
              </w:rPr>
            </w:pPr>
          </w:p>
        </w:tc>
      </w:tr>
      <w:tr>
        <w:trPr>
          <w:trHeight w:val="149"/>
        </w:trPr>
        <w:tc>
          <w:tcPr>
            <w:tcW w:w="27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5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2780" w:type="dxa"/>
            <w:vAlign w:val="bottom"/>
          </w:tcPr>
          <w:p>
            <w:pPr>
              <w:jc w:val="center"/>
              <w:ind w:right="85"/>
              <w:spacing w:after="0"/>
              <w:rPr>
                <w:sz w:val="20"/>
                <w:szCs w:val="20"/>
                <w:color w:val="auto"/>
              </w:rPr>
            </w:pPr>
            <w:r>
              <w:rPr>
                <w:rFonts w:ascii="Arial" w:cs="Arial" w:eastAsia="Arial" w:hAnsi="Arial"/>
                <w:sz w:val="14"/>
                <w:szCs w:val="14"/>
                <w:b w:val="1"/>
                <w:bCs w:val="1"/>
                <w:color w:val="auto"/>
                <w:w w:val="90"/>
              </w:rPr>
              <w:t>or Organization)</w:t>
            </w:r>
          </w:p>
        </w:tc>
        <w:tc>
          <w:tcPr>
            <w:tcW w:w="5260" w:type="dxa"/>
            <w:vAlign w:val="bottom"/>
            <w:vMerge w:val="restart"/>
          </w:tcPr>
          <w:p>
            <w:pPr>
              <w:jc w:val="center"/>
              <w:ind w:right="2438"/>
              <w:spacing w:after="0"/>
              <w:rPr>
                <w:sz w:val="20"/>
                <w:szCs w:val="20"/>
                <w:color w:val="auto"/>
              </w:rPr>
            </w:pPr>
            <w:r>
              <w:rPr>
                <w:rFonts w:ascii="Arial" w:cs="Arial" w:eastAsia="Arial" w:hAnsi="Arial"/>
                <w:sz w:val="18"/>
                <w:szCs w:val="18"/>
                <w:b w:val="1"/>
                <w:bCs w:val="1"/>
                <w:color w:val="auto"/>
                <w:w w:val="91"/>
              </w:rPr>
              <w:t>30 Rockefeller Plaza</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5260" w:type="dxa"/>
            <w:vAlign w:val="bottom"/>
          </w:tcPr>
          <w:p>
            <w:pPr>
              <w:jc w:val="center"/>
              <w:ind w:right="2418"/>
              <w:spacing w:after="0"/>
              <w:rPr>
                <w:sz w:val="20"/>
                <w:szCs w:val="20"/>
                <w:color w:val="auto"/>
              </w:rPr>
            </w:pPr>
            <w:r>
              <w:rPr>
                <w:rFonts w:ascii="Arial" w:cs="Arial" w:eastAsia="Arial" w:hAnsi="Arial"/>
                <w:sz w:val="18"/>
                <w:szCs w:val="18"/>
                <w:b w:val="1"/>
                <w:bCs w:val="1"/>
                <w:color w:val="auto"/>
                <w:w w:val="92"/>
              </w:rPr>
              <w:t>New York, NY 10112</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5260" w:type="dxa"/>
            <w:vAlign w:val="bottom"/>
          </w:tcPr>
          <w:p>
            <w:pPr>
              <w:jc w:val="center"/>
              <w:ind w:right="24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20, 2018,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When we use the terms “Lazard Group”,”Lazard”,“we”,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March 31, 2018 of all of the common membership interests in Lazard Group and its controlling interest in Lazard Group. Lazard Ltd controls Lazard Group through two of its indirect wholly-owned subsidiaries that are co-managing members of Lazard Group.</w:t>
      </w:r>
    </w:p>
    <w:p>
      <w:pPr>
        <w:spacing w:after="0" w:line="17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the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6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Financial Condition as of March 31, 2018 and December 31, 2017</w:t>
              </w:r>
            </w:hyperlink>
          </w:p>
        </w:tc>
        <w:tc>
          <w:tcPr>
            <w:tcW w:w="30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 March 31,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periods ended March 31, 2018 and 2017</w:t>
              </w:r>
            </w:hyperlink>
          </w:p>
        </w:tc>
        <w:tc>
          <w:tcPr>
            <w:tcW w:w="17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93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Members’ Equity for the three month periods ended March 31, 2018 and 2017</w:t>
              </w:r>
            </w:hyperlink>
          </w:p>
        </w:tc>
        <w:tc>
          <w:tcPr>
            <w:tcW w:w="136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949,851</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1,470,296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862,865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38,643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$38,505 and $23,692 at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March 31, 2018 and December 31, 2017,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543,758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130,928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588,751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354,952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$329,031 and $317,816</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March 31, 2018 and December 31, 2017,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212,459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$61,819 and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$61,202 at March 31, 2018 and December 31, 2017, respectively)</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365,862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368,034</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347,648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224,862</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3,909,463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955,723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591,394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1,190,830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65,271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545,092</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3,192,307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3,393,673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20" w:type="dxa"/>
            <w:vAlign w:val="bottom"/>
          </w:tcPr>
          <w:p>
            <w:pPr>
              <w:ind w:left="260"/>
              <w:spacing w:after="0"/>
              <w:rPr>
                <w:sz w:val="20"/>
                <w:szCs w:val="20"/>
                <w:color w:val="auto"/>
              </w:rPr>
            </w:pPr>
            <w:r>
              <w:rPr>
                <w:rFonts w:ascii="Arial" w:cs="Arial" w:eastAsia="Arial" w:hAnsi="Arial"/>
                <w:sz w:val="18"/>
                <w:szCs w:val="18"/>
                <w:color w:val="auto"/>
              </w:rPr>
              <w:t>Members' equity (net of 8,521,661 and 9,907,479 shares of Lazard Ltd Class A</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8"/>
                <w:szCs w:val="18"/>
                <w:color w:val="auto"/>
              </w:rPr>
              <w:t>common stock, at a cost of $383,813 and $411,560 at March 31, 2018 and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380"/>
              <w:spacing w:after="0"/>
              <w:rPr>
                <w:sz w:val="20"/>
                <w:szCs w:val="20"/>
                <w:color w:val="auto"/>
              </w:rPr>
            </w:pPr>
            <w:r>
              <w:rPr>
                <w:rFonts w:ascii="Arial" w:cs="Arial" w:eastAsia="Arial" w:hAnsi="Arial"/>
                <w:sz w:val="18"/>
                <w:szCs w:val="18"/>
                <w:color w:val="auto"/>
              </w:rPr>
              <w:t>December 31, 2017, respectively)</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838,340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1,043,574</w:t>
            </w:r>
          </w:p>
        </w:tc>
        <w:tc>
          <w:tcPr>
            <w:tcW w:w="120" w:type="dxa"/>
            <w:vAlign w:val="bottom"/>
          </w:tcPr>
          <w:p>
            <w:pPr>
              <w:spacing w:after="0"/>
              <w:rPr>
                <w:sz w:val="20"/>
                <w:szCs w:val="20"/>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(180,259)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(195,256)</w:t>
            </w:r>
          </w:p>
        </w:tc>
      </w:tr>
      <w:tr>
        <w:trPr>
          <w:trHeight w:val="223"/>
        </w:trPr>
        <w:tc>
          <w:tcPr>
            <w:tcW w:w="6920" w:type="dxa"/>
            <w:vAlign w:val="bottom"/>
          </w:tcPr>
          <w:p>
            <w:pPr>
              <w:ind w:left="500"/>
              <w:spacing w:after="0"/>
              <w:rPr>
                <w:sz w:val="20"/>
                <w:szCs w:val="20"/>
                <w:color w:val="auto"/>
              </w:rPr>
            </w:pPr>
            <w:r>
              <w:rPr>
                <w:rFonts w:ascii="Arial" w:cs="Arial" w:eastAsia="Arial" w:hAnsi="Arial"/>
                <w:sz w:val="18"/>
                <w:szCs w:val="18"/>
                <w:color w:val="auto"/>
              </w:rPr>
              <w:t>Total Lazard Group LLC Members' Equity</w:t>
            </w:r>
          </w:p>
        </w:tc>
        <w:tc>
          <w:tcPr>
            <w:tcW w:w="9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658,081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848,318</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906,900</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3,909,463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408,072</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334,916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338,096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272,924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18,877</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27,722</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767,733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637,301</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14,824</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753,261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622,477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403,307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361,316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25,608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19,487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12,153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9,079</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566,309</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469,465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186,952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153,012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168,337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131,017</w:t>
            </w:r>
          </w:p>
        </w:tc>
        <w:tc>
          <w:tcPr>
            <w:tcW w:w="100" w:type="dxa"/>
            <w:vAlign w:val="bottom"/>
            <w:shd w:val="clear" w:color="auto" w:fill="CFF0FC"/>
          </w:tcPr>
          <w:p>
            <w:pPr>
              <w:spacing w:after="0"/>
              <w:rPr>
                <w:sz w:val="19"/>
                <w:szCs w:val="19"/>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FF0FC"/>
            </w:tcBorders>
          </w:tcPr>
          <w:p>
            <w:pPr>
              <w:spacing w:after="0"/>
              <w:rPr>
                <w:sz w:val="20"/>
                <w:szCs w:val="20"/>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166,368</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6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6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168,337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131,017</w:t>
            </w:r>
          </w:p>
        </w:tc>
        <w:tc>
          <w:tcPr>
            <w:tcW w:w="100" w:type="dxa"/>
            <w:vAlign w:val="bottom"/>
            <w:shd w:val="clear" w:color="auto" w:fill="CFF0FC"/>
          </w:tcPr>
          <w:p>
            <w:pPr>
              <w:spacing w:after="0"/>
              <w:rPr>
                <w:sz w:val="19"/>
                <w:szCs w:val="19"/>
                <w:color w:val="auto"/>
              </w:rPr>
            </w:pPr>
          </w:p>
        </w:tc>
      </w:tr>
      <w:tr>
        <w:trPr>
          <w:trHeight w:val="205"/>
        </w:trPr>
        <w:tc>
          <w:tcPr>
            <w:tcW w:w="63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w:t>
            </w:r>
          </w:p>
        </w:tc>
        <w:tc>
          <w:tcPr>
            <w:tcW w:w="100" w:type="dxa"/>
            <w:vAlign w:val="bottom"/>
            <w:shd w:val="clear" w:color="auto" w:fill="CFF0FC"/>
          </w:tcPr>
          <w:p>
            <w:pPr>
              <w:spacing w:after="0"/>
              <w:rPr>
                <w:sz w:val="19"/>
                <w:szCs w:val="19"/>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(net of tax benefit of $1,342 and $261</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three months ended March 31, 2018 and 2017,</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1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(5,014)</w:t>
            </w: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w:t>
            </w:r>
          </w:p>
        </w:tc>
      </w:tr>
      <w:tr>
        <w:trPr>
          <w:trHeight w:val="215"/>
        </w:trPr>
        <w:tc>
          <w:tcPr>
            <w:tcW w:w="63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tcPr>
          <w:p>
            <w:pPr>
              <w:ind w:left="640"/>
              <w:spacing w:after="0"/>
              <w:rPr>
                <w:sz w:val="20"/>
                <w:szCs w:val="20"/>
                <w:color w:val="auto"/>
              </w:rPr>
            </w:pPr>
            <w:r>
              <w:rPr>
                <w:rFonts w:ascii="Arial" w:cs="Arial" w:eastAsia="Arial" w:hAnsi="Arial"/>
                <w:sz w:val="18"/>
                <w:szCs w:val="18"/>
                <w:color w:val="auto"/>
              </w:rPr>
              <w:t>tax expense of $216 and $276 for the three months</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ended March 31, 2018 and 2017, respectively)</w:t>
            </w:r>
          </w:p>
        </w:tc>
        <w:tc>
          <w:tcPr>
            <w:tcW w:w="16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tcPr>
          <w:p>
            <w:pPr>
              <w:spacing w:after="0"/>
              <w:rPr>
                <w:sz w:val="20"/>
                <w:szCs w:val="20"/>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183,334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144,907</w:t>
            </w:r>
          </w:p>
        </w:tc>
        <w:tc>
          <w:tcPr>
            <w:tcW w:w="100" w:type="dxa"/>
            <w:vAlign w:val="bottom"/>
          </w:tcPr>
          <w:p>
            <w:pPr>
              <w:spacing w:after="0"/>
              <w:rPr>
                <w:sz w:val="19"/>
                <w:szCs w:val="19"/>
                <w:color w:val="auto"/>
              </w:rPr>
            </w:pPr>
          </w:p>
        </w:tc>
      </w:tr>
      <w:tr>
        <w:trPr>
          <w:trHeight w:val="211"/>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60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3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FF0FC"/>
          </w:tcPr>
          <w:p>
            <w:pPr>
              <w:spacing w:after="0"/>
              <w:rPr>
                <w:sz w:val="20"/>
                <w:szCs w:val="20"/>
                <w:color w:val="auto"/>
              </w:rPr>
            </w:pPr>
          </w:p>
        </w:tc>
      </w:tr>
      <w:tr>
        <w:trPr>
          <w:trHeight w:val="205"/>
        </w:trPr>
        <w:tc>
          <w:tcPr>
            <w:tcW w:w="63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25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181,365</w:t>
            </w:r>
          </w:p>
        </w:tc>
        <w:tc>
          <w:tcPr>
            <w:tcW w:w="300" w:type="dxa"/>
            <w:vAlign w:val="bottom"/>
          </w:tcPr>
          <w:p>
            <w:pPr>
              <w:spacing w:after="0"/>
              <w:rPr>
                <w:sz w:val="20"/>
                <w:szCs w:val="20"/>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142,030</w:t>
            </w:r>
          </w:p>
        </w:tc>
        <w:tc>
          <w:tcPr>
            <w:tcW w:w="10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168,337</w:t>
            </w:r>
          </w:p>
        </w:tc>
        <w:tc>
          <w:tcPr>
            <w:tcW w:w="160" w:type="dxa"/>
            <w:vAlign w:val="bottom"/>
          </w:tcPr>
          <w:p>
            <w:pPr>
              <w:spacing w:after="0"/>
              <w:rPr>
                <w:sz w:val="18"/>
                <w:szCs w:val="18"/>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131,017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(134,966)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(137,580)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(72,607)</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(149,082)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(236,718)</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40"/>
              <w:spacing w:after="0"/>
              <w:rPr>
                <w:sz w:val="20"/>
                <w:szCs w:val="20"/>
                <w:color w:val="auto"/>
              </w:rPr>
            </w:pPr>
            <w:r>
              <w:rPr>
                <w:rFonts w:ascii="Arial" w:cs="Arial" w:eastAsia="Arial" w:hAnsi="Arial"/>
                <w:sz w:val="16"/>
                <w:szCs w:val="16"/>
                <w:color w:val="auto"/>
              </w:rPr>
              <w:t>Net cash (used in) provided by operating activities</w:t>
            </w: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(67,998)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119,411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(16,072)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(3,847)</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(14,841)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Capital lease obligations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(100,341)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Lazard Ltd Class A common stock</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(145,949)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(106,048)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members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(203,920)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(193,460)</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(101,042)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(61,478)</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(3,767)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(7,957)</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(556,478)</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(224,487)</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49,410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 AND</w:t>
            </w: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(589,907)</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(90,218)</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2,441,266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CASH—March 31</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1,851,359</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1,489,920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CONDITION:</w:t>
      </w:r>
    </w:p>
    <w:p>
      <w:pPr>
        <w:spacing w:after="0" w:line="69" w:lineRule="exact"/>
        <w:rPr>
          <w:sz w:val="20"/>
          <w:szCs w:val="20"/>
          <w:color w:val="auto"/>
        </w:rPr>
      </w:pPr>
    </w:p>
    <w:p>
      <w:pPr>
        <w:jc w:val="center"/>
        <w:ind w:left="794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995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December 31,</w:t>
      </w:r>
    </w:p>
    <w:p>
      <w:pPr>
        <w:spacing w:after="0" w:line="78"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wp:posOffset>
            </wp:positionV>
            <wp:extent cx="1003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340"/>
          </w:cols>
          <w:pgMar w:left="240" w:top="337"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88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949,851</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1,470,296</w:t>
            </w: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862,865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935,431</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3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38,643</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120" w:type="dxa"/>
            <w:vAlign w:val="bottom"/>
            <w:shd w:val="clear" w:color="auto" w:fill="CFF0FC"/>
          </w:tcPr>
          <w:p>
            <w:pPr>
              <w:spacing w:after="0"/>
              <w:rPr>
                <w:sz w:val="19"/>
                <w:szCs w:val="19"/>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8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1,851,359</w:t>
            </w:r>
          </w:p>
        </w:tc>
        <w:tc>
          <w:tcPr>
            <w:tcW w:w="28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2,441,266</w:t>
            </w:r>
          </w:p>
        </w:tc>
        <w:tc>
          <w:tcPr>
            <w:tcW w:w="12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2017 (*)</w:t>
            </w: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4220" w:type="dxa"/>
            <w:vAlign w:val="bottom"/>
            <w:gridSpan w:val="2"/>
          </w:tcPr>
          <w:p>
            <w:pPr>
              <w:spacing w:after="0"/>
              <w:rPr>
                <w:sz w:val="20"/>
                <w:szCs w:val="20"/>
                <w:color w:val="auto"/>
              </w:rPr>
            </w:pPr>
            <w:r>
              <w:rPr>
                <w:rFonts w:ascii="Arial" w:cs="Arial" w:eastAsia="Arial" w:hAnsi="Arial"/>
                <w:sz w:val="16"/>
                <w:szCs w:val="16"/>
                <w:color w:val="auto"/>
              </w:rPr>
              <w:t>Adjustment for the cumulative effect on prior</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compensation</w:t>
            </w:r>
          </w:p>
        </w:tc>
        <w:tc>
          <w:tcPr>
            <w:tcW w:w="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r>
      <w:tr>
        <w:trPr>
          <w:trHeight w:val="213"/>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00" w:type="dxa"/>
            <w:vAlign w:val="bottom"/>
            <w:shd w:val="clear" w:color="auto" w:fill="CFF0FC"/>
          </w:tcPr>
          <w:p>
            <w:pPr>
              <w:spacing w:after="0"/>
              <w:rPr>
                <w:sz w:val="18"/>
                <w:szCs w:val="18"/>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131,017</w:t>
            </w:r>
          </w:p>
        </w:tc>
        <w:tc>
          <w:tcPr>
            <w:tcW w:w="100" w:type="dxa"/>
            <w:vAlign w:val="bottom"/>
            <w:shd w:val="clear" w:color="auto" w:fill="CFF0FC"/>
          </w:tcPr>
          <w:p>
            <w:pPr>
              <w:spacing w:after="0"/>
              <w:rPr>
                <w:sz w:val="19"/>
                <w:szCs w:val="19"/>
                <w:color w:val="auto"/>
              </w:rPr>
            </w:pPr>
          </w:p>
        </w:tc>
      </w:tr>
      <w:tr>
        <w:trPr>
          <w:trHeight w:val="213"/>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Other comprehensive income - net of tax</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13,890</w:t>
            </w: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00" w:type="dxa"/>
            <w:vAlign w:val="bottom"/>
            <w:shd w:val="clear" w:color="auto" w:fill="CFF0FC"/>
          </w:tcPr>
          <w:p>
            <w:pPr>
              <w:spacing w:after="0"/>
              <w:rPr>
                <w:sz w:val="19"/>
                <w:szCs w:val="19"/>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(193,460)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(193,460)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(991)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(194,451)</w:t>
            </w: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(106,048)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(106,048)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(106,048)</w:t>
            </w:r>
          </w:p>
        </w:tc>
      </w:tr>
      <w:tr>
        <w:trPr>
          <w:trHeight w:val="206"/>
        </w:trPr>
        <w:tc>
          <w:tcPr>
            <w:tcW w:w="42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(61,478)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(61,478)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(61,478)</w:t>
            </w: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4220" w:type="dxa"/>
            <w:vAlign w:val="bottom"/>
            <w:gridSpan w:val="2"/>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(3,064)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(3,064)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(2,656)</w:t>
            </w:r>
          </w:p>
        </w:tc>
      </w:tr>
      <w:tr>
        <w:trPr>
          <w:trHeight w:val="207"/>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Balance - March 31, 2017 (*)</w:t>
            </w:r>
          </w:p>
        </w:tc>
        <w:tc>
          <w:tcPr>
            <w:tcW w:w="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796,324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(256,885)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539,439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59,540</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598,979</w:t>
            </w:r>
          </w:p>
        </w:tc>
        <w:tc>
          <w:tcPr>
            <w:tcW w:w="10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both January 1, 2017 and March 31, 2017, in addition to profit participation interests, there were two managing member interests.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Lazard Group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Members'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Members'</w:t>
            </w:r>
          </w:p>
        </w:tc>
      </w:t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2018 (*)</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168,337</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Other comprehensive income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14,997</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82,820</w:t>
            </w:r>
          </w:p>
        </w:tc>
        <w:tc>
          <w:tcPr>
            <w:tcW w:w="120" w:type="dxa"/>
            <w:vAlign w:val="bottom"/>
            <w:shd w:val="clear" w:color="auto" w:fill="CFF0FC"/>
          </w:tcPr>
          <w:p>
            <w:pPr>
              <w:spacing w:after="0"/>
              <w:rPr>
                <w:sz w:val="19"/>
                <w:szCs w:val="19"/>
                <w:color w:val="auto"/>
              </w:rPr>
            </w:pP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(203,920)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(203,920)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(1,476)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(205,396)</w:t>
            </w: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(145,949)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(145,949)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(145,949)</w:t>
            </w: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(101,042)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(101,042)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(101,042)</w:t>
            </w:r>
          </w:p>
        </w:tc>
      </w:tr>
      <w:tr>
        <w:trPr>
          <w:trHeight w:val="20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(3,604)</w:t>
            </w:r>
          </w:p>
        </w:tc>
      </w:tr>
      <w:tr>
        <w:trPr>
          <w:trHeight w:val="207"/>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Balance - March 31, 2018 (*)</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838,340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(180,259)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658,081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59,075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717,156</w:t>
            </w:r>
          </w:p>
        </w:tc>
        <w:tc>
          <w:tcPr>
            <w:tcW w:w="12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192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both January 1, 2018 and March 31, 2018,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March 31, 2018 and December 31, 2017. Lazard Ltd, through its control of the managing members of Lazard Group, controls Lazard Group.</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jc w:val="both"/>
        <w:ind w:left="900" w:right="6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2017. The accompanying December 31, 2017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period ended March 31, 2018 are not indicative of the results to be expected for any future interim or annual period.</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40" w:hanging="379"/>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related to the adoption of new guidance impacting the condensed consolidated statements of cash flows (see Note 2).</w:t>
      </w:r>
    </w:p>
    <w:p>
      <w:pPr>
        <w:spacing w:after="0" w:line="36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 applied the new guidance to contracts that have not yet been completed as of the adoption date. The Company’s adoption efforts included the identification of revenue within the scope of the guidance and the evaluation of revenue contracts.</w:t>
      </w:r>
    </w:p>
    <w:p>
      <w:pPr>
        <w:spacing w:after="0" w:line="18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This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18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first quarter of 2018, the presentation of such costs on a gross basis resulted in an increase to net revenue of $23,556, primarily comprised of increases to asset management fees and investment banking and other advisory fees. In addition, there was a corresponding increase to operating expenses of $23,556, primarily comprised of an increase to distribution costs presented within fund administration and outsourced services and an increase to reimbursable deal costs presented within marketing and business development. These amounts would have been presented on a net basis prior to the adoption of the new guidance, and there was no material impact to net income as a result of the gross basis of presentation under the new guidance.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for further information on contracts within the scope of the new guidance.</w:t>
      </w:r>
    </w:p>
    <w:p>
      <w:pPr>
        <w:spacing w:after="0" w:line="22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In August and November 2016, the FASB issued updated guidance which clarifies how</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The adoption of the new guidance in the first quarter of 2018 resulted in the reclassification of “cash deposited with clearing organization and other segregated cash” and “deposits with banks and short-term investments” from operating activities to components of “cash and cash equivalents and restricted cash” on the condensed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condensed consolidated statement of cash flows, the new guidance had no impact on the Company’s financial statements.</w:t>
      </w:r>
    </w:p>
    <w:p>
      <w:pPr>
        <w:spacing w:after="0" w:line="178"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79" w:lineRule="exact"/>
        <w:rPr>
          <w:sz w:val="20"/>
          <w:szCs w:val="20"/>
          <w:color w:val="auto"/>
        </w:rPr>
      </w:pPr>
    </w:p>
    <w:p>
      <w:pPr>
        <w:ind w:right="240" w:firstLine="51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there was no material impact to the Company’s financial statements.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there was no material impact to the Company’s financial statements.</w:t>
      </w:r>
    </w:p>
    <w:p>
      <w:pPr>
        <w:spacing w:after="0" w:line="193" w:lineRule="exact"/>
        <w:rPr>
          <w:sz w:val="20"/>
          <w:szCs w:val="20"/>
          <w:color w:val="auto"/>
        </w:rPr>
      </w:pPr>
    </w:p>
    <w:p>
      <w:pPr>
        <w:ind w:right="20" w:firstLine="552"/>
        <w:spacing w:after="0" w:line="271"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(see Note 15).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17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—In February 2016, the FASB issued updated guidance for leases. The guidance requires a lessee to (i) recognize a right-of-use asset and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liability, initially measured at the present value of the lease payments, in the statement of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firstLine="8"/>
        <w:spacing w:after="0" w:line="259"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8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b w:val="1"/>
          <w:bCs w:val="1"/>
          <w:i w:val="1"/>
          <w:iCs w:val="1"/>
          <w:color w:val="auto"/>
        </w:rPr>
        <w:t>Asset Management Fees</w:t>
      </w:r>
      <w:r>
        <w:rPr>
          <w:rFonts w:ascii="Arial" w:cs="Arial" w:eastAsia="Arial" w:hAnsi="Arial"/>
          <w:sz w:val="16"/>
          <w:szCs w:val="16"/>
          <w:color w:val="auto"/>
        </w:rPr>
        <w:t>—Fees for Asset Management services are primarily comprised of management fees and incentive fees. Management fees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derived from fees for investment management and other services provided to clients. Revenue is recorded in accordance with the same five criteria as Financial Advisory fees, which generally results in management fees being recorded on an accrual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arrangement. Revenues associated with the reimbursement of such expenses are recorded when the Company is contractually entitled to reimbursement and presented within asset management fees.</w:t>
      </w:r>
    </w:p>
    <w:p>
      <w:pPr>
        <w:spacing w:after="0" w:line="184"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 2018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Financial Advisory (a)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408,467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2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Incentive Fees (c)</w:t>
            </w:r>
          </w:p>
        </w:tc>
        <w:tc>
          <w:tcPr>
            <w:tcW w:w="2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2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354,283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right="200" w:hanging="372"/>
        <w:spacing w:after="0" w:line="271"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178" w:lineRule="exact"/>
        <w:rPr>
          <w:rFonts w:ascii="Arial" w:cs="Arial" w:eastAsia="Arial" w:hAnsi="Arial"/>
          <w:sz w:val="17"/>
          <w:szCs w:val="17"/>
          <w:color w:val="auto"/>
        </w:rPr>
      </w:pPr>
    </w:p>
    <w:p>
      <w:pPr>
        <w:ind w:left="380" w:right="80" w:hanging="372"/>
        <w:spacing w:after="0" w:line="25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188"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186" w:lineRule="exact"/>
        <w:rPr>
          <w:rFonts w:ascii="Arial" w:cs="Arial" w:eastAsia="Arial" w:hAnsi="Arial"/>
          <w:sz w:val="18"/>
          <w:szCs w:val="18"/>
          <w:color w:val="auto"/>
        </w:rPr>
      </w:pPr>
    </w:p>
    <w:p>
      <w:pPr>
        <w:ind w:left="380" w:right="44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7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uncertainties. Therefore, when applying the practical expedients, amounts related to remaining performance obligations are not material to the Company’s financial statements.</w:t>
      </w:r>
    </w:p>
    <w:p>
      <w:pPr>
        <w:spacing w:after="0" w:line="36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periods ended March 31, 2018 and 2017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86"/>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1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13,651</w:t>
            </w:r>
          </w:p>
        </w:tc>
        <w:tc>
          <w:tcPr>
            <w:tcW w:w="120" w:type="dxa"/>
            <w:vAlign w:val="bottom"/>
          </w:tcPr>
          <w:p>
            <w:pPr>
              <w:spacing w:after="0"/>
              <w:rPr>
                <w:sz w:val="19"/>
                <w:szCs w:val="19"/>
                <w:color w:val="auto"/>
              </w:rPr>
            </w:pPr>
          </w:p>
        </w:tc>
      </w:tr>
      <w:tr>
        <w:trPr>
          <w:trHeight w:val="21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16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16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Ending Balance</w:t>
            </w:r>
          </w:p>
        </w:tc>
        <w:tc>
          <w:tcPr>
            <w:tcW w:w="16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10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2018 and December 31, 2017, the Company had receivables past due or deemed uncollectible of $40,386 and $34,865, respectively.</w:t>
      </w:r>
    </w:p>
    <w:p>
      <w:pPr>
        <w:spacing w:after="0" w:line="24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Of the Company’s fee receivables at March 31, 2018 and December 31, 2017, $81,572 and $80,536, respectively, represented interest-bearing financing receivables. In addition, at March 31, 2018 and December 31, 2017, the Company had interest-bearing receivables from Lazard Ltd subsidiaries of $35,131 and $72,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71"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$614,776 and $508,143 at March 31, 2018 and December 31, 2017,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354,952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354,403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40" w:hanging="372"/>
        <w:spacing w:after="0" w:line="25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$8,294, $32,190 and $89,491, respectively, at March 31, 2018 and $11,213, $48,391 and $131,893, respectively, at December 31, 2017,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During the three month periods ended March 31, 2018 and 2017, the Company reported in “revenue-other” on its condensed consolidated statements of operations net unrealized investment gains and losses pertaining to “trading” securities still held as of the reporting date as follows:</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00"/>
        <w:spacing w:after="0"/>
        <w:tabs>
          <w:tab w:leader="none" w:pos="10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tabs>
          <w:tab w:leader="none" w:pos="7840" w:val="left"/>
          <w:tab w:leader="none" w:pos="8940" w:val="left"/>
          <w:tab w:leader="none" w:pos="9700" w:val="left"/>
          <w:tab w:leader="none" w:pos="10780" w:val="left"/>
        </w:tabs>
        <w:rPr>
          <w:sz w:val="20"/>
          <w:szCs w:val="20"/>
          <w:color w:val="auto"/>
        </w:rPr>
      </w:pPr>
      <w:r>
        <w:rPr>
          <w:rFonts w:ascii="Arial" w:cs="Arial" w:eastAsia="Arial" w:hAnsi="Arial"/>
          <w:sz w:val="18"/>
          <w:szCs w:val="18"/>
          <w:color w:val="auto"/>
        </w:rPr>
        <w:t>Net unrealized investment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(9,291)</w:t>
        <w:tab/>
        <w:t>$</w:t>
      </w:r>
      <w:r>
        <w:rPr>
          <w:sz w:val="20"/>
          <w:szCs w:val="20"/>
          <w:color w:val="auto"/>
        </w:rPr>
        <w:tab/>
      </w:r>
      <w:r>
        <w:rPr>
          <w:rFonts w:ascii="Arial" w:cs="Arial" w:eastAsia="Arial" w:hAnsi="Arial"/>
          <w:sz w:val="15"/>
          <w:szCs w:val="15"/>
          <w:color w:val="auto"/>
        </w:rPr>
        <w:t>13,180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30480</wp:posOffset>
            </wp:positionV>
            <wp:extent cx="2178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11.</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following tables present, as of March 31, 2018 and December 31, 2017,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March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366,010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214,975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and liabilities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6"/>
              </w:rPr>
              <w:t>Three Months Ended March 31, 2018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(1)</w:t>
            </w: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6"/>
              </w:rPr>
              <w:t>Three Months Ended March 31, 2017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Sales/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Dispositions</w:t>
            </w:r>
          </w:p>
        </w:tc>
        <w:tc>
          <w:tcPr>
            <w:tcW w:w="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0" w:hanging="372"/>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periods ended March 31, 2018 and 2017 include net unrealized losses of $1 and $0, respectively. Earnings recorded in “amortization and other acquisition-related costs” for the contingent consideration liability for the three month periods ended March 31, 2018 and 2017 include unrealized losses of $5 and $714, respectively.</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tables present, at March 31, 2018 and December 31, 2017,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 2018</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9,590</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16%</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39%</w:t>
            </w: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45%</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76,637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9,590</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weekly (10%) and monthly (90)%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(19%), monthly (49%) and quarterly (32%)</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$18,694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FF0FC"/>
            </w:tcBorders>
            <w:gridSpan w:val="2"/>
          </w:tcPr>
          <w:p>
            <w:pPr>
              <w:ind w:left="720"/>
              <w:spacing w:after="0"/>
              <w:rPr>
                <w:sz w:val="20"/>
                <w:szCs w:val="20"/>
                <w:color w:val="auto"/>
              </w:rPr>
            </w:pPr>
            <w:r>
              <w:rPr>
                <w:rFonts w:ascii="Arial" w:cs="Arial" w:eastAsia="Arial" w:hAnsi="Arial"/>
                <w:sz w:val="16"/>
                <w:szCs w:val="16"/>
                <w:color w:val="auto"/>
              </w:rPr>
              <w:t>38%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80,378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84"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ectPr>
          <w:pgSz w:w="11900" w:h="16838" w:orient="portrait"/>
          <w:cols w:equalWidth="0" w:num="1">
            <w:col w:w="11420"/>
          </w:cols>
          <w:pgMar w:left="240" w:top="121"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2018 and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6,379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2,535</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212,416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$5,602 and $398 as of March 31, 2018, respectively, and $469 and $11,321 as of December 31, 2017, respectively, for contracts with the same counterparty under legally enforceable master netting agreements. Such amounts are recorded “net” in “other assets”, with receivables for net cash collateral under such contracts of $1,896 and $17,616 as of March 31, 2018 and December 31, 2017,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2018 and 2017,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(5,385)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2018 and December 31, 2017,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177,524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329,031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212,459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2018 and December 31, 2017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361,205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365,862</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At March 31, 2018 and December 31, 2017, goodwill of $296,664 and $298,219,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three month periods ended March 31, 2018 and 2017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All changes in the carrying amount of goodwill for the three month periods ended March 31, 2018 and 2017 are attributable to the Company’s Financial Advisory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March 31, 2018 and December 31, 2017,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27,927</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33,325</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61,202</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costs” in the condensed consolidated statements of operations, for the three month periods ended March 31, 2018 and 2017 was $617 and $434, respectively. Estimated future amortization expense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2018 (April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540" w:hanging="38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Approximately 42%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497,583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396,757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296,490</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1,190,830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00" w:hanging="372"/>
        <w:spacing w:after="0" w:line="26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2018 and December 31, 2017, no amounts were outstanding under the Amended and Restated Credit Agreement.</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event of early redemption, where applicable. As of March 31, 2018, the Company was in compliance with such provisions. All of the Company’s senior debt obligations are unsecured.</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As of March 31, 2018, the Company had approximately $170,000 in unused lines of credit available to it, including the credit facility provided under the Amended and Restated Credit Agreement and unused lines of credit available to LFB of approximately $18,000 (at March 31, 2018 exchange rates).</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Company’s senior debt at March 31, 2018 and December 31, 2017 is carried at historical amounts of $1,190,830 and $1,190,383, respectively. At those dates, the fair value of such senior debt was approximately $1,205,000 and $1,230,000,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2018, LFB had $2,922 of such indemnifications and held $2,922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the remaining consideration consists of (i) 60,817 shares of Class A common stock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non-compete provisions and (ii) up to 210,431 additional shares of Class A common stock that are subject to certain performance thresholds. As of March 31, 2018, none of the contingent shares had been earned.</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March 31, 2018,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57"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b w:val="1"/>
          <w:bCs w:val="1"/>
          <w:i w:val="1"/>
          <w:iCs w:val="1"/>
          <w:color w:val="auto"/>
        </w:rPr>
        <w:t xml:space="preserve">Lazard Group Distributions - </w:t>
      </w:r>
      <w:r>
        <w:rPr>
          <w:rFonts w:ascii="Arial" w:cs="Arial" w:eastAsia="Arial" w:hAnsi="Arial"/>
          <w:sz w:val="17"/>
          <w:szCs w:val="17"/>
          <w:color w:val="auto"/>
        </w:rPr>
        <w:t>Distributions in respect of Lazard Group’s common membership interests are allocated to the holders of such interests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During the three month periods ended March 31, 2018 and 2017, Lazard Group distributed $203,920 and $193,460, respectively, to the subsidiaries of Lazard Ltd.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2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2018 and since 2015,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Lazard Ltd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w w:val="92"/>
              </w:rPr>
              <w:t>Three Months Ended March 31:</w:t>
            </w:r>
          </w:p>
        </w:tc>
        <w:tc>
          <w:tcPr>
            <w:tcW w:w="4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Borders>
              <w:bottom w:val="single" w:sz="8" w:color="auto"/>
            </w:tcBorders>
            <w:vMerge w:val="continue"/>
          </w:tcPr>
          <w:p>
            <w:pPr>
              <w:spacing w:after="0"/>
              <w:rPr>
                <w:sz w:val="11"/>
                <w:szCs w:val="11"/>
                <w:color w:val="auto"/>
              </w:rPr>
            </w:pPr>
          </w:p>
        </w:tc>
        <w:tc>
          <w:tcPr>
            <w:tcW w:w="4040" w:type="dxa"/>
            <w:vAlign w:val="bottom"/>
          </w:tcPr>
          <w:p>
            <w:pPr>
              <w:spacing w:after="0"/>
              <w:rPr>
                <w:sz w:val="11"/>
                <w:szCs w:val="11"/>
                <w:color w:val="auto"/>
              </w:rPr>
            </w:pPr>
          </w:p>
        </w:tc>
        <w:tc>
          <w:tcPr>
            <w:tcW w:w="12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bottom w:val="single" w:sz="8" w:color="CFF0FC"/>
            </w:tcBorders>
          </w:tcPr>
          <w:p>
            <w:pPr>
              <w:spacing w:after="0" w:line="20" w:lineRule="exact"/>
              <w:rPr>
                <w:sz w:val="1"/>
                <w:szCs w:val="1"/>
                <w:color w:val="auto"/>
              </w:rPr>
            </w:pPr>
          </w:p>
        </w:tc>
        <w:tc>
          <w:tcPr>
            <w:tcW w:w="40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40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2,464,967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2018</w:t>
            </w:r>
          </w:p>
        </w:tc>
        <w:tc>
          <w:tcPr>
            <w:tcW w:w="40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2,662,286</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During the three month periods ended March 31, 2018 and 2017, certain of our executive officers received Lazard Ltd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Lazard Ltd Class A common stock from the executive officers equal in value to all or a portion of the estimated amount of such tax. In addition, during the three month periods ended March 31, 2018 and 2017, the Company purchased shares of Lazard Ltd Class A common stock from certain of our executive officers. The aggregate value of all such purchases during the three month periods ended March 31, 2018 and 2017 was approximately $16,400 and $14,700, respectively.</w:t>
      </w:r>
    </w:p>
    <w:p>
      <w:pPr>
        <w:spacing w:after="0" w:line="17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March 31, 2018, a total of $102,435 of share repurchase authorization remained available under Lazard Ltd’s share repurchase program, which will expire on December 31, 2019.</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on April 25, 2018, the Board of Directors of Lazard authorized the repurchase of up to $300,000 of additional shares of Lazard Ltd’s Class A common stock, which authorization will expire on December 31, 2020, bringing the total share repurchase authorization as of April 25, 2018 to approximately $351,000.</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During the three month period ended March 31, 2018,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2017 and activity during the three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(5,014)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13,935</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(155,418</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(180,259</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12,804</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(160,880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2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2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2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380" w:right="560" w:hanging="372"/>
        <w:spacing w:after="0" w:line="27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tables below summarize net income attributable to noncontrolling interests for the three month periods ended March 31, 2018 and 2017 and noncontrolling interests as of March 31, 2018 and December 31, 2017 in the Company’s condensed consolidated financial statements:</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Net Income</w:t>
      </w:r>
    </w:p>
    <w:p>
      <w:pPr>
        <w:jc w:val="center"/>
        <w:ind w:left="7740"/>
        <w:spacing w:after="0" w:line="226" w:lineRule="auto"/>
        <w:rPr>
          <w:sz w:val="20"/>
          <w:szCs w:val="20"/>
          <w:color w:val="auto"/>
        </w:rPr>
      </w:pPr>
      <w:r>
        <w:rPr>
          <w:rFonts w:ascii="Arial" w:cs="Arial" w:eastAsia="Arial" w:hAnsi="Arial"/>
          <w:sz w:val="14"/>
          <w:szCs w:val="14"/>
          <w:b w:val="1"/>
          <w:bCs w:val="1"/>
          <w:color w:val="auto"/>
        </w:rPr>
        <w:t>Attributable to Noncontrolling</w:t>
      </w:r>
    </w:p>
    <w:p>
      <w:pPr>
        <w:jc w:val="center"/>
        <w:ind w:left="7740"/>
        <w:spacing w:after="0" w:line="232" w:lineRule="auto"/>
        <w:rPr>
          <w:sz w:val="20"/>
          <w:szCs w:val="20"/>
          <w:color w:val="auto"/>
        </w:rPr>
      </w:pPr>
      <w:r>
        <w:rPr>
          <w:rFonts w:ascii="Arial" w:cs="Arial" w:eastAsia="Arial" w:hAnsi="Arial"/>
          <w:sz w:val="14"/>
          <w:szCs w:val="14"/>
          <w:b w:val="1"/>
          <w:bCs w:val="1"/>
          <w:color w:val="auto"/>
        </w:rPr>
        <w:t>Interests</w:t>
      </w: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4"/>
          </w:tcPr>
          <w:p>
            <w:pPr>
              <w:jc w:val="center"/>
              <w:ind w:right="196"/>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r>
      <w:tr>
        <w:trPr>
          <w:trHeight w:val="171"/>
        </w:trPr>
        <w:tc>
          <w:tcPr>
            <w:tcW w:w="7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9"/>
              </w:rPr>
              <w:t>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Noncontrolling Interests as of</w:t>
            </w:r>
          </w:p>
        </w:tc>
      </w:t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399"/>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6"/>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periods ended March 31, 2018 and 2017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unvested awards granted under the 2008 Plan before its termination remain outstanding and continue to be subject to its terms.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unvested deferred stock unit (“DSU”) awards granted under the 2005 Plan before its expiration remain outstanding and continue to be subject to its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condensed consolidated statements of operations for the three month periods ended March 31,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RSUs</w:t>
            </w:r>
          </w:p>
        </w:tc>
        <w:tc>
          <w:tcPr>
            <w:tcW w:w="382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60,887</w:t>
            </w:r>
          </w:p>
        </w:tc>
        <w:tc>
          <w:tcPr>
            <w:tcW w:w="280" w:type="dxa"/>
            <w:vAlign w:val="bottom"/>
          </w:tcPr>
          <w:p>
            <w:pPr>
              <w:spacing w:after="0"/>
              <w:rPr>
                <w:sz w:val="19"/>
                <w:szCs w:val="19"/>
                <w:color w:val="auto"/>
              </w:rPr>
            </w:pP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55,941</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10,773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9,649</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8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82,723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77,449</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2018 and 2017, dividend participation rights required the issuance of 535,695 and 613,795 RSUs, respectively.</w:t>
      </w:r>
    </w:p>
    <w:p>
      <w:pPr>
        <w:spacing w:after="0" w:line="208"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405 and 1,551 DSUs granted during the three month periods ended March 31, 2018 and 2017,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2018 and 2017, 3,066 and 3,555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535,695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3,749,981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(29,620)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(4,513,378)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12,126,829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281,893</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276,725</w:t>
            </w:r>
          </w:p>
        </w:tc>
        <w:tc>
          <w:tcPr>
            <w:tcW w:w="3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613,795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4,926,935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(3,621,454)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March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12,984,542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three month periods ended March 31, 2018 and 2017, the Company satisfied its minimum statutory tax withholding requirements in lieu of delivering 1,554,542 and 1,229,531 shares of Class A common stock during such respective three month periods. Accordingly, 2,958,836 and 2,391,923 shares of Class A common stock held by the Company were delivered during the three month periods ended March 31, 2018 and 2017, respectively.</w:t>
      </w:r>
    </w:p>
    <w:p>
      <w:pPr>
        <w:spacing w:after="0" w:line="187"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As of March 31, 2018, estimated unrecognized RSU compensation expense was approximately $251,445, with such expense expected to be recognized over a weighted average period of approximately 0.9 years subsequent to March 31, 2018.</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(9,328)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(599,055)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1,859,764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(11,087)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(263,457)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2,221,884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2018 and 2017, the Company satisfied its minimum statutory tax withholding requirements in lieu of delivering 217,227 and 108,239 shares of Class A common stock during such respective three month periods. Accordingly, 381,828 and 155,218 shares of Class A common stock held by the Company were delivered during the three month periods ended March 31, 2018 and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March 31, 2018, estimated unrecognized restricted stock expense was approximately $43,861, with such expense to be recognized over a weighted average period of approximately 0.8 years subsequent to March 31, 2018.</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three month periods ended March 31,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(799,402)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1,192,160</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(752,770)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1,296,099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20" w:hanging="51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three month periods ended March 31, 2018 and 2017, the Company satisfied its minimum statutory tax withholding requirements in lieu of delivering 91,962 and 85,629 shares of Class A common stock during such respective three month periods. Accordingly, 707,440 and 667,141 shares of Class A common stock held by the Company were delivered during the three month periods ended March 31, 2018 and 2017, respectively.</w:t>
      </w:r>
    </w:p>
    <w:p>
      <w:pPr>
        <w:spacing w:after="0" w:line="18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2018, the total estimated unrecognized compensation expense was approximately $20,919, and the Company expects to amortize such expense over a weighted-average period of approximately 0.7 years subsequent to March 31,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(72,979)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2018</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(81,559)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2017</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March 31, 2018.</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2018 and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7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15,836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vMerge w:val="restart"/>
          </w:tcPr>
          <w:p>
            <w:pPr>
              <w:jc w:val="right"/>
              <w:ind w:right="1770"/>
              <w:spacing w:after="0"/>
              <w:rPr>
                <w:sz w:val="20"/>
                <w:szCs w:val="20"/>
                <w:color w:val="auto"/>
              </w:rPr>
            </w:pPr>
            <w:r>
              <w:rPr>
                <w:rFonts w:ascii="Arial" w:cs="Arial" w:eastAsia="Arial" w:hAnsi="Arial"/>
                <w:sz w:val="18"/>
                <w:szCs w:val="18"/>
                <w:color w:val="auto"/>
              </w:rPr>
              <w:t>30</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 (see Note 2).</w:t>
      </w:r>
    </w:p>
    <w:p>
      <w:pPr>
        <w:spacing w:after="0" w:line="15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periods ended March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80" w:type="dxa"/>
            <w:vAlign w:val="bottom"/>
            <w:tcBorders>
              <w:bottom w:val="single" w:sz="8" w:color="auto"/>
            </w:tcBorders>
            <w:gridSpan w:val="5"/>
          </w:tcPr>
          <w:p>
            <w:pPr>
              <w:jc w:val="right"/>
              <w:ind w:right="13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Pr>
          <w:p>
            <w:pPr>
              <w:jc w:val="right"/>
              <w:ind w:right="22"/>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300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1020" w:type="dxa"/>
            <w:vAlign w:val="bottom"/>
            <w:gridSpan w:val="2"/>
          </w:tcPr>
          <w:p>
            <w:pPr>
              <w:jc w:val="right"/>
              <w:ind w:right="89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(7,783)</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(6,105)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93"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7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impact of this remeasurement was immaterial to the Company.</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 Company instead provides for U.S. income taxes on a current basis for the relevant portion of those earnings. The Company also conducts operations outside the U.S. through foreign corporate subsidiaries. The impact of the one-time repatriation tax was immaterial to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 certain subsidiaries and the filing of our tax returns. We will recognize any changes to the provisional amounts as we refine our estimates and expect to complete our analysis of the provisional items during the second half of 2018.</w:t>
      </w:r>
    </w:p>
    <w:p>
      <w:pPr>
        <w:spacing w:after="0" w:line="193"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Company recorded income tax provisions of $18,615 and $21,995 for the three month periods ended March 31, 2018 and 2017, respectively, representing effective tax rates of 10.0% and 14.4%, respectively. The difference between the U.S. federal statutory rate of 21% and 35.0% for 2018 and 2017, respectively, and the effective tax rates reflected above principally relates to (i) Lazard Group primarily operating as a limited liability company in the U.S., (ii) change in the valuation allowance affecting the provision for income taxes, (iii) taxes payable to foreign jurisdictions, (iv) excess net tax benefit for share-based incentive compensation, and (v) U.S. state and local taxes, which are incremental to the U.S. federal statutory tax rate.</w:t>
      </w:r>
    </w:p>
    <w:p>
      <w:pPr>
        <w:spacing w:after="0" w:line="15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On January 1, 2017, the Company adopted new accounting guidance on share-based incentive compensation. As a result of the adoption of this new guidance, the Company recognized excess tax benefits of $8,950 and $2,003 from the vesting of share-based incentive compensation in the provision for income taxes in the condensed consolidated statements of operations for the three month periods ended March 31, 2018 and 2017, respectively.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from and Payables to Lazard Ltd Subsidiaries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 Group’s receivables from subsidiaries of Lazard Ltd at March 31, 2018 and December 31, 2017 included interest-bearing loans of $35,131 and $72, respectively, including accrued interest thereon. Interest income relating to interest-bearing loans with subsidiaries of Lazard Ltd amounted to $21 and $133 for the three month periods ended March 31, 2018 and 2017, respectively.</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Lazard Group’s payables to subsidiaries of Lazard Ltd at March 31, 2018 and December 31, 2017 included interest-bearing loans, including interest thereon, of $63,976 and $64,203, respectively. Interest expense relating to interest-bearing loans with subsidiaries of Lazard Ltd amounted to $973 and $944 for the three month periods ended March 31, 2018 and 2017,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$181,309 and $140,577 for the three month periods ended March 31, 2018 and 2017, respectively, and are included in “asset management fees” on the condensed consolidated statements of operations. Of such amounts, $78,347 and $69,107 remained as receivables at March 31, 2018 and December 31, 2017, respectively, and are included in “fees receivable” on the condensed consolidated statements of financial condition.</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related party transactions pertaining to shares repurchased from certain of our executive officers.</w:t>
      </w:r>
    </w:p>
    <w:p>
      <w:pPr>
        <w:spacing w:after="0" w:line="212" w:lineRule="exact"/>
        <w:rPr>
          <w:sz w:val="20"/>
          <w:szCs w:val="20"/>
          <w:color w:val="auto"/>
        </w:rPr>
      </w:pPr>
    </w:p>
    <w:p>
      <w:pPr>
        <w:ind w:left="880" w:hanging="872"/>
        <w:spacing w:after="0"/>
        <w:tabs>
          <w:tab w:leader="none" w:pos="8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defined) to net capital may not exceed 15:1. At March 31, 2018, LFNY’s regulatory net capital was $65,442, which exceeded the minimum requirement by $62,369. LFNY’s aggregate indebtedness to net capital ratio was 0.70:1 as of March 31, 2018.</w:t>
      </w:r>
    </w:p>
    <w:p>
      <w:pPr>
        <w:spacing w:after="0" w:line="17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2018, the aggregate regulatory net capital of the U.K. Subsidiaries was $196,268, which exceeded the minimum requirement by $177,118.</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March 31, 2018, the consolidated regulatory net capital of CFLF was $144,257, which exceeded the minimum requirement set for regulatory capital levels by $84,537.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2017, the regulatory net capital of the combined European regulated group was $170,933, which exceeded the minimum requirement set for regulatory capital levels by $68,025.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2018, for those subsidiaries with regulatory capital requirements, their aggregate net capital was $140,069, which exceeded the minimum required capital by $110,736.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2018, each of these subsidiaries individually was in compliance with its regulatory capital requirements.</w:t>
      </w:r>
    </w:p>
    <w:p>
      <w:pPr>
        <w:spacing w:after="0" w:line="225"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segment information for the three month periods ended March 31, 2018 and 2017 is prepared using the following methodology:</w:t>
      </w:r>
    </w:p>
    <w:p>
      <w:pPr>
        <w:spacing w:after="0" w:line="129"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5" w:name="page36"/>
    <w:bookmarkEnd w:id="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r>
      <w:tr>
        <w:trPr>
          <w:trHeight w:val="156"/>
        </w:trPr>
        <w:tc>
          <w:tcPr>
            <w:tcW w:w="3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408,467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322,508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259,362</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85,959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76,322</w:t>
            </w:r>
          </w:p>
        </w:tc>
        <w:tc>
          <w:tcPr>
            <w:tcW w:w="100" w:type="dxa"/>
            <w:vAlign w:val="bottom"/>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354,283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283,363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229,669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188,751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Operating Income</w:t>
            </w: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124,614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94,612</w:t>
            </w: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1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14,132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(23,621)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(17,922)</w:t>
            </w:r>
          </w:p>
        </w:tc>
        <w:tc>
          <w:tcPr>
            <w:tcW w:w="100" w:type="dxa"/>
            <w:vAlign w:val="bottom"/>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753,261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622,477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566,309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469,465</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186,952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20" w:type="dxa"/>
            <w:vAlign w:val="bottom"/>
            <w:gridSpan w:val="2"/>
          </w:tcPr>
          <w:p>
            <w:pPr>
              <w:spacing w:after="0"/>
              <w:rPr>
                <w:sz w:val="13"/>
                <w:szCs w:val="13"/>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FF0FC"/>
            </w:tcBorders>
            <w:shd w:val="clear" w:color="auto" w:fill="CFF0FC"/>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848,241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817,185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686,724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FF0FC"/>
            </w:tcBorders>
          </w:tcPr>
          <w:p>
            <w:pPr>
              <w:spacing w:after="0"/>
              <w:rPr>
                <w:sz w:val="19"/>
                <w:szCs w:val="19"/>
                <w:color w:val="auto"/>
              </w:rPr>
            </w:pPr>
          </w:p>
        </w:tc>
        <w:tc>
          <w:tcPr>
            <w:tcW w:w="29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2,374,498</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2,726,990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3,909,463</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2017 (the “Form 10-K”). All references to “2018,” “2017,” “first quarter,” or “the period” refer to, as the context requires, the three month periods ended March 31, 2018 and March 31,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left="900" w:right="60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8" w:name="page39"/>
    <w:bookmarkEnd w:id="38"/>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Equity market indices for developed markets at March 31, 2018 generally increased as compared to such indices at March 31, 2017 and decreased as compared to such indices at December 31, 2017. In the global M&amp;A markets during the first quarter of 2018, the value and number of all completed M&amp;A transactions decreased as compared to the same period in the prior year, as did the subset of such transactions involving values greater than $500 million.</w:t>
      </w:r>
    </w:p>
    <w:p>
      <w:pPr>
        <w:ind w:right="200"/>
        <w:spacing w:after="0" w:line="255" w:lineRule="auto"/>
        <w:rPr>
          <w:sz w:val="20"/>
          <w:szCs w:val="20"/>
          <w:color w:val="auto"/>
        </w:rPr>
      </w:pPr>
      <w:r>
        <w:rPr>
          <w:rFonts w:ascii="Arial" w:cs="Arial" w:eastAsia="Arial" w:hAnsi="Arial"/>
          <w:sz w:val="18"/>
          <w:szCs w:val="18"/>
          <w:color w:val="auto"/>
        </w:rPr>
        <w:t>During the same time, the value of all announced M&amp;A transactions, including the subset of such transactions involving values greater than $500 million, increased. During the first quarter of 2018, global restructuring activity, as measured by the number of corporate defaults, increased as compared to the first quarter of 2017.</w:t>
      </w:r>
    </w:p>
    <w:p>
      <w:pPr>
        <w:spacing w:after="0" w:line="19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an ongoing basis, regional, macroeconomic and geopolitical factors, including trade policy and regional tax and regulatory reform, may impact our business. Overall, the global macroeconomic outlook for the near- to mid-term appears supportive for both of our businesses. The U.S. economy remains healthy, and the European economy’s recovery continues to gain momentum.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140" w:hanging="379"/>
        <w:spacing w:after="0" w:line="293"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appear to remain in place, and we believe our Financial Advisory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left="900" w:right="40" w:hanging="379"/>
        <w:spacing w:after="0" w:line="270"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 Global Equity Franchise strategy, and a Market Neutral Quantitative Equity strategy.</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growth, earnings growth and member returns, the evaluation of potential growth opportunities, the prudent management of our costs and expenses, the efficient use of our assets and the return of equity to our members.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quarter of 2018 as compared to 2017. With respect to announced M&amp;A transactions, the value of all transactions, including the value of announced transactions involving values greater than $500 million, increased in the first quarter of 2018 as compared to 2017.</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5"/>
              </w:rPr>
              <w:t>Three Months Ended</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restart"/>
          </w:tcPr>
          <w:p>
            <w:pPr>
              <w:jc w:val="center"/>
              <w:ind w:right="494"/>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w w:val="91"/>
              </w:rPr>
              <w:t>in billions)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881</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8,224</w:t>
            </w:r>
          </w:p>
        </w:tc>
        <w:tc>
          <w:tcPr>
            <w:tcW w:w="4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10,329</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656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313</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1,117</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762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8,646</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10,279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545</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268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April 5, 2018.</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Global restructuring activity during the first quarter of 2018, as measured by the number of corporate defaults, increased as compared to the first quarter of 2017. The number of defaulting issuers increased to 28 in the first quarter of 2018, according to Moody’s Investors Service, Inc., as compared to 21 in the first quarter of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ind w:firstLine="51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percentage change in major equity market indices at March 31, 2018, as compared to such indices at December 31, 2017, and at March 31, 2017,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Percentage Changes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94"/>
              </w:rPr>
              <w:t>March 31, 2018 vs.</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2"/>
              </w:rPr>
              <w:t>(2)</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(4)%</w:t>
            </w:r>
          </w:p>
        </w:tc>
        <w:tc>
          <w:tcPr>
            <w:tcW w:w="9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w:t>
            </w:r>
          </w:p>
        </w:tc>
        <w:tc>
          <w:tcPr>
            <w:tcW w:w="9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w:t>
            </w:r>
          </w:p>
        </w:tc>
        <w:tc>
          <w:tcPr>
            <w:tcW w:w="9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8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March 31, 2018 increased 1% versus AUM at December 31, 2017, primarily due to foreign exchange appreciation and net inflows, partially offset by market depreciation. Average AUM for the first quarter of 2018 was 24% higher than the average AUM for the first quarter of 2017. Average AUM for the first quarter of 2018 increased 5% as compared to the fourth quarter of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120"/>
        <w:spacing w:after="0" w:line="297" w:lineRule="auto"/>
        <w:rPr>
          <w:sz w:val="20"/>
          <w:szCs w:val="20"/>
          <w:color w:val="auto"/>
        </w:rPr>
      </w:pPr>
      <w:r>
        <w:rPr>
          <w:rFonts w:ascii="Arial" w:cs="Arial" w:eastAsia="Arial" w:hAnsi="Arial"/>
          <w:sz w:val="16"/>
          <w:szCs w:val="16"/>
          <w:color w:val="auto"/>
        </w:rPr>
        <w:t>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5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61% of Lazard’s consolidated total assets as of March 31,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2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4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20" w:hanging="386"/>
        <w:spacing w:after="0" w:line="264"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2018 related to the 2017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00" w:hanging="386"/>
        <w:spacing w:after="0" w:line="277"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55.3% and 55.6%,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15 of Notes to Condensed Consolidated Financial Statements for additional information).</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3" w:name="page44"/>
    <w:bookmarkEnd w:id="43"/>
    <w:p>
      <w:pPr>
        <w:ind w:right="100"/>
        <w:spacing w:after="0" w:line="342" w:lineRule="auto"/>
        <w:rPr>
          <w:sz w:val="20"/>
          <w:szCs w:val="20"/>
          <w:color w:val="auto"/>
        </w:rPr>
      </w:pPr>
      <w:r>
        <w:rPr>
          <w:rFonts w:ascii="Arial" w:cs="Arial" w:eastAsia="Arial" w:hAnsi="Arial"/>
          <w:sz w:val="16"/>
          <w:szCs w:val="16"/>
          <w:color w:val="auto"/>
        </w:rPr>
        <w:t>interest expense and other corporate business expenses. The Tax Act further includes anti-base erosion provisions such as the base erosion and anti-abuse tax and tax on global intangible low-taxed income. The reduced corporate tax rate required us to remeasure our deferred tax assets and liabilities.</w:t>
      </w:r>
    </w:p>
    <w:p>
      <w:pPr>
        <w:spacing w:after="0" w:line="12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15 of Notes to Condensed Consolidated Financial Statements for additional information regarding income taxes, the impact of the Tax Act on us and our deferred tax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12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March 31, 2018 was positively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380" w:firstLine="480"/>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753,261</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403,307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162,380</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7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3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566,309</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469,465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186,952</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168,337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166,368</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128,140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3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753,261</w:t>
            </w:r>
          </w:p>
        </w:tc>
        <w:tc>
          <w:tcPr>
            <w:tcW w:w="280" w:type="dxa"/>
            <w:vAlign w:val="bottom"/>
          </w:tcPr>
          <w:p>
            <w:pPr>
              <w:spacing w:after="0"/>
              <w:rPr>
                <w:sz w:val="19"/>
                <w:szCs w:val="19"/>
                <w:color w:val="auto"/>
              </w:rPr>
            </w:pP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622,477</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 expense (b)</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(39,508)</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(5,217)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(4,942)</w:t>
            </w:r>
          </w:p>
        </w:tc>
      </w:tr>
      <w:tr>
        <w:trPr>
          <w:trHeight w:val="230"/>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(7,353)</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1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723,469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624,315</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ind w:left="380" w:right="6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100" w:hanging="372"/>
        <w:spacing w:after="0" w:line="265"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4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80" w:hanging="372"/>
        <w:spacing w:after="0" w:line="261"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1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403,307</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361,316</w:t>
            </w:r>
          </w:p>
        </w:tc>
        <w:tc>
          <w:tcPr>
            <w:tcW w:w="180" w:type="dxa"/>
            <w:vAlign w:val="bottom"/>
          </w:tcPr>
          <w:p>
            <w:pPr>
              <w:spacing w:after="0"/>
              <w:rPr>
                <w:sz w:val="19"/>
                <w:szCs w:val="19"/>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(2,527)</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(1,643)</w:t>
            </w:r>
          </w:p>
        </w:tc>
      </w:tr>
      <w:tr>
        <w:trPr>
          <w:trHeight w:val="230"/>
        </w:trPr>
        <w:tc>
          <w:tcPr>
            <w:tcW w:w="6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(7,353)</w:t>
            </w:r>
          </w:p>
        </w:tc>
      </w:tr>
      <w:tr>
        <w:trPr>
          <w:trHeight w:val="263"/>
        </w:trPr>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402,216</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352,320</w:t>
            </w:r>
          </w:p>
        </w:tc>
        <w:tc>
          <w:tcPr>
            <w:tcW w:w="180" w:type="dxa"/>
            <w:vAlign w:val="bottom"/>
            <w:tcBorders>
              <w:bottom w:val="single" w:sz="8" w:color="CFF0FC"/>
            </w:tcBorders>
          </w:tcPr>
          <w:p>
            <w:pPr>
              <w:spacing w:after="0"/>
              <w:rPr>
                <w:sz w:val="22"/>
                <w:szCs w:val="22"/>
                <w:color w:val="auto"/>
              </w:rPr>
            </w:pPr>
          </w:p>
        </w:tc>
      </w:tr>
      <w:tr>
        <w:trPr>
          <w:trHeight w:val="21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55.6%</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right="20" w:hanging="372"/>
        <w:spacing w:after="0" w:line="261"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Total non-compensation expense</w:t>
            </w:r>
          </w:p>
        </w:tc>
        <w:tc>
          <w:tcPr>
            <w:tcW w:w="33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162,380</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107,001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(7,426)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(1,389)</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w w:val="94"/>
              </w:rPr>
              <w:t>Distribution fees, reimbursable deal costs and bad debt expense (c)</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(39,508)</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 (d)</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(547)</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non-compensation expense</w:t>
            </w:r>
          </w:p>
        </w:tc>
        <w:tc>
          <w:tcPr>
            <w:tcW w:w="24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113,510</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106,579</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Arial" w:cs="Arial" w:eastAsia="Arial" w:hAnsi="Arial"/>
                <w:sz w:val="18"/>
                <w:szCs w:val="18"/>
                <w:color w:val="auto"/>
              </w:rPr>
              <w:t>43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5" w:name="page46"/>
    <w:bookmarkEnd w:id="45"/>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9040" cy="8890"/>
                    </a:xfrm>
                    <a:prstGeom prst="rect">
                      <a:avLst/>
                    </a:prstGeom>
                    <a:noFill/>
                  </pic:spPr>
                </pic:pic>
              </a:graphicData>
            </a:graphic>
          </wp:anchor>
        </w:drawing>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80" w:hanging="372"/>
        <w:spacing w:after="0" w:line="265"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hanging="372"/>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6"/>
          </w:tcPr>
          <w:p>
            <w:pPr>
              <w:jc w:val="center"/>
              <w:ind w:left="278"/>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298"/>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6"/>
          </w:tcPr>
          <w:p>
            <w:pPr>
              <w:jc w:val="center"/>
              <w:ind w:left="278"/>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revenue</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723,469</w:t>
            </w:r>
          </w:p>
        </w:tc>
        <w:tc>
          <w:tcPr>
            <w:tcW w:w="10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(402,216)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(352,320)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(113,510)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207,743</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165,416</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28.7%</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6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6"/>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29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149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267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1,302</w:t>
            </w:r>
          </w:p>
        </w:tc>
        <w:tc>
          <w:tcPr>
            <w:tcW w:w="26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2,862</w:t>
            </w:r>
          </w:p>
        </w:tc>
        <w:tc>
          <w:tcPr>
            <w:tcW w:w="260" w:type="dxa"/>
            <w:vAlign w:val="bottom"/>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2,829</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$166 million, as compared to net income of $128 million in the 2017 period.</w:t>
      </w:r>
    </w:p>
    <w:p>
      <w:pPr>
        <w:spacing w:after="0" w:line="23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Net revenue increased $131 million, or 21%, with operating revenue increasing $99 million, or 16%, as compared to the 2017 period. Net revenue in the 2018 period reflects the adoption of new revenue recognition guidance (see Note 2 of Notes to Condensed Consolidated Financial Statements). Fee revenue from investment banking and other advisory activities increased $73 million, or 22%, as compared to the 2017 period, primarily due to an increase in M&amp;A Advisory revenue, partially offset by a decrease in Restructuring revenue. Asset management fees, including incentive fees, increased $65 million, or 24%, as compared to the 2017 period, primarily due to an increase in average AUM, as well as the impact of the new revenue recognition guidance discussed above. In the aggregate, interest income, other revenue and interest expense decreased $7 million as compared to the 2017 period, primarily due to lower income attributable to investments held in connection with LFI.</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ind w:right="400" w:firstLine="518"/>
        <w:spacing w:after="0" w:line="277" w:lineRule="auto"/>
        <w:rPr>
          <w:sz w:val="20"/>
          <w:szCs w:val="20"/>
          <w:color w:val="auto"/>
        </w:rPr>
      </w:pPr>
      <w:r>
        <w:rPr>
          <w:rFonts w:ascii="Arial" w:cs="Arial" w:eastAsia="Arial" w:hAnsi="Arial"/>
          <w:sz w:val="18"/>
          <w:szCs w:val="18"/>
          <w:color w:val="auto"/>
        </w:rPr>
        <w:t>Compensation and benefits expense increased $42 million, or 12%, as compared to the 2017 period, primarily associated with increased operating revenue.</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$402 million, an increase of $50 million, or 14%, as compared to $352 million in the 2017 period. The ratio of adjusted compensation and benefits expense to operating revenue was 55.6% for the 2018 period, as compared to 56.4% for the 2017 period and 55.6% for full-year 2017.</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Non-compensation expense increased $55 million, or 52%, as compared to the 2017 period, primarily due to the impact of the new revenue recognition guidance discussed above, expenses associated with the ERP system implementation and expenses related to office space reorganization. Adjusted non-compensation expense, which excludes non-compensation costs related to the impact of the new revenue recognition guidance, ERP system implementation, office space reorganization and noncontrolling interests, increased $7 million, or 7%, as compared to the 2017 period. The ratio of adjusted non-compensation expense to operating revenue was 15.7% for the 2018 period, as compared to 17.1% for the 2017 period.</w:t>
      </w:r>
    </w:p>
    <w:p>
      <w:pPr>
        <w:spacing w:after="0" w:line="15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Amortization and other acquisition-related costs decreased $1 million as compared to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$34 million, or 22%, as compared to the 2017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Earnings from operations increased $42 million, or 26%, as compared to the 2017 period, and, as a percentage of operating revenue, was 28.7%, as compared to 26.5% in the 2017 period.</w:t>
      </w:r>
    </w:p>
    <w:p>
      <w:pPr>
        <w:spacing w:after="0" w:line="170"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The provision for income taxes reflects an effective tax rate of 10.0%, as compared to 14.4% for the 2017 period. The decrease in the effective tax rate is primarily due to (i) an increase in excess net tax benefits related to share-based incentive compensation, and (ii) a change in the geographic mix of earnings.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42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408,467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335,684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34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322,508</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259,362</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85,959</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76,322</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80" w:type="dxa"/>
            <w:vAlign w:val="bottom"/>
            <w:vMerge w:val="restart"/>
          </w:tcPr>
          <w:p>
            <w:pPr>
              <w:jc w:val="right"/>
              <w:ind w:right="1870"/>
              <w:spacing w:after="0"/>
              <w:rPr>
                <w:sz w:val="20"/>
                <w:szCs w:val="20"/>
                <w:color w:val="auto"/>
              </w:rPr>
            </w:pPr>
            <w:r>
              <w:rPr>
                <w:rFonts w:ascii="Arial" w:cs="Arial" w:eastAsia="Arial" w:hAnsi="Arial"/>
                <w:sz w:val="18"/>
                <w:szCs w:val="18"/>
                <w:color w:val="auto"/>
              </w:rPr>
              <w:t>45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6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gridSpan w:val="2"/>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9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79"/>
              </w:rPr>
              <w:t>74</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79"/>
              </w:rPr>
              <w:t>65</w:t>
            </w:r>
          </w:p>
        </w:tc>
        <w:tc>
          <w:tcPr>
            <w:tcW w:w="180" w:type="dxa"/>
            <w:vAlign w:val="bottom"/>
            <w:shd w:val="clear" w:color="auto" w:fill="CFF0FC"/>
          </w:tcPr>
          <w:p>
            <w:pPr>
              <w:spacing w:after="0"/>
              <w:rPr>
                <w:sz w:val="19"/>
                <w:szCs w:val="19"/>
                <w:color w:val="auto"/>
              </w:rPr>
            </w:pPr>
          </w:p>
        </w:tc>
      </w:tr>
      <w:tr>
        <w:trPr>
          <w:trHeight w:val="215"/>
        </w:trPr>
        <w:tc>
          <w:tcPr>
            <w:tcW w:w="890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90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38%</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w w:val="94"/>
              </w:rPr>
              <w:t>46%</w:t>
            </w:r>
          </w:p>
        </w:tc>
      </w:tr>
      <w:tr>
        <w:trPr>
          <w:trHeight w:val="215"/>
        </w:trPr>
        <w:tc>
          <w:tcPr>
            <w:tcW w:w="8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9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79"/>
              </w:rPr>
              <w:t>20</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79"/>
              </w:rPr>
              <w:t>26</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April 5, 2018.</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Financial Advisory net revenue increased $73 million, or 22%, as compared to the 2017 period. The increase in Financial Advisory revenue was primarily a result of an increased number of fees over $5 million, as compared to the 2017 period. Clients which in the aggregate represented a significant portion of our Financial Advisory revenue in the 2018 period included AVEVA, Calpine, Cardinal Health, Express Scripts, Ferrero Group, Safran, Sanofi and Toshiba.</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Operating expenses increased $63 million, or 24%, as compared to the 2017 period, primarily due to an increase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$86 million, an increase of $10 million, or 13%, as compared to operating income of $76 million in the 2017 period and, as a percentage of net revenue, was 21.0%, as compared to 22.7% in the 2017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53,862</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36,656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251,680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Total AUM at March 31, 2018 was $252 billion, an increase of $3 billion, or 1%, as compared to total AUM of $249 billion at December 31, 2017, primarily due to foreign exchange appreciation and net inflows, partially offset by market depreciation. Average AUM for the first quarter of 2018 increased 24% as compared to the first quarter of 2017 and 5% as compared to the fourth quarter of 2017.</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March 31, 2018, approximately 88% of our AUM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individuals, and was unchanged from the corresponding percentages at December 31, 2017.</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2018, AUM with foreign currency exposure represented approximately 73%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periods ended March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Three Months Ended March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(10,054)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300" w:hanging="372"/>
        <w:spacing w:after="0" w:line="259"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Emerging Markets and Local platforms. Outflows in the Equity asset class were primarily attributable to the Emerging Markets, Multi-Regional and Global equity platforms, and outflows in the Fixed Income asset class were primarily attributable to the Emerging Markets platform.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April 20, 2018, AUM was $251.6 billion, a $0.1 billion decrease since March 31, 2018. The decrease in AUM was due to net outflows of $1.1 billion and foreign exchange depreciation of $0.9 billion, partially offset by market appreciation of $1.9 billion.</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Average AUM for the three month periods ended March 31, 2018 and 2017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Equity</w:t>
            </w:r>
          </w:p>
        </w:tc>
        <w:tc>
          <w:tcPr>
            <w:tcW w:w="37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214,035</w:t>
            </w:r>
          </w:p>
        </w:tc>
        <w:tc>
          <w:tcPr>
            <w:tcW w:w="8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170,863</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31,436</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255,809</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206,429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354,283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229,669</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188,751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124,614</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94,612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Arial" w:cs="Arial" w:eastAsia="Arial" w:hAnsi="Arial"/>
                <w:sz w:val="18"/>
                <w:szCs w:val="18"/>
                <w:color w:val="auto"/>
              </w:rPr>
              <w:t>48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Asset Management net revenue increased $71 million, or 25%, as compared to the 2017 period. Management fees and other revenue was $348 million, an increase of $72 million, or 26%, as compared to $276 million in the 2017 period, primarily due to an increase in average AUM, as well as the impact of the new revenue recognition guidance discussed above. Incentive fees were $6 million, a decrease of $1 million as compared to $7 million in the 2017 period.</w:t>
      </w:r>
    </w:p>
    <w:p>
      <w:pPr>
        <w:spacing w:after="0" w:line="14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$41 million, or 22%, as compared to the 2017 period, primarily due to the impact of the new revenue recognition guidance and increases in compensation associated with increased operating revenue.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Asset Management operating income was $125 million, an increase of $30 million, or 32%, as compared to operating income of $95 million in the 2017 period and, as a percentage of net revenue, was 35.2%, as compared to 33.4%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9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(13,977)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(14,324)</w:t>
            </w:r>
          </w:p>
        </w:tc>
      </w:tr>
      <w:tr>
        <w:trPr>
          <w:trHeight w:val="223"/>
        </w:trPr>
        <w:tc>
          <w:tcPr>
            <w:tcW w:w="4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(11,679)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2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9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(23,621)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versus March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decreased $2 million, or 13%, as compared to the 2017 period.</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Other revenue decreased $15 million as compared to the 2017 period, primarly due to lower income in the 2018 period attributable to investments held in connection with LFI.</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decreased $7 million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300" w:firstLine="518"/>
        <w:spacing w:after="0" w:line="276"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1" w:name="page52"/>
    <w:bookmarkEnd w:id="51"/>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9"/>
          </w:tcPr>
          <w:p>
            <w:pPr>
              <w:jc w:val="center"/>
              <w:ind w:right="1300"/>
              <w:spacing w:after="0"/>
              <w:rPr>
                <w:sz w:val="20"/>
                <w:szCs w:val="20"/>
                <w:color w:val="auto"/>
              </w:rPr>
            </w:pPr>
            <w:r>
              <w:rPr>
                <w:rFonts w:ascii="Arial" w:cs="Arial" w:eastAsia="Arial" w:hAnsi="Arial"/>
                <w:sz w:val="14"/>
                <w:szCs w:val="14"/>
                <w:b w:val="1"/>
                <w:bCs w:val="1"/>
                <w:color w:val="auto"/>
                <w:w w:val="99"/>
              </w:rPr>
              <w:t>March 31,</w:t>
            </w: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gridSpan w:val="8"/>
          </w:tcPr>
          <w:p>
            <w:pPr>
              <w:jc w:val="center"/>
              <w:ind w:right="12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5"/>
              </w:rPr>
              <w:t>(348)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(556)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(224)</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0"/>
              </w:rPr>
              <w:t>(590)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6"/>
          </w:tcPr>
          <w:p>
            <w:pPr>
              <w:jc w:val="center"/>
              <w:ind w:left="338"/>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4"/>
          </w:tcPr>
          <w:p>
            <w:pPr>
              <w:jc w:val="center"/>
              <w:ind w:left="51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4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primarily of purchases of shares of Lazard Ltd Class A common stock, tax withholdings related to the settlement of vested restricted stock units (“RSUs”), vested restricted stock awards and vested PRSUs, changes in customer deposits, and distributions to members and noncontrolling interest holders.</w:t>
      </w:r>
    </w:p>
    <w:p>
      <w:pPr>
        <w:spacing w:after="0" w:line="1" w:lineRule="exact"/>
        <w:rPr>
          <w:rFonts w:ascii="Arial" w:cs="Arial" w:eastAsia="Arial" w:hAnsi="Arial"/>
          <w:sz w:val="18"/>
          <w:szCs w:val="18"/>
          <w:color w:val="auto"/>
        </w:rPr>
      </w:pPr>
    </w:p>
    <w:p>
      <w:pPr>
        <w:ind w:left="380" w:right="120" w:hanging="372"/>
        <w:spacing w:after="0" w:line="261"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7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See Note 2 of Notes to Condensed Consolidated Financial Statements for a discussion of new accounting guidance impacting the Condensed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right="10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quarter of 2018, as reflected on the condensed consolidated statements of financial condition, both “deposits with banks and short-term investments” and “deposits and other customer payables” decreased as compared to December 31, 2017, due to a lower level of LFB customer-related demand deposits, primarily from clients and funds managed by LFG.</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March 31, 2018, Lazard Group had approximately $950 million of cash, with such amount including approximately $631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March 31, 2018, Lazard had approximately $170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$18 million (at March 31, 2018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March 31, 2018 and December 31, 2017. The agreements with respect to this indebtedness are discussed in more detail in our condensed consolidated financial statements and related notes included elsewhere in this Form 10-Q and in our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March 31,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2018, Lazard Group was in compliance with such ratios, with its Consolidated Leverage Ratio being 1.11 to 1.00 and its Consolidated Interest Coverage Ratio being 21.45 to 1.00. In any event, no amounts were outstanding under the Amended and Restated Credit Agreement as of March 31, 2018.</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At March 31, 2018, total members’ equity was $717 million, as compared to $907 million at December 31, 2017, including $658 million and $848 million attributable to Lazard Group on the respective dates. The net activity in members’ equity during the three month period ended March 31, 2018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2018</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Lazard Ltd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 - March 31, 2018</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58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2,464,967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2018</w:t>
            </w:r>
          </w:p>
        </w:tc>
        <w:tc>
          <w:tcPr>
            <w:tcW w:w="5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2,662,286</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March 31, 2018, a total of $102 million of share repurchase authorization remained available under Lazard Ltd’s share repurchase program, which will expire on December 31, 2019.</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on April 25, 2018, the Board of Directors of Lazard authorized the repurchase of up to $300 million of additional shares of Lazard Ltd’s Class A common stock, which authorization will expire on December 31, 2020, bringing the total share repurchase authorization as of April 25, 2018 to $351 million.</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During the three month period ended March 31, 2018,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Ltd’s Class A common stock, distributions to members and noncontrolling interest holders and repurchasing its outstanding debt.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1,465,917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$35,382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787,646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84,368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149,890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120,910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2,263,153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141,083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744,140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17"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$18,694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00" w:hanging="372"/>
        <w:spacing w:after="0" w:line="312" w:lineRule="auto"/>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11, 13, 14, and 15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2018, the Company adopted new revenue recognition guidance. See Notes 2 and 3 of Notes to Consolidated Financial Statements.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$133 million, with such amount partially offset by a valuation allowance of approximately $54 million (as described below).</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6" w:name="page57"/>
    <w:bookmarkEnd w:id="56"/>
    <w:p>
      <w:pPr>
        <w:jc w:val="both"/>
        <w:ind w:right="340"/>
        <w:spacing w:after="0" w:line="264" w:lineRule="auto"/>
        <w:rPr>
          <w:sz w:val="20"/>
          <w:szCs w:val="20"/>
          <w:color w:val="auto"/>
        </w:rPr>
      </w:pPr>
      <w:r>
        <w:rPr>
          <w:rFonts w:ascii="Arial" w:cs="Arial" w:eastAsia="Arial" w:hAnsi="Arial"/>
          <w:sz w:val="18"/>
          <w:szCs w:val="18"/>
          <w:color w:val="auto"/>
        </w:rPr>
        <w:t>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$54 million of deferred tax assets held by these entities as of December 31, 2017.</w:t>
      </w:r>
    </w:p>
    <w:p>
      <w:pPr>
        <w:spacing w:after="0" w:line="188"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$9.0 million and $2.0 million from the vesting of share-based incentive compensation in the provision for income taxes in the condensed consolidated statements of operations for the three month periods ended March 31, 2018 and 2017, respectively.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Notes 2 and 15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6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7" w:name="page58"/>
    <w:bookmarkEnd w:id="57"/>
    <w:p>
      <w:pPr>
        <w:ind w:right="440"/>
        <w:spacing w:after="0" w:line="308" w:lineRule="auto"/>
        <w:rPr>
          <w:sz w:val="20"/>
          <w:szCs w:val="20"/>
          <w:color w:val="auto"/>
        </w:rPr>
      </w:pPr>
      <w:r>
        <w:rPr>
          <w:rFonts w:ascii="Arial" w:cs="Arial" w:eastAsia="Arial" w:hAnsi="Arial"/>
          <w:sz w:val="17"/>
          <w:szCs w:val="17"/>
          <w:color w:val="auto"/>
        </w:rPr>
        <w:t>tax on global intangible low-taxed income. The reduced corporate tax rate required us to remeasure our deferred tax assets and liabilities. See Note 15 of Notes to Condensed Consolidated Financial Statements for additional information regarding the impact of the Tax Act on us.</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See Item 1A, “Risk Factors” in our Form 10-K and Note 15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107,052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111,067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10,208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30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8,294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125,554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134,674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55,431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57,457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23,304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23,780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30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79,284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81,793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204,838</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216,467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Add:</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(c)</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20,139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LFI (d)</w:t>
            </w:r>
          </w:p>
        </w:tc>
        <w:tc>
          <w:tcPr>
            <w:tcW w:w="30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129,975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191,497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0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354,952</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427,186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20" w:type="dxa"/>
            <w:vAlign w:val="bottom"/>
            <w:gridSpan w:val="2"/>
          </w:tcPr>
          <w:p>
            <w:pPr>
              <w:spacing w:after="0"/>
              <w:rPr>
                <w:sz w:val="6"/>
                <w:szCs w:val="6"/>
                <w:color w:val="auto"/>
              </w:rPr>
            </w:pPr>
          </w:p>
        </w:tc>
        <w:tc>
          <w:tcPr>
            <w:tcW w:w="1400" w:type="dxa"/>
            <w:vAlign w:val="bottom"/>
            <w:gridSpan w:val="3"/>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440" w:type="dxa"/>
            <w:vAlign w:val="bottom"/>
            <w:gridSpan w:val="9"/>
          </w:tcPr>
          <w:p>
            <w:pPr>
              <w:spacing w:after="0"/>
              <w:rPr>
                <w:sz w:val="20"/>
                <w:szCs w:val="20"/>
                <w:color w:val="auto"/>
              </w:rPr>
            </w:pPr>
            <w:r>
              <w:rPr>
                <w:rFonts w:ascii="Arial" w:cs="Arial" w:eastAsia="Arial" w:hAnsi="Arial"/>
                <w:sz w:val="18"/>
                <w:szCs w:val="18"/>
                <w:color w:val="auto"/>
                <w:w w:val="93"/>
              </w:rPr>
              <w:t>(a)  At March 31, 2018 and December 31, 2017,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540" w:type="dxa"/>
            <w:vAlign w:val="bottom"/>
            <w:tcBorders>
              <w:bottom w:val="single" w:sz="8" w:color="CFF0FC"/>
            </w:tcBorders>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CFF0FC"/>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bottom w:val="single" w:sz="8" w:color="CFF0FC"/>
            </w:tcBorders>
            <w:vMerge w:val="restart"/>
          </w:tcPr>
          <w:p>
            <w:pPr>
              <w:jc w:val="right"/>
              <w:ind w:right="1650"/>
              <w:spacing w:after="0"/>
              <w:rPr>
                <w:sz w:val="20"/>
                <w:szCs w:val="20"/>
                <w:color w:val="auto"/>
              </w:rPr>
            </w:pPr>
            <w:r>
              <w:rPr>
                <w:rFonts w:ascii="Arial" w:cs="Arial" w:eastAsia="Arial" w:hAnsi="Arial"/>
                <w:sz w:val="18"/>
                <w:szCs w:val="18"/>
                <w:color w:val="auto"/>
              </w:rPr>
              <w:t>56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8" w:name="page59"/>
    <w:bookmarkEnd w:id="58"/>
    <w:p>
      <w:pPr>
        <w:ind w:left="380" w:right="300" w:hanging="372"/>
        <w:spacing w:after="0" w:line="342"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$34 million and $36 million as of March 31, 2018 and December 31, 2017, respectively.</w:t>
      </w:r>
    </w:p>
    <w:p>
      <w:pPr>
        <w:spacing w:after="0" w:line="15" w:lineRule="exact"/>
        <w:rPr>
          <w:rFonts w:ascii="Arial" w:cs="Arial" w:eastAsia="Arial" w:hAnsi="Arial"/>
          <w:sz w:val="16"/>
          <w:szCs w:val="16"/>
          <w:color w:val="auto"/>
        </w:rPr>
      </w:pPr>
    </w:p>
    <w:p>
      <w:pPr>
        <w:ind w:left="380" w:right="14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At March 31, 2018 and December 31, 2017, total investments with a fair value of $354 million and $427 million, respectively, included $77 million and $80 million, respectively, or 22% and 19%,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2018 and December 31, 2017, the Company held seed investments of approximately $126 million and $135 million, respectively. Seed investments held in entities in which the Company maintained a controlling interest were $22 million in six entities as of March 31, 2018, as compared to $28 million in eight entities as of December 31, 2017.</w:t>
      </w:r>
    </w:p>
    <w:p>
      <w:pPr>
        <w:spacing w:after="0" w:line="181"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As of March 31, 2018 and December 31, 2017, the Company did not consolidate or deconsolidate any seed investment entities or LFI investment entities. As such, 100% of the recorded balance of seed investments and LFI investments as of March 31, 2018 and December 31, 2017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March 31, 2018 and December 31, 2017, the Company’s exposure to equity market price risk in its investment portfolio, which primarily relates to investments in equity securities, equity funds and hedge funds, was approximately $108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$2.0 million and</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$2.0 million in the carrying value of such investments as of March 31, 2018 and December 31, 2017, respectively, including the effect of the hedging transactions.</w:t>
      </w:r>
    </w:p>
    <w:p>
      <w:pPr>
        <w:spacing w:after="0" w:line="184"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Interest Rate/Credit Spread Risk—At March 31, 2018 and December 31, 2017, the Company’s exposure to interest rate and credit spread risk in its investment portfolio related to investments in debt securities or funds which invest primarily in debt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line="259" w:lineRule="auto"/>
        <w:rPr>
          <w:sz w:val="20"/>
          <w:szCs w:val="20"/>
          <w:color w:val="auto"/>
        </w:rPr>
      </w:pPr>
      <w:r>
        <w:rPr>
          <w:rFonts w:ascii="Arial" w:cs="Arial" w:eastAsia="Arial" w:hAnsi="Arial"/>
          <w:sz w:val="18"/>
          <w:szCs w:val="18"/>
          <w:color w:val="auto"/>
        </w:rPr>
        <w:t>was $51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$0.8 million and $1.3 million in the carrying value of such investments as of March 31, 2018 and December 31, 2017, respectively, including the effect of the hedging transactions.</w:t>
      </w:r>
    </w:p>
    <w:p>
      <w:pPr>
        <w:spacing w:after="0" w:line="18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Foreign Exchange Rate Risk—At both March 31, 2018 and December 31, 2017, the Company’s exposure to foreign exchange rate risk in its investment portfolio, which primarily relates to investments in foreign currency denominated equity and debt securities, was $65 million.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$1.6 million and $1.7 million in the carrying value of such investments as of March 31, 2018 and December 31, 2017, respectively, including the effect of the hedging transactions.</w:t>
      </w:r>
    </w:p>
    <w:p>
      <w:pPr>
        <w:spacing w:after="0" w:line="19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March 31, 2018 and December 31, 2017, the Company’s exposure to changes in fair value of such investments was approximately $55 million and $57 million, respectively. The Company estimates that a hypothetical 10% adverse change in fair value would result in a decrease of approximately $5.5 million and $5.7 million in the carrying value of such investments as of March 31, 2018 and December 31, 2017,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2018, total receivables amounted to $731 million, net of an allowance for doubtful accounts of $39 million. As of that date, Financial Advisory and Asset Management fees, receivables from Lazard Ltd subsidiaries, and customers and other receivables comprised 74%, 8%, and 18% of total receivables, respectively. At December 31, 2017, total receivables amounted to $589 million, net of an allowance for doubtful accounts of $24 million. As of that date, Financial Advisory and Asset Management fees, receivables from Lazard Ltd subsidiaries, and customers and other receivables comprised 83%, 3%, and 14% of total receivables, respectively. At March 31, 2018 and December 31, 2017, the Company had receivables past due or deemed uncollectible of approximately $40 million and $35 million, respectively. See also “Critical Accounting Policies and Estimates—Revenue Recognition” above and Note 4 of Notes to Condensed Consolidated Financial Statements for additional information regarding receivables.</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2018 and December 31, 2017, customer receivables included $63 million and $61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$12 million and $4 million at March 31, 2018 and December 31, 2017, respectively, and derivative liabilities, excluding the derivative liability arising from the Company’s obligation pertaining to LFI and other similar deferred compensation arrangements, amounted to $3 million and $16 million at such respective dates.</w:t>
      </w:r>
    </w:p>
    <w:p>
      <w:pPr>
        <w:spacing w:after="0" w:line="15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$212 million and $182 million at March 31, 2018 and December 31, 2017,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 significant portion of the Company’s indebtedness has fixed interest rates, while its cash and cash equivalents generally have market interest rates. Based on account balances as of March 31, 2018, Lazard estimates that its annual operating income relating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color w:val="auto"/>
        </w:rPr>
        <w:t>cash and cash equivalents would increase by approximately $10 million in the event interest rates were to increase by 1% and decrease by approximately $10 million if rates were to decrease by 1%.</w:t>
      </w:r>
    </w:p>
    <w:p>
      <w:pPr>
        <w:spacing w:after="0" w:line="1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As of March 31, 2018, the Company’s cash and cash equivalents totaled approximately $950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80" w:firstLine="8"/>
        <w:spacing w:after="0" w:line="323"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29"/>
          </w:tcPr>
          <w:p>
            <w:pPr>
              <w:ind w:left="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9"/>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3.1</w:t>
            </w:r>
          </w:p>
        </w:tc>
        <w:tc>
          <w:tcPr>
            <w:tcW w:w="10400" w:type="dxa"/>
            <w:vAlign w:val="bottom"/>
            <w:gridSpan w:val="39"/>
          </w:tcPr>
          <w:p>
            <w:pPr>
              <w:spacing w:after="0"/>
              <w:rPr>
                <w:rFonts w:ascii="Arial" w:cs="Arial" w:eastAsia="Arial" w:hAnsi="Arial"/>
                <w:sz w:val="18"/>
                <w:szCs w:val="18"/>
                <w:color w:val="0000EE"/>
                <w:w w:val="94"/>
              </w:rPr>
            </w:pPr>
            <w:hyperlink r:id="rId96">
              <w:r>
                <w:rPr>
                  <w:rFonts w:ascii="Arial" w:cs="Arial" w:eastAsia="Arial" w:hAnsi="Arial"/>
                  <w:sz w:val="18"/>
                  <w:szCs w:val="18"/>
                  <w:color w:val="0000EE"/>
                  <w:w w:val="94"/>
                </w:rPr>
                <w:t>Certificate of Formation of the Registrant (incorporated by reference to Exhibit 3.1 to the Registrant’s Registration Statement (File No. 333-</w:t>
              </w:r>
            </w:hyperlink>
          </w:p>
        </w:tc>
      </w:tr>
      <w:tr>
        <w:trPr>
          <w:trHeight w:val="196"/>
        </w:trPr>
        <w:tc>
          <w:tcPr>
            <w:tcW w:w="1040" w:type="dxa"/>
            <w:vAlign w:val="bottom"/>
          </w:tcPr>
          <w:p>
            <w:pPr>
              <w:spacing w:after="0"/>
              <w:rPr>
                <w:sz w:val="17"/>
                <w:szCs w:val="17"/>
                <w:color w:val="auto"/>
              </w:rPr>
            </w:pPr>
          </w:p>
        </w:tc>
        <w:tc>
          <w:tcPr>
            <w:tcW w:w="101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126751) on Form S-4 filed on July 21, 2005).</w:t>
              </w:r>
            </w:hyperlink>
          </w:p>
        </w:tc>
        <w:tc>
          <w:tcPr>
            <w:tcW w:w="30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3.2</w:t>
            </w:r>
          </w:p>
        </w:tc>
        <w:tc>
          <w:tcPr>
            <w:tcW w:w="10080" w:type="dxa"/>
            <w:vAlign w:val="bottom"/>
            <w:tcBorders>
              <w:bottom w:val="single" w:sz="8" w:color="0000EE"/>
            </w:tcBorders>
            <w:gridSpan w:val="2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32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Exhibit 3.2 to the Registrant’s Registration Statement (File No. 333-126751) on Form S-4 filed on July 21, 2005).</w:t>
              </w:r>
            </w:hyperlink>
          </w:p>
        </w:tc>
        <w:tc>
          <w:tcPr>
            <w:tcW w:w="2180" w:type="dxa"/>
            <w:vAlign w:val="bottom"/>
            <w:gridSpan w:val="23"/>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3.3</w:t>
            </w:r>
          </w:p>
        </w:tc>
        <w:tc>
          <w:tcPr>
            <w:tcW w:w="10140" w:type="dxa"/>
            <w:vAlign w:val="bottom"/>
            <w:tcBorders>
              <w:bottom w:val="single" w:sz="8" w:color="0000EE"/>
            </w:tcBorders>
            <w:gridSpan w:val="29"/>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Amended and Restated Operating Agreement of the Registrant, dated as of October 26, 2015 (incorporated by reference to Exhibit 3.3 to the</w:t>
              </w:r>
            </w:hyperlink>
          </w:p>
        </w:tc>
        <w:tc>
          <w:tcPr>
            <w:tcW w:w="2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Registrant’s Quarterly Report (File No. 333-126751) on Form l0-Q filed on October 28,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3.4</w:t>
            </w:r>
          </w:p>
        </w:tc>
        <w:tc>
          <w:tcPr>
            <w:tcW w:w="10360" w:type="dxa"/>
            <w:vAlign w:val="bottom"/>
            <w:tcBorders>
              <w:bottom w:val="single" w:sz="8" w:color="0000EE"/>
            </w:tcBorders>
            <w:gridSpan w:val="37"/>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Amendment No.1 to Amended and Restated Operating Agreement of the Registrant, dated as of October 27, 2016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Exhibit 3.4 to the Registrant’s Quarterly Report on Form 10-Q filed on October 28, 2016).</w:t>
              </w:r>
            </w:hyperlink>
          </w:p>
        </w:tc>
        <w:tc>
          <w:tcPr>
            <w:tcW w:w="3880" w:type="dxa"/>
            <w:vAlign w:val="bottom"/>
            <w:gridSpan w:val="26"/>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4.1</w:t>
            </w:r>
          </w:p>
        </w:tc>
        <w:tc>
          <w:tcPr>
            <w:tcW w:w="9880" w:type="dxa"/>
            <w:vAlign w:val="bottom"/>
            <w:tcBorders>
              <w:bottom w:val="single" w:sz="8" w:color="0000EE"/>
            </w:tcBorders>
            <w:gridSpan w:val="22"/>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2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4.2</w:t>
            </w:r>
          </w:p>
        </w:tc>
        <w:tc>
          <w:tcPr>
            <w:tcW w:w="9960" w:type="dxa"/>
            <w:vAlign w:val="bottom"/>
            <w:tcBorders>
              <w:bottom w:val="single" w:sz="8" w:color="0000EE"/>
            </w:tcBorders>
            <w:gridSpan w:val="23"/>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Fourth Supplemental Indenture, dated as of June 21, 2007, between the Registrant and The Bank of New York, as trustee (incorporated by</w:t>
              </w:r>
            </w:hyperlink>
          </w:p>
        </w:tc>
        <w:tc>
          <w:tcPr>
            <w:tcW w:w="44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reference to Exhibit 4.1 to the Registrant’s Current Report on Form 8-K (File No. 333-126751) filed on June 22, 2007).</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4.3</w:t>
            </w:r>
          </w:p>
        </w:tc>
        <w:tc>
          <w:tcPr>
            <w:tcW w:w="95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Fifth Supplemental Indenture, dated as of November 14, 2013, between the Registrant and The Bank of New York Mellon, as trustee</w:t>
              </w:r>
            </w:hyperlink>
          </w:p>
        </w:tc>
        <w:tc>
          <w:tcPr>
            <w:tcW w:w="82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(incorporated by reference to Exhibit 4.1 to the Registrant’s Current Report on Form 8-K (File No 333-126751) filed on November 14, 2013).</w:t>
              </w:r>
            </w:hyperlink>
          </w:p>
        </w:tc>
        <w:tc>
          <w:tcPr>
            <w:tcW w:w="140" w:type="dxa"/>
            <w:vAlign w:val="bottom"/>
            <w:gridSpan w:val="5"/>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4.4</w:t>
            </w:r>
          </w:p>
        </w:tc>
        <w:tc>
          <w:tcPr>
            <w:tcW w:w="9500" w:type="dxa"/>
            <w:vAlign w:val="bottom"/>
            <w:tcBorders>
              <w:bottom w:val="single" w:sz="8" w:color="0000EE"/>
            </w:tcBorders>
            <w:gridSpan w:val="19"/>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900" w:type="dxa"/>
            <w:vAlign w:val="bottom"/>
            <w:gridSpan w:val="2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20" w:type="dxa"/>
            <w:vAlign w:val="bottom"/>
            <w:gridSpan w:val="9"/>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4.5</w:t>
            </w:r>
          </w:p>
        </w:tc>
        <w:tc>
          <w:tcPr>
            <w:tcW w:w="10400" w:type="dxa"/>
            <w:vAlign w:val="bottom"/>
            <w:gridSpan w:val="39"/>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200" w:type="dxa"/>
            <w:vAlign w:val="bottom"/>
            <w:gridSpan w:val="8"/>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4.6</w:t>
            </w:r>
          </w:p>
        </w:tc>
        <w:tc>
          <w:tcPr>
            <w:tcW w:w="10400" w:type="dxa"/>
            <w:vAlign w:val="bottom"/>
            <w:gridSpan w:val="39"/>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1">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02">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03">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4">
              <w:r>
                <w:rPr>
                  <w:rFonts w:ascii="Arial" w:cs="Arial" w:eastAsia="Arial" w:hAnsi="Arial"/>
                  <w:sz w:val="18"/>
                  <w:szCs w:val="18"/>
                  <w:color w:val="0000EE"/>
                </w:rPr>
                <w:t>4.5</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10.1</w:t>
            </w:r>
          </w:p>
        </w:tc>
        <w:tc>
          <w:tcPr>
            <w:tcW w:w="10340" w:type="dxa"/>
            <w:vAlign w:val="bottom"/>
            <w:tcBorders>
              <w:bottom w:val="single" w:sz="8" w:color="0000EE"/>
            </w:tcBorders>
            <w:gridSpan w:val="36"/>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Exhibit 10.19 to Lazard Ltd’s Registration Statement (File No. 333-121407) on Form S-1/A filed on February 11, 2005).</w:t>
              </w:r>
            </w:hyperlink>
          </w:p>
        </w:tc>
        <w:tc>
          <w:tcPr>
            <w:tcW w:w="1700" w:type="dxa"/>
            <w:vAlign w:val="bottom"/>
            <w:gridSpan w:val="21"/>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10.2</w:t>
            </w:r>
          </w:p>
        </w:tc>
        <w:tc>
          <w:tcPr>
            <w:tcW w:w="10380" w:type="dxa"/>
            <w:vAlign w:val="bottom"/>
            <w:tcBorders>
              <w:bottom w:val="single" w:sz="8" w:color="0000EE"/>
            </w:tcBorders>
            <w:gridSpan w:val="38"/>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Exhibit 10.15 to the Registrant’s Quarterly Report (File No. 333-126751) on Form 10-Q filed on April 29, 2011).</w:t>
              </w:r>
            </w:hyperlink>
          </w:p>
        </w:tc>
        <w:tc>
          <w:tcPr>
            <w:tcW w:w="2200" w:type="dxa"/>
            <w:vAlign w:val="bottom"/>
            <w:gridSpan w:val="24"/>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10.3</w:t>
            </w:r>
          </w:p>
        </w:tc>
        <w:tc>
          <w:tcPr>
            <w:tcW w:w="10400" w:type="dxa"/>
            <w:vAlign w:val="bottom"/>
            <w:gridSpan w:val="39"/>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Occupational Lease, dated as of August 9, 2002, by and among Burford (Stratton) Nominee 1 Limited, Burford (Stratton) Nominee 2 Limited,</w:t>
              </w:r>
            </w:hyperlink>
          </w:p>
        </w:tc>
      </w:tr>
      <w:tr>
        <w:trPr>
          <w:trHeight w:val="196"/>
        </w:trPr>
        <w:tc>
          <w:tcPr>
            <w:tcW w:w="1040" w:type="dxa"/>
            <w:vAlign w:val="bottom"/>
          </w:tcPr>
          <w:p>
            <w:pPr>
              <w:spacing w:after="0"/>
              <w:rPr>
                <w:sz w:val="17"/>
                <w:szCs w:val="17"/>
                <w:color w:val="auto"/>
              </w:rPr>
            </w:pPr>
          </w:p>
        </w:tc>
        <w:tc>
          <w:tcPr>
            <w:tcW w:w="10260" w:type="dxa"/>
            <w:vAlign w:val="bottom"/>
            <w:tcBorders>
              <w:top w:val="single" w:sz="8" w:color="0000EE"/>
            </w:tcBorders>
            <w:gridSpan w:val="34"/>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Burford (Stratton) Limited, Lazard &amp; Co., Limited and Lazard LLC (incorporated by reference to Exhibit 10.21 to Lazard Ltd’s Registration</w:t>
              </w:r>
            </w:hyperlink>
          </w:p>
        </w:tc>
        <w:tc>
          <w:tcPr>
            <w:tcW w:w="1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Statement (File No. 333-121407) on Form S-1/A filed on February 11, 2005).</w:t>
              </w:r>
            </w:hyperlink>
          </w:p>
        </w:tc>
        <w:tc>
          <w:tcPr>
            <w:tcW w:w="28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0400" w:type="dxa"/>
            <w:vAlign w:val="bottom"/>
            <w:gridSpan w:val="39"/>
          </w:tcPr>
          <w:p>
            <w:pPr>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121407) on Form S-1/A filed on May 2, 2005).</w:t>
              </w:r>
            </w:hyperlink>
          </w:p>
        </w:tc>
        <w:tc>
          <w:tcPr>
            <w:tcW w:w="40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0400" w:type="dxa"/>
            <w:vAlign w:val="bottom"/>
            <w:gridSpan w:val="39"/>
          </w:tcPr>
          <w:p>
            <w:pPr>
              <w:spacing w:after="0"/>
              <w:rPr>
                <w:rFonts w:ascii="Arial" w:cs="Arial" w:eastAsia="Arial" w:hAnsi="Arial"/>
                <w:sz w:val="18"/>
                <w:szCs w:val="18"/>
                <w:color w:val="0000EE"/>
                <w:w w:val="98"/>
              </w:rPr>
            </w:pPr>
            <w:hyperlink r:id="rId109">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Schedule 14A (File No. 001-32492) filed on March 24, 2008).</w:t>
              </w:r>
            </w:hyperlink>
          </w:p>
        </w:tc>
        <w:tc>
          <w:tcPr>
            <w:tcW w:w="5160" w:type="dxa"/>
            <w:vAlign w:val="bottom"/>
            <w:tcBorders>
              <w:top w:val="single" w:sz="8" w:color="0000EE"/>
            </w:tcBorders>
            <w:gridSpan w:val="10"/>
          </w:tcPr>
          <w:p>
            <w:pPr>
              <w:spacing w:after="0"/>
              <w:rPr>
                <w:sz w:val="17"/>
                <w:szCs w:val="17"/>
                <w:color w:val="auto"/>
              </w:rPr>
            </w:pPr>
          </w:p>
        </w:tc>
        <w:tc>
          <w:tcPr>
            <w:tcW w:w="700" w:type="dxa"/>
            <w:vAlign w:val="bottom"/>
            <w:gridSpan w:val="18"/>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10240" w:type="dxa"/>
            <w:vAlign w:val="bottom"/>
            <w:tcBorders>
              <w:bottom w:val="single" w:sz="8" w:color="0000EE"/>
            </w:tcBorders>
            <w:gridSpan w:val="33"/>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Lazard Ltd’s 2016 French Sub-plan (incorporated by reference to Annex B to Lazard Ltd’s Definitive Proxy Statement on Schedule 14A (File</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No. 001-32492) filed on March 10, 2016).</w:t>
              </w:r>
            </w:hyperlink>
          </w:p>
        </w:tc>
        <w:tc>
          <w:tcPr>
            <w:tcW w:w="7340" w:type="dxa"/>
            <w:vAlign w:val="bottom"/>
            <w:gridSpan w:val="38"/>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10.7*</w:t>
            </w:r>
          </w:p>
        </w:tc>
        <w:tc>
          <w:tcPr>
            <w:tcW w:w="10400" w:type="dxa"/>
            <w:vAlign w:val="bottom"/>
            <w:gridSpan w:val="39"/>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Lazard Ltd 2018 Incentive Compensation Plan (incorporated by reference to Annex B to Lazard Ltd’s Definitive Proxy Statement on Schedule</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14A (File No. 001-32492) filed on March 15, 2018).</w:t>
              </w:r>
            </w:hyperlink>
          </w:p>
        </w:tc>
        <w:tc>
          <w:tcPr>
            <w:tcW w:w="6460" w:type="dxa"/>
            <w:vAlign w:val="bottom"/>
            <w:tcBorders>
              <w:top w:val="single" w:sz="8" w:color="0000EE"/>
            </w:tcBorders>
            <w:gridSpan w:val="27"/>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10.8*</w:t>
            </w:r>
          </w:p>
        </w:tc>
        <w:tc>
          <w:tcPr>
            <w:tcW w:w="10220" w:type="dxa"/>
            <w:vAlign w:val="bottom"/>
            <w:tcBorders>
              <w:bottom w:val="single" w:sz="8" w:color="0000EE"/>
            </w:tcBorders>
            <w:gridSpan w:val="32"/>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the Registrant, Lazard Ltd and Kenneth M. Jacobs (incorporated by reference to Exhibit 10.7 to the Registrant’s Quarterly Report (File No.</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333-126751) on Form 10-Q filed on April 27, 2016).</w:t>
              </w:r>
            </w:hyperlink>
          </w:p>
        </w:tc>
        <w:tc>
          <w:tcPr>
            <w:tcW w:w="6220" w:type="dxa"/>
            <w:vAlign w:val="bottom"/>
            <w:tcBorders>
              <w:top w:val="single" w:sz="8" w:color="0000EE"/>
            </w:tcBorders>
            <w:gridSpan w:val="17"/>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5600" w:type="dxa"/>
            <w:vAlign w:val="bottom"/>
            <w:gridSpan w:val="12"/>
          </w:tcPr>
          <w:p>
            <w:pPr>
              <w:ind w:left="4580"/>
              <w:spacing w:after="0"/>
              <w:rPr>
                <w:sz w:val="20"/>
                <w:szCs w:val="20"/>
                <w:color w:val="auto"/>
              </w:rPr>
            </w:pPr>
            <w:r>
              <w:rPr>
                <w:rFonts w:ascii="Arial" w:cs="Arial" w:eastAsia="Arial" w:hAnsi="Arial"/>
                <w:sz w:val="18"/>
                <w:szCs w:val="18"/>
                <w:color w:val="auto"/>
              </w:rPr>
              <w:t>62</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Arial" w:cs="Arial" w:eastAsia="Arial" w:hAnsi="Arial"/>
                <w:sz w:val="18"/>
                <w:szCs w:val="18"/>
                <w:color w:val="auto"/>
              </w:rPr>
              <w:t>10.9*</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the Registrant, Lazard Ltd and Ashish Bhutani (incorporated by reference to Exhibit 10.8 to the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10.10*</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the Registrant, Lazard Ltd and Matthieu Bucaille (incorporated by reference to Exhibit 10.9 to the Registrant’s Quarterly Report (File No 333-</w:t>
              </w:r>
            </w:hyperlink>
          </w:p>
        </w:tc>
      </w:tr>
      <w:tr>
        <w:trPr>
          <w:trHeight w:val="196"/>
        </w:trPr>
        <w:tc>
          <w:tcPr>
            <w:tcW w:w="1040" w:type="dxa"/>
            <w:vAlign w:val="bottom"/>
          </w:tcPr>
          <w:p>
            <w:pPr>
              <w:spacing w:after="0"/>
              <w:rPr>
                <w:sz w:val="17"/>
                <w:szCs w:val="17"/>
                <w:color w:val="auto"/>
              </w:rPr>
            </w:pPr>
          </w:p>
        </w:tc>
        <w:tc>
          <w:tcPr>
            <w:tcW w:w="102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126751) on Form 10-Q filed on April 27, 2016).</w:t>
              </w:r>
            </w:hyperlink>
          </w:p>
        </w:tc>
        <w:tc>
          <w:tcPr>
            <w:tcW w:w="1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10.11*</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the Registrant, Lazard Ltd and Scott D. Hoffman (incorporated by reference to Exhibit 10.10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10.12*</w:t>
            </w:r>
          </w:p>
        </w:tc>
        <w:tc>
          <w:tcPr>
            <w:tcW w:w="10400" w:type="dxa"/>
            <w:vAlign w:val="bottom"/>
            <w:gridSpan w:val="31"/>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Amendment, dated as of October 30, 2017, to Amended and Restated Agreement relating to Retention and Noncompetition and Other</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Covenants, dated as of March 9, 2016, by and among Lazard Ltd, the Registrant and Scott D. Hoffman (incorporated by reference to Exhibit</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11</w:t>
              </w:r>
              <w:r>
                <w:rPr>
                  <w:rFonts w:ascii="Arial" w:cs="Arial" w:eastAsia="Arial" w:hAnsi="Arial"/>
                  <w:sz w:val="18"/>
                  <w:szCs w:val="18"/>
                  <w:color w:val="0000EE"/>
                  <w:w w:val="91"/>
                </w:rPr>
                <w:t xml:space="preserve"> to Registrant’s Quarterly Report (File No. 333-126751) on 10-Q filed on October 31, 2017).</w:t>
              </w:r>
            </w:hyperlink>
          </w:p>
        </w:tc>
        <w:tc>
          <w:tcPr>
            <w:tcW w:w="3320" w:type="dxa"/>
            <w:vAlign w:val="bottom"/>
            <w:gridSpan w:val="19"/>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10.13*</w:t>
            </w: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Agreement relating to Retention and Noncompetition and Other Covenants, dated as of October 30, 2017, by and among Lazard Ltd, the</w:t>
              </w:r>
            </w:hyperlink>
          </w:p>
        </w:tc>
        <w:tc>
          <w:tcPr>
            <w:tcW w:w="54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Registrant and Evan L. Russo (incorporated by reference to Exhibit 10.12 to Registrant’s Quarterly Report (File No. 333-126751) on 10-Q filed</w:t>
              </w:r>
            </w:hyperlink>
          </w:p>
        </w:tc>
      </w:tr>
      <w:tr>
        <w:trPr>
          <w:trHeight w:val="196"/>
        </w:trPr>
        <w:tc>
          <w:tcPr>
            <w:tcW w:w="10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on October 31, 2017).</w:t>
              </w:r>
            </w:hyperlink>
          </w:p>
        </w:tc>
        <w:tc>
          <w:tcPr>
            <w:tcW w:w="8760" w:type="dxa"/>
            <w:vAlign w:val="bottom"/>
            <w:tcBorders>
              <w:top w:val="single" w:sz="8" w:color="0000EE"/>
            </w:tcBorders>
            <w:gridSpan w:val="29"/>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10.14*</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the Registrant, Lazard Ltd and Alexander F. Stern (incorporated by reference to Exhibit 10.11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10.15*</w:t>
            </w:r>
          </w:p>
        </w:tc>
        <w:tc>
          <w:tcPr>
            <w:tcW w:w="9940" w:type="dxa"/>
            <w:vAlign w:val="bottom"/>
            <w:tcBorders>
              <w:bottom w:val="single" w:sz="8" w:color="0000EE"/>
            </w:tcBorders>
            <w:gridSpan w:val="19"/>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4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10.16*</w:t>
            </w:r>
          </w:p>
        </w:tc>
        <w:tc>
          <w:tcPr>
            <w:tcW w:w="10400" w:type="dxa"/>
            <w:vAlign w:val="bottom"/>
            <w:gridSpan w:val="31"/>
          </w:tcPr>
          <w:p>
            <w:pPr>
              <w:spacing w:after="0"/>
              <w:rPr>
                <w:rFonts w:ascii="Arial" w:cs="Arial" w:eastAsia="Arial" w:hAnsi="Arial"/>
                <w:sz w:val="18"/>
                <w:szCs w:val="18"/>
                <w:color w:val="0000EE"/>
                <w:w w:val="99"/>
              </w:rPr>
            </w:pPr>
            <w:hyperlink r:id="rId122">
              <w:r>
                <w:rPr>
                  <w:rFonts w:ascii="Arial" w:cs="Arial" w:eastAsia="Arial" w:hAnsi="Arial"/>
                  <w:sz w:val="18"/>
                  <w:szCs w:val="18"/>
                  <w:color w:val="0000EE"/>
                  <w:w w:val="99"/>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10.17*</w:t>
            </w:r>
          </w:p>
        </w:tc>
        <w:tc>
          <w:tcPr>
            <w:tcW w:w="101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3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10.18</w:t>
            </w:r>
          </w:p>
        </w:tc>
        <w:tc>
          <w:tcPr>
            <w:tcW w:w="10400" w:type="dxa"/>
            <w:vAlign w:val="bottom"/>
            <w:gridSpan w:val="31"/>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10-Q filed on May 11, 2006).</w:t>
              </w:r>
            </w:hyperlink>
          </w:p>
        </w:tc>
        <w:tc>
          <w:tcPr>
            <w:tcW w:w="22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10.19*</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5"/>
              </w:rPr>
            </w:pPr>
            <w:hyperlink r:id="rId125">
              <w:r>
                <w:rPr>
                  <w:rFonts w:ascii="Arial" w:cs="Arial" w:eastAsia="Arial" w:hAnsi="Arial"/>
                  <w:sz w:val="18"/>
                  <w:szCs w:val="18"/>
                  <w:color w:val="0000EE"/>
                  <w:w w:val="95"/>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126751) on Form 10-Q filed on October 28, 2015).</w:t>
              </w:r>
            </w:hyperlink>
          </w:p>
        </w:tc>
        <w:tc>
          <w:tcPr>
            <w:tcW w:w="32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10.20*</w:t>
            </w:r>
          </w:p>
        </w:tc>
        <w:tc>
          <w:tcPr>
            <w:tcW w:w="10140" w:type="dxa"/>
            <w:vAlign w:val="bottom"/>
            <w:tcBorders>
              <w:bottom w:val="single" w:sz="8" w:color="0000EE"/>
            </w:tcBorders>
            <w:gridSpan w:val="24"/>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2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the Registrant’s Quarterly Report (File No. 333-126751) on Form 10-Q filed on May 1, 2013).</w:t>
              </w:r>
            </w:hyperlink>
          </w:p>
        </w:tc>
        <w:tc>
          <w:tcPr>
            <w:tcW w:w="3580" w:type="dxa"/>
            <w:vAlign w:val="bottom"/>
            <w:gridSpan w:val="20"/>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10.21*</w:t>
            </w:r>
          </w:p>
        </w:tc>
        <w:tc>
          <w:tcPr>
            <w:tcW w:w="10400" w:type="dxa"/>
            <w:vAlign w:val="bottom"/>
            <w:gridSpan w:val="31"/>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10.22*</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2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10.23*</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54</w:t>
              </w:r>
              <w:r>
                <w:rPr>
                  <w:rFonts w:ascii="Arial" w:cs="Arial" w:eastAsia="Arial" w:hAnsi="Arial"/>
                  <w:sz w:val="18"/>
                  <w:szCs w:val="18"/>
                  <w:color w:val="0000EE"/>
                </w:rPr>
                <w:t xml:space="preserve"> to the Registrant’s Quarterly Report (File No. 333-126751) on Form 10-Q filed on April 30, 2010).</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10.24*</w:t>
            </w:r>
          </w:p>
        </w:tc>
        <w:tc>
          <w:tcPr>
            <w:tcW w:w="9880" w:type="dxa"/>
            <w:vAlign w:val="bottom"/>
            <w:tcBorders>
              <w:bottom w:val="single" w:sz="8" w:color="0000EE"/>
            </w:tcBorders>
            <w:gridSpan w:val="18"/>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52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Report (File No. 333-126751) on Form 10-Q filed on April 29, 2011).</w:t>
              </w:r>
            </w:hyperlink>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12.1</w:t>
            </w:r>
          </w:p>
        </w:tc>
        <w:tc>
          <w:tcPr>
            <w:tcW w:w="3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Computation of Ratio of Earnings to Fixed Charges.</w:t>
              </w:r>
            </w:hyperlink>
          </w:p>
        </w:tc>
        <w:tc>
          <w:tcPr>
            <w:tcW w:w="1260" w:type="dxa"/>
            <w:vAlign w:val="bottom"/>
            <w:tcBorders>
              <w:top w:val="single" w:sz="8" w:color="0000EE"/>
            </w:tcBorders>
          </w:tcPr>
          <w:p>
            <w:pPr>
              <w:spacing w:after="0"/>
              <w:rPr>
                <w:sz w:val="24"/>
                <w:szCs w:val="24"/>
                <w:color w:val="auto"/>
              </w:rPr>
            </w:pPr>
          </w:p>
        </w:tc>
        <w:tc>
          <w:tcPr>
            <w:tcW w:w="5360" w:type="dxa"/>
            <w:vAlign w:val="bottom"/>
            <w:gridSpan w:val="23"/>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Rule 13a-14(a) Certification of Kenneth M. Jacobs.</w:t>
              </w:r>
            </w:hyperlink>
          </w:p>
        </w:tc>
        <w:tc>
          <w:tcPr>
            <w:tcW w:w="6680" w:type="dxa"/>
            <w:vAlign w:val="bottom"/>
            <w:gridSpan w:val="25"/>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10400" w:type="dxa"/>
            <w:vAlign w:val="bottom"/>
            <w:gridSpan w:val="3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720" w:type="dxa"/>
            <w:vAlign w:val="bottom"/>
            <w:gridSpan w:val="26"/>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Section 1350 Certification for Kenneth M. Jacobs.</w:t>
              </w:r>
            </w:hyperlink>
          </w:p>
        </w:tc>
        <w:tc>
          <w:tcPr>
            <w:tcW w:w="6720" w:type="dxa"/>
            <w:vAlign w:val="bottom"/>
            <w:gridSpan w:val="26"/>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10400" w:type="dxa"/>
            <w:vAlign w:val="bottom"/>
            <w:gridSpan w:val="3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060" w:type="dxa"/>
            <w:vAlign w:val="bottom"/>
            <w:gridSpan w:val="28"/>
          </w:tcPr>
          <w:p>
            <w:pPr>
              <w:spacing w:after="0"/>
              <w:rPr>
                <w:sz w:val="24"/>
                <w:szCs w:val="24"/>
                <w:color w:val="auto"/>
              </w:rPr>
            </w:pPr>
          </w:p>
        </w:tc>
      </w:tr>
      <w:tr>
        <w:trPr>
          <w:trHeight w:val="513"/>
        </w:trPr>
        <w:tc>
          <w:tcPr>
            <w:tcW w:w="1040" w:type="dxa"/>
            <w:vAlign w:val="bottom"/>
          </w:tcPr>
          <w:p>
            <w:pPr>
              <w:spacing w:after="0"/>
              <w:rPr>
                <w:sz w:val="24"/>
                <w:szCs w:val="24"/>
                <w:color w:val="auto"/>
              </w:rPr>
            </w:pPr>
          </w:p>
        </w:tc>
        <w:tc>
          <w:tcPr>
            <w:tcW w:w="5040" w:type="dxa"/>
            <w:vAlign w:val="bottom"/>
            <w:gridSpan w:val="8"/>
          </w:tcPr>
          <w:p>
            <w:pPr>
              <w:ind w:left="4580"/>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5"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209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7" w:name="page68"/>
    <w:bookmarkEnd w:id="67"/>
    <w:p>
      <w:pPr>
        <w:ind w:left="1028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2018</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33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186,952</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633,753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521,993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530,845</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540,975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219,009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Add—Fixed charges</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21,098</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208,050</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715,144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599,064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609,671</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632,666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330,326</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(b)</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14,472</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21,098</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(d)</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ind w:left="10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(g)</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Notes (dollars in thousands):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Operating income for the three months ended March 31, 2018 is presented after giving effect to a charge of (i) $5 of acquisition-related costs, (ii)</w:t>
      </w:r>
    </w:p>
    <w:p>
      <w:pPr>
        <w:spacing w:after="0" w:line="47" w:lineRule="exact"/>
        <w:rPr>
          <w:rFonts w:ascii="Arial" w:cs="Arial" w:eastAsia="Arial" w:hAnsi="Arial"/>
          <w:sz w:val="17"/>
          <w:szCs w:val="17"/>
          <w:color w:val="auto"/>
        </w:rPr>
      </w:pPr>
    </w:p>
    <w:p>
      <w:pPr>
        <w:ind w:left="520" w:right="140"/>
        <w:spacing w:after="0" w:line="277" w:lineRule="auto"/>
        <w:rPr>
          <w:rFonts w:ascii="Arial" w:cs="Arial" w:eastAsia="Arial" w:hAnsi="Arial"/>
          <w:sz w:val="17"/>
          <w:szCs w:val="17"/>
          <w:color w:val="auto"/>
        </w:rPr>
      </w:pPr>
      <w:r>
        <w:rPr>
          <w:rFonts w:ascii="Arial" w:cs="Arial" w:eastAsia="Arial" w:hAnsi="Arial"/>
          <w:sz w:val="18"/>
          <w:szCs w:val="18"/>
          <w:color w:val="auto"/>
        </w:rPr>
        <w:t>$7,426 of expenses associated with the ERP system implementation and (iii) $1,389 of expenses related to office space reorganization. Excluding the impact of such charges, the ratio of earnings to fixed charges would have been 10.45.</w:t>
      </w:r>
    </w:p>
    <w:p>
      <w:pPr>
        <w:spacing w:after="0" w:line="62" w:lineRule="exact"/>
        <w:rPr>
          <w:rFonts w:ascii="Arial" w:cs="Arial" w:eastAsia="Arial" w:hAnsi="Arial"/>
          <w:sz w:val="17"/>
          <w:szCs w:val="17"/>
          <w:color w:val="auto"/>
        </w:rPr>
      </w:pPr>
    </w:p>
    <w:p>
      <w:pPr>
        <w:ind w:left="520" w:right="18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2017 is presented after giving effect to (i) $1,291 of acquisition-related costs, (ii) $25,308 of expenses associated with the ERP system implementation, and (iii) $11,354 of expenses related to office space reorganization. Excluding the impact of such items, the ratio of earnings to fixed charges would have been 9.24.</w:t>
      </w:r>
    </w:p>
    <w:p>
      <w:pPr>
        <w:spacing w:after="0" w:line="73" w:lineRule="exact"/>
        <w:rPr>
          <w:rFonts w:ascii="Arial" w:cs="Arial" w:eastAsia="Arial" w:hAnsi="Arial"/>
          <w:sz w:val="18"/>
          <w:szCs w:val="18"/>
          <w:color w:val="auto"/>
        </w:rPr>
      </w:pPr>
    </w:p>
    <w:p>
      <w:pPr>
        <w:ind w:left="520" w:right="40" w:hanging="512"/>
        <w:spacing w:after="0" w:line="297"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a charge of (i) $3,148 associated with the redemption of the remaining portion of the 6.85% senior notes due June 2017 (the “2017 Notes”), (ii) $599 excess interest expense due to the period of time between the issuance of the 2027 Notes and the settlement of the redemption of the 2017 Notes, (iii) $30,991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8.11.</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charge, the ratio of earnings to fixed charges would have been 4.14.</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2018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2"/>
    </w:lvl>
  </w:abstractNum>
  <w:abstractNum w:abstractNumId="8">
    <w:nsid w:val="419AC241"/>
    <w:multiLevelType w:val="hybridMultilevel"/>
    <w:lvl w:ilvl="0">
      <w:lvlJc w:val="left"/>
      <w:lvlText w:val="(%1)"/>
      <w:numFmt w:val="lowerRoman"/>
      <w:start w:val="2"/>
    </w:lvl>
  </w:abstractNum>
  <w:abstractNum w:abstractNumId="9">
    <w:nsid w:val="5577F8E1"/>
    <w:multiLevelType w:val="hybridMultilevel"/>
    <w:lvl w:ilvl="0">
      <w:lvlJc w:val="left"/>
      <w:lvlText w:val="%1."/>
      <w:numFmt w:val="decimal"/>
      <w:start w:val="3"/>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decimal"/>
      <w:start w:val="4"/>
    </w:lvl>
  </w:abstractNum>
  <w:abstractNum w:abstractNumId="12">
    <w:nsid w:val="3804823E"/>
    <w:multiLevelType w:val="hybridMultilevel"/>
    <w:lvl w:ilvl="0">
      <w:lvlJc w:val="left"/>
      <w:lvlText w:val="%1."/>
      <w:numFmt w:val="decimal"/>
      <w:start w:val="5"/>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decimal"/>
      <w:start w:val="6"/>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decimal"/>
      <w:start w:val="7"/>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decimal"/>
      <w:start w:val="8"/>
    </w:lvl>
  </w:abstractNum>
  <w:abstractNum w:abstractNumId="21">
    <w:nsid w:val="153EA438"/>
    <w:multiLevelType w:val="hybridMultilevel"/>
    <w:lvl w:ilvl="0">
      <w:lvlJc w:val="left"/>
      <w:lvlText w:val="%1."/>
      <w:numFmt w:val="decimal"/>
      <w:start w:val="9"/>
    </w:lvl>
  </w:abstractNum>
  <w:abstractNum w:abstractNumId="22">
    <w:nsid w:val="3855585C"/>
    <w:multiLevelType w:val="hybridMultilevel"/>
    <w:lvl w:ilvl="0">
      <w:lvlJc w:val="left"/>
      <w:lvlText w:val="%1"/>
      <w:numFmt w:val="decimal"/>
      <w:start w:val="1"/>
    </w:lvl>
    <w:lvl w:ilvl="1">
      <w:lvlJc w:val="left"/>
      <w:lvlText w:val="(%2)"/>
      <w:numFmt w:val="lowerLetter"/>
      <w:start w:val="1"/>
    </w:lvl>
  </w:abstractNum>
  <w:abstractNum w:abstractNumId="23">
    <w:nsid w:val="70A64E2A"/>
    <w:multiLevelType w:val="hybridMultilevel"/>
    <w:lvl w:ilvl="0">
      <w:lvlJc w:val="left"/>
      <w:lvlText w:val="%1."/>
      <w:numFmt w:val="decimal"/>
      <w:start w:val="10"/>
    </w:lvl>
    <w:lvl w:ilvl="1">
      <w:lvlJc w:val="left"/>
      <w:lvlText w:val="%2"/>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11"/>
    </w:lvl>
  </w:abstractNum>
  <w:abstractNum w:abstractNumId="26">
    <w:nsid w:val="1D4ED43B"/>
    <w:multiLevelType w:val="hybridMultilevel"/>
    <w:lvl w:ilvl="0">
      <w:lvlJc w:val="left"/>
      <w:lvlText w:val="%1."/>
      <w:numFmt w:val="decimal"/>
      <w:start w:val="1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decimal"/>
      <w:start w:val="13"/>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4"/>
    </w:lvl>
  </w:abstractNum>
  <w:abstractNum w:abstractNumId="31">
    <w:nsid w:val="4B588F54"/>
    <w:multiLevelType w:val="hybridMultilevel"/>
    <w:lvl w:ilvl="0">
      <w:lvlJc w:val="left"/>
      <w:lvlText w:val="%1."/>
      <w:numFmt w:val="decimal"/>
      <w:start w:val="15"/>
    </w:lvl>
  </w:abstractNum>
  <w:abstractNum w:abstractNumId="32">
    <w:nsid w:val="542289EC"/>
    <w:multiLevelType w:val="hybridMultilevel"/>
    <w:lvl w:ilvl="0">
      <w:lvlJc w:val="left"/>
      <w:lvlText w:val="%1."/>
      <w:numFmt w:val="decimal"/>
      <w:start w:val="16"/>
    </w:lvl>
  </w:abstractNum>
  <w:abstractNum w:abstractNumId="33">
    <w:nsid w:val="6DE91B18"/>
    <w:multiLevelType w:val="hybridMultilevel"/>
    <w:lvl w:ilvl="0">
      <w:lvlJc w:val="left"/>
      <w:lvlText w:val="%1."/>
      <w:numFmt w:val="decimal"/>
      <w:start w:val="17"/>
    </w:lvl>
  </w:abstractNum>
  <w:abstractNum w:abstractNumId="34">
    <w:nsid w:val="38437FDB"/>
    <w:multiLevelType w:val="hybridMultilevel"/>
    <w:lvl w:ilvl="0">
      <w:lvlJc w:val="left"/>
      <w:lvlText w:val="%1."/>
      <w:numFmt w:val="decimal"/>
      <w:start w:val="18"/>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lvl w:ilvl="1">
      <w:lvlJc w:val="left"/>
      <w:lvlText w:val="(%2)"/>
      <w:numFmt w:val="lowerRoman"/>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Roman"/>
      <w:start w:val="2"/>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2"/>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lowerRoman"/>
      <w:start w:val="3"/>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lowerLetter"/>
      <w:start w:val="1"/>
    </w:lvl>
    <w:lvl w:ilvl="1">
      <w:lvlJc w:val="left"/>
      <w:lvlText w:val="•"/>
      <w:numFmt w:val="bullet"/>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96" Type="http://schemas.openxmlformats.org/officeDocument/2006/relationships/hyperlink" Target="http://www.sec.gov/Archives/edgar/data/1326141/000119312505145683/dex31.htm" TargetMode="External"/><Relationship Id="rId97" Type="http://schemas.openxmlformats.org/officeDocument/2006/relationships/hyperlink" Target="http://www.sec.gov/Archives/edgar/data/1326141/000119312505145683/dex32.htm" TargetMode="External"/><Relationship Id="rId98" Type="http://schemas.openxmlformats.org/officeDocument/2006/relationships/hyperlink" Target="http://www.sec.gov/Archives/edgar/data/1326141/000119312515355050/d40575dex33.htm" TargetMode="External"/><Relationship Id="rId99" Type="http://schemas.openxmlformats.org/officeDocument/2006/relationships/hyperlink" Target="http://www.sec.gov/Archives/edgar/data/1326141/000156459016026508/lzd-ex34_617.htm" TargetMode="External"/><Relationship Id="rId100" Type="http://schemas.openxmlformats.org/officeDocument/2006/relationships/hyperlink" Target="http://www.sec.gov/Archives/edgar/data/1326141/000119312505145683/dex41.htm" TargetMode="External"/><Relationship Id="rId101" Type="http://schemas.openxmlformats.org/officeDocument/2006/relationships/hyperlink" Target="http://www.sec.gov/Archives/edgar/data/1326141/000119312507140250/dex41.htm" TargetMode="External"/><Relationship Id="rId102" Type="http://schemas.openxmlformats.org/officeDocument/2006/relationships/hyperlink" Target="http://www.sec.gov/Archives/edgar/data/1326141/000119312513442331/d627938dex41.htm" TargetMode="External"/><Relationship Id="rId103" Type="http://schemas.openxmlformats.org/officeDocument/2006/relationships/hyperlink" Target="http://www.sec.gov/Archives/edgar/data/1326141/000119312515050372/d871109dex41.htm" TargetMode="External"/><Relationship Id="rId104" Type="http://schemas.openxmlformats.org/officeDocument/2006/relationships/hyperlink" Target="http://www.sec.gov/Archives/edgar/data/1326141/000119312516760474/d275674dex41.htm" TargetMode="External"/><Relationship Id="rId105" Type="http://schemas.openxmlformats.org/officeDocument/2006/relationships/hyperlink" Target="http://www.sec.gov/Archives/edgar/data/1311370/000119312505025486/dex1019.htm" TargetMode="External"/><Relationship Id="rId106" Type="http://schemas.openxmlformats.org/officeDocument/2006/relationships/hyperlink" Target="http://www.sec.gov/Archives/edgar/data/1326141/000119312511117049/dex1015.htm" TargetMode="External"/><Relationship Id="rId107" Type="http://schemas.openxmlformats.org/officeDocument/2006/relationships/hyperlink" Target="http://www.sec.gov/Archives/edgar/data/1311370/000119312505025486/dex1021.htm" TargetMode="External"/><Relationship Id="rId108" Type="http://schemas.openxmlformats.org/officeDocument/2006/relationships/hyperlink" Target="http://www.sec.gov/Archives/edgar/data/1311370/000119312505091140/dex1021.htm" TargetMode="External"/><Relationship Id="rId109" Type="http://schemas.openxmlformats.org/officeDocument/2006/relationships/hyperlink" Target="http://www.sec.gov/Archives/edgar/data/1311370/000119312508063107/ddef14a.htm" TargetMode="External"/><Relationship Id="rId110" Type="http://schemas.openxmlformats.org/officeDocument/2006/relationships/hyperlink" Target="http://www.sec.gov/Archives/edgar/data/1311370/000119312516500308/d128121ddef14a.htm" TargetMode="External"/><Relationship Id="rId111" Type="http://schemas.openxmlformats.org/officeDocument/2006/relationships/hyperlink" Target="http://www.sec.gov/Archives/edgar/data/1311370/000119312518082725/d525181ddef14a.htm" TargetMode="External"/><Relationship Id="rId112" Type="http://schemas.openxmlformats.org/officeDocument/2006/relationships/hyperlink" Target="http://www.sec.gov/Archives/edgar/data/1326141/000119312516556968/d177065dex107.htm" TargetMode="External"/><Relationship Id="rId115" Type="http://schemas.openxmlformats.org/officeDocument/2006/relationships/hyperlink" Target="http://www.sec.gov/Archives/edgar/data/1326141/000119312516556968/d177065dex108.htm" TargetMode="External"/><Relationship Id="rId116" Type="http://schemas.openxmlformats.org/officeDocument/2006/relationships/hyperlink" Target="http://www.sec.gov/Archives/edgar/data/1326141/000119312516556968/d177065dex109.htm" TargetMode="External"/><Relationship Id="rId117" Type="http://schemas.openxmlformats.org/officeDocument/2006/relationships/hyperlink" Target="http://www.sec.gov/Archives/edgar/data/1326141/000119312516556968/d177065dex1010.htm" TargetMode="External"/><Relationship Id="rId118" Type="http://schemas.openxmlformats.org/officeDocument/2006/relationships/hyperlink" Target="http://www.sec.gov/Archives/edgar/data/1326141/000156459017020406/lzd-ex1011_801.htm" TargetMode="External"/><Relationship Id="rId119" Type="http://schemas.openxmlformats.org/officeDocument/2006/relationships/hyperlink" Target="http://www.sec.gov/Archives/edgar/data/1326141/000156459017020406/lzd-ex1012_802.htm" TargetMode="External"/><Relationship Id="rId120" Type="http://schemas.openxmlformats.org/officeDocument/2006/relationships/hyperlink" Target="http://www.sec.gov/Archives/edgar/data/1326141/000119312516556968/d177065dex1011.htm" TargetMode="External"/><Relationship Id="rId121" Type="http://schemas.openxmlformats.org/officeDocument/2006/relationships/hyperlink" Target="http://www.sec.gov/Archives/edgar/data/1311370/000089882205001180/sept9_exhibit.txt" TargetMode="External"/><Relationship Id="rId122" Type="http://schemas.openxmlformats.org/officeDocument/2006/relationships/hyperlink" Target="http://www.sec.gov/Archives/edgar/data/1311370/000119312509041325/dex1041.htm" TargetMode="External"/><Relationship Id="rId123" Type="http://schemas.openxmlformats.org/officeDocument/2006/relationships/hyperlink" Target="http://www.sec.gov/Archives/edgar/data/1311370/000119312509041325/dex1042.htm" TargetMode="External"/><Relationship Id="rId124" Type="http://schemas.openxmlformats.org/officeDocument/2006/relationships/hyperlink" Target="http://www.sec.gov/Archives/edgar/data/1311370/000119312506109044/dex1039.htm" TargetMode="External"/><Relationship Id="rId125" Type="http://schemas.openxmlformats.org/officeDocument/2006/relationships/hyperlink" Target="http://www.sec.gov/Archives/edgar/data/1326141/000119312515355050/d40575dex1025.htm" TargetMode="External"/><Relationship Id="rId126" Type="http://schemas.openxmlformats.org/officeDocument/2006/relationships/hyperlink" Target="http://www.sec.gov/Archives/edgar/data/1326141/000119312513188145/d507153dex1054.htm" TargetMode="External"/><Relationship Id="rId127" Type="http://schemas.openxmlformats.org/officeDocument/2006/relationships/hyperlink" Target="http://www.sec.gov/Archives/edgar/data/1326141/000119312514185018/d700862dex1054.htm" TargetMode="External"/><Relationship Id="rId128" Type="http://schemas.openxmlformats.org/officeDocument/2006/relationships/hyperlink" Target="http://www.sec.gov/Archives/edgar/data/1326141/000119312514185018/d700862dex1055.htm" TargetMode="External"/><Relationship Id="rId129" Type="http://schemas.openxmlformats.org/officeDocument/2006/relationships/hyperlink" Target="http://www.sec.gov/Archives/edgar/data/1326141/000119312510102282/dex1054.htm" TargetMode="External"/><Relationship Id="rId130" Type="http://schemas.openxmlformats.org/officeDocument/2006/relationships/hyperlink" Target="http://www.sec.gov/Archives/edgar/data/1326141/000119312511117049/dex10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2019-12-28T22:40:20Z</dcterms:created>
  <dcterms:modified xsi:type="dcterms:W3CDTF">2019-12-28T22:40:20Z</dcterms:modified>
</cp:coreProperties>
</file>