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16"/>
              <w:spacing w:after="0"/>
              <w:rPr>
                <w:sz w:val="20"/>
                <w:szCs w:val="20"/>
                <w:color w:val="auto"/>
              </w:rPr>
            </w:pPr>
            <w:r>
              <w:rPr>
                <w:rFonts w:ascii="Arial" w:cs="Arial" w:eastAsia="Arial" w:hAnsi="Arial"/>
                <w:sz w:val="18"/>
                <w:szCs w:val="18"/>
                <w:b w:val="1"/>
                <w:bCs w:val="1"/>
                <w:color w:val="auto"/>
              </w:rPr>
              <w:t>333-126751</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LAZARD GROUP LLC</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51-0278097</w:t>
      </w:r>
    </w:p>
    <w:p>
      <w:pPr>
        <w:spacing w:after="0" w:line="50" w:lineRule="exact"/>
        <w:rPr>
          <w:sz w:val="24"/>
          <w:szCs w:val="24"/>
          <w:color w:val="auto"/>
        </w:rPr>
      </w:pPr>
    </w:p>
    <w:p>
      <w:pPr>
        <w:sectPr>
          <w:pgSz w:w="11900" w:h="16838" w:orient="portrait"/>
          <w:cols w:equalWidth="0" w:num="2">
            <w:col w:w="7480" w:space="720"/>
            <w:col w:w="3200"/>
          </w:cols>
          <w:pgMar w:left="240" w:top="571" w:right="259" w:bottom="1440" w:gutter="0" w:footer="0" w:header="0"/>
          <w:type w:val="continuous"/>
        </w:sectPr>
      </w:pPr>
    </w:p>
    <w:p>
      <w:pPr>
        <w:jc w:val="center"/>
        <w:ind w:right="11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49" w:lineRule="exact"/>
        <w:rPr>
          <w:sz w:val="24"/>
          <w:szCs w:val="24"/>
          <w:color w:val="auto"/>
        </w:rPr>
      </w:pPr>
    </w:p>
    <w:p>
      <w:pPr>
        <w:sectPr>
          <w:pgSz w:w="11900" w:h="16838" w:orient="portrait"/>
          <w:cols w:equalWidth="0" w:num="2">
            <w:col w:w="6820" w:space="720"/>
            <w:col w:w="3860"/>
          </w:cols>
          <w:pgMar w:left="240" w:top="571" w:right="259" w:bottom="1440" w:gutter="0" w:footer="0" w:header="0"/>
          <w:type w:val="continuous"/>
        </w:sectPr>
      </w:pPr>
    </w:p>
    <w:p>
      <w:pPr>
        <w:ind w:left="4920"/>
        <w:spacing w:after="0"/>
        <w:rPr>
          <w:sz w:val="20"/>
          <w:szCs w:val="20"/>
          <w:color w:val="auto"/>
        </w:rPr>
      </w:pPr>
      <w:r>
        <w:rPr>
          <w:rFonts w:ascii="Arial" w:cs="Arial" w:eastAsia="Arial" w:hAnsi="Arial"/>
          <w:sz w:val="18"/>
          <w:szCs w:val="18"/>
          <w:b w:val="1"/>
          <w:bCs w:val="1"/>
          <w:color w:val="auto"/>
        </w:rPr>
        <w:t>30 Rockefeller Plaza</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New York, NY 10112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400"/>
          </w:cols>
          <w:pgMar w:left="240" w:top="571" w:right="259" w:bottom="1440" w:gutter="0" w:footer="0" w:header="0"/>
          <w:type w:val="continuous"/>
        </w:sectPr>
      </w:pP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(212) 632-6000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34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1" w:lineRule="exact"/>
        <w:rPr>
          <w:sz w:val="24"/>
          <w:szCs w:val="24"/>
          <w:color w:val="auto"/>
        </w:rPr>
      </w:pPr>
    </w:p>
    <w:tbl>
      <w:tblPr>
        <w:tblLayout w:type="fixed"/>
        <w:tblInd w:w="58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220" w:type="dxa"/>
            <w:vAlign w:val="bottom"/>
          </w:tcPr>
          <w:p>
            <w:pPr>
              <w:ind w:left="178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right="60" w:firstLine="518"/>
        <w:spacing w:after="0" w:line="214" w:lineRule="exact"/>
        <w:rPr>
          <w:sz w:val="20"/>
          <w:szCs w:val="20"/>
          <w:color w:val="auto"/>
        </w:rPr>
      </w:pPr>
      <w:r>
        <w:rPr>
          <w:rFonts w:ascii="Arial" w:cs="Arial" w:eastAsia="Arial" w:hAnsi="Arial"/>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4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19, 2018,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806450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September 30, 2018 of all of the common membership interests in Lazard Group and its controlling interest in Lazard Group. Lazard Ltd controls Lazard Group through two of its indirect wholly-owned subsidiaries that are co-managing members of Lazard Group.</w:t>
      </w:r>
    </w:p>
    <w:p>
      <w:pPr>
        <w:spacing w:after="0" w:line="178"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the managing directors in a manner consistent with historical practices.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9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September 30, 2018 and December 31, 2017</w:t>
              </w:r>
            </w:hyperlink>
          </w:p>
        </w:tc>
        <w:tc>
          <w:tcPr>
            <w:tcW w:w="278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18"/>
        </w:trPr>
        <w:tc>
          <w:tcPr>
            <w:tcW w:w="60" w:type="dxa"/>
            <w:vAlign w:val="bottom"/>
          </w:tcPr>
          <w:p>
            <w:pPr>
              <w:spacing w:after="0"/>
              <w:rPr>
                <w:sz w:val="24"/>
                <w:szCs w:val="24"/>
                <w:color w:val="auto"/>
              </w:rPr>
            </w:pPr>
          </w:p>
        </w:tc>
        <w:tc>
          <w:tcPr>
            <w:tcW w:w="9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nine month periods ended September 30, 2018 and 2017</w:t>
              </w:r>
            </w:hyperlink>
          </w:p>
        </w:tc>
        <w:tc>
          <w:tcPr>
            <w:tcW w:w="1220" w:type="dxa"/>
            <w:vAlign w:val="bottom"/>
            <w:gridSpan w:val="3"/>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318"/>
        </w:trPr>
        <w:tc>
          <w:tcPr>
            <w:tcW w:w="60" w:type="dxa"/>
            <w:vAlign w:val="bottom"/>
          </w:tcPr>
          <w:p>
            <w:pPr>
              <w:spacing w:after="0"/>
              <w:rPr>
                <w:sz w:val="24"/>
                <w:szCs w:val="24"/>
                <w:color w:val="auto"/>
              </w:rPr>
            </w:pPr>
          </w:p>
        </w:tc>
        <w:tc>
          <w:tcPr>
            <w:tcW w:w="10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nine month periods ended September 30, 2018 and 2017</w:t>
              </w:r>
            </w:hyperlink>
          </w:p>
        </w:tc>
        <w:tc>
          <w:tcPr>
            <w:tcW w:w="30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60" w:type="dxa"/>
            <w:vAlign w:val="bottom"/>
          </w:tcPr>
          <w:p>
            <w:pPr>
              <w:spacing w:after="0"/>
              <w:rPr>
                <w:sz w:val="24"/>
                <w:szCs w:val="24"/>
                <w:color w:val="auto"/>
              </w:rPr>
            </w:pPr>
          </w:p>
        </w:tc>
        <w:tc>
          <w:tcPr>
            <w:tcW w:w="83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 periods ended September 30, 2018 and 2017</w:t>
              </w:r>
            </w:hyperlink>
          </w:p>
        </w:tc>
        <w:tc>
          <w:tcPr>
            <w:tcW w:w="2380" w:type="dxa"/>
            <w:vAlign w:val="bottom"/>
            <w:gridSpan w:val="4"/>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Members’ Equity for the nine month periods ended September 30, 2018 and 2017</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60" w:type="dxa"/>
            <w:vAlign w:val="bottom"/>
          </w:tcPr>
          <w:p>
            <w:pPr>
              <w:spacing w:after="0"/>
              <w:rPr>
                <w:sz w:val="24"/>
                <w:szCs w:val="24"/>
                <w:color w:val="auto"/>
              </w:rPr>
            </w:pPr>
          </w:p>
        </w:tc>
        <w:tc>
          <w:tcPr>
            <w:tcW w:w="962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12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1,102,606</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1,470,296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1,015,872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35,539</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$34,472 and $23,692 at</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September 30, 2018 and December 31, 2017,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546,636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487,800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93,979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663,648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588,751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609,595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$331,702 and $317,816</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 September 30, 2018 and December 31, 2017,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212,886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203,828</w:t>
            </w:r>
          </w:p>
        </w:tc>
        <w:tc>
          <w:tcPr>
            <w:tcW w:w="120" w:type="dxa"/>
            <w:vAlign w:val="bottom"/>
            <w:shd w:val="clear" w:color="auto" w:fill="CFF0FC"/>
          </w:tcPr>
          <w:p>
            <w:pPr>
              <w:spacing w:after="0"/>
              <w:rPr>
                <w:sz w:val="20"/>
                <w:szCs w:val="20"/>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 of $63,126 and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$61,202 at September 30, 2018 and December 31, 2017, respectively)</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357,381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368,034</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46,646</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301,090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224,862</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4,344,333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1,056,343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992,338</w:t>
            </w: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487,426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591,394</w:t>
            </w:r>
          </w:p>
        </w:tc>
        <w:tc>
          <w:tcPr>
            <w:tcW w:w="1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1,433,702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1,190,383</w:t>
            </w: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Payable to Lazard Ltd subsidiaries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63,388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65,271</w:t>
            </w:r>
          </w:p>
        </w:tc>
        <w:tc>
          <w:tcPr>
            <w:tcW w:w="1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w:t>
            </w: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545,092</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3,599,293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3,393,673</w:t>
            </w:r>
          </w:p>
        </w:tc>
        <w:tc>
          <w:tcPr>
            <w:tcW w:w="120" w:type="dxa"/>
            <w:vAlign w:val="bottom"/>
            <w:shd w:val="clear" w:color="auto" w:fill="CFF0FC"/>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MEMBERS’ EQUITY</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60" w:type="dxa"/>
            <w:vAlign w:val="bottom"/>
          </w:tcPr>
          <w:p>
            <w:pPr>
              <w:ind w:left="260"/>
              <w:spacing w:after="0"/>
              <w:rPr>
                <w:sz w:val="20"/>
                <w:szCs w:val="20"/>
                <w:color w:val="auto"/>
              </w:rPr>
            </w:pPr>
            <w:r>
              <w:rPr>
                <w:rFonts w:ascii="Arial" w:cs="Arial" w:eastAsia="Arial" w:hAnsi="Arial"/>
                <w:sz w:val="18"/>
                <w:szCs w:val="18"/>
                <w:color w:val="auto"/>
              </w:rPr>
              <w:t>Members' equity (net of 10,455,449 and 9,907,479 shares of Lazard Ltd Class A</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60" w:type="dxa"/>
            <w:vAlign w:val="bottom"/>
          </w:tcPr>
          <w:p>
            <w:pPr>
              <w:ind w:left="380"/>
              <w:spacing w:after="0"/>
              <w:rPr>
                <w:sz w:val="20"/>
                <w:szCs w:val="20"/>
                <w:color w:val="auto"/>
              </w:rPr>
            </w:pPr>
            <w:r>
              <w:rPr>
                <w:rFonts w:ascii="Arial" w:cs="Arial" w:eastAsia="Arial" w:hAnsi="Arial"/>
                <w:sz w:val="18"/>
                <w:szCs w:val="18"/>
                <w:color w:val="auto"/>
              </w:rPr>
              <w:t>common stock, at a cost of $489,304 and $411,560 at September 30, 2018 and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60" w:type="dxa"/>
            <w:vAlign w:val="bottom"/>
          </w:tcPr>
          <w:p>
            <w:pPr>
              <w:ind w:left="380"/>
              <w:spacing w:after="0"/>
              <w:rPr>
                <w:sz w:val="20"/>
                <w:szCs w:val="20"/>
                <w:color w:val="auto"/>
              </w:rPr>
            </w:pPr>
            <w:r>
              <w:rPr>
                <w:rFonts w:ascii="Arial" w:cs="Arial" w:eastAsia="Arial" w:hAnsi="Arial"/>
                <w:sz w:val="18"/>
                <w:szCs w:val="18"/>
                <w:color w:val="auto"/>
              </w:rPr>
              <w:t>December 31, 2017, respectively)</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908,702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1,043,574</w:t>
            </w:r>
          </w:p>
        </w:tc>
        <w:tc>
          <w:tcPr>
            <w:tcW w:w="120" w:type="dxa"/>
            <w:vAlign w:val="bottom"/>
          </w:tcPr>
          <w:p>
            <w:pPr>
              <w:spacing w:after="0"/>
              <w:rPr>
                <w:sz w:val="20"/>
                <w:szCs w:val="20"/>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(217,577)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(195,256)</w:t>
            </w:r>
          </w:p>
        </w:tc>
      </w:tr>
      <w:tr>
        <w:trPr>
          <w:trHeight w:val="223"/>
        </w:trPr>
        <w:tc>
          <w:tcPr>
            <w:tcW w:w="6960" w:type="dxa"/>
            <w:vAlign w:val="bottom"/>
          </w:tcPr>
          <w:p>
            <w:pPr>
              <w:ind w:left="500"/>
              <w:spacing w:after="0"/>
              <w:rPr>
                <w:sz w:val="20"/>
                <w:szCs w:val="20"/>
                <w:color w:val="auto"/>
              </w:rPr>
            </w:pPr>
            <w:r>
              <w:rPr>
                <w:rFonts w:ascii="Arial" w:cs="Arial" w:eastAsia="Arial" w:hAnsi="Arial"/>
                <w:sz w:val="18"/>
                <w:szCs w:val="18"/>
                <w:color w:val="auto"/>
              </w:rPr>
              <w:t>Total Lazard Group LLC Members' Equity</w:t>
            </w:r>
          </w:p>
        </w:tc>
        <w:tc>
          <w:tcPr>
            <w:tcW w:w="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691,125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848,318</w:t>
            </w:r>
          </w:p>
        </w:tc>
        <w:tc>
          <w:tcPr>
            <w:tcW w:w="120" w:type="dxa"/>
            <w:vAlign w:val="bottom"/>
          </w:tcPr>
          <w:p>
            <w:pPr>
              <w:spacing w:after="0"/>
              <w:rPr>
                <w:sz w:val="19"/>
                <w:szCs w:val="19"/>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9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58,582</w:t>
            </w:r>
          </w:p>
        </w:tc>
        <w:tc>
          <w:tcPr>
            <w:tcW w:w="120" w:type="dxa"/>
            <w:vAlign w:val="bottom"/>
            <w:shd w:val="clear" w:color="auto" w:fill="CFF0FC"/>
          </w:tcPr>
          <w:p>
            <w:pPr>
              <w:spacing w:after="0"/>
              <w:rPr>
                <w:sz w:val="19"/>
                <w:szCs w:val="19"/>
                <w:color w:val="auto"/>
              </w:rPr>
            </w:pPr>
          </w:p>
        </w:tc>
      </w:tr>
      <w:tr>
        <w:trPr>
          <w:trHeight w:val="223"/>
        </w:trPr>
        <w:tc>
          <w:tcPr>
            <w:tcW w:w="6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Members’ Equity</w:t>
            </w: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906,900</w:t>
            </w:r>
          </w:p>
        </w:tc>
        <w:tc>
          <w:tcPr>
            <w:tcW w:w="120" w:type="dxa"/>
            <w:vAlign w:val="bottom"/>
            <w:tcBorders>
              <w:bottom w:val="single" w:sz="8" w:color="CFF0FC"/>
            </w:tcBorders>
          </w:tcPr>
          <w:p>
            <w:pPr>
              <w:spacing w:after="0"/>
              <w:rPr>
                <w:sz w:val="19"/>
                <w:szCs w:val="19"/>
                <w:color w:val="auto"/>
              </w:rPr>
            </w:pPr>
          </w:p>
        </w:tc>
      </w:tr>
      <w:tr>
        <w:trPr>
          <w:trHeight w:val="223"/>
        </w:trPr>
        <w:tc>
          <w:tcPr>
            <w:tcW w:w="6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Members’ Equity</w:t>
            </w: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4,344,333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8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309,118</w:t>
            </w:r>
          </w:p>
        </w:tc>
        <w:tc>
          <w:tcPr>
            <w:tcW w:w="16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305,530</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1,136,013</w:t>
            </w:r>
          </w:p>
        </w:tc>
        <w:tc>
          <w:tcPr>
            <w:tcW w:w="16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1,050,471</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301,719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986,777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868,522</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4,959</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81,092</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638,019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2,177,123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2,005,044</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42,770</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625,012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623,771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2,132,912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1,962,274</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342,294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359,294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1,160,216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1,134,142</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87,334</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63,463</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87,329</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31,559</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52,539</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30,510</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490,280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478,577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1,619,414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1,488,822</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145,194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513,498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473,452</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81,802</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117,827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391,650</w:t>
            </w:r>
          </w:p>
        </w:tc>
        <w:tc>
          <w:tcPr>
            <w:tcW w:w="120" w:type="dxa"/>
            <w:vAlign w:val="bottom"/>
            <w:shd w:val="clear" w:color="auto" w:fill="CFF0FC"/>
          </w:tcPr>
          <w:p>
            <w:pPr>
              <w:spacing w:after="0"/>
              <w:rPr>
                <w:sz w:val="19"/>
                <w:szCs w:val="19"/>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b w:val="1"/>
                <w:bCs w:val="1"/>
                <w:color w:val="auto"/>
              </w:rPr>
              <w:t>LESS - NET INCOME ATTRIBUTABLE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TO NONCONTROLLING INTERESTS</w:t>
            </w:r>
          </w:p>
        </w:tc>
        <w:tc>
          <w:tcPr>
            <w:tcW w:w="5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Borders>
              <w:bottom w:val="single" w:sz="8" w:color="CFF0FC"/>
            </w:tcBorders>
          </w:tcPr>
          <w:p>
            <w:pPr>
              <w:spacing w:after="0"/>
              <w:rPr>
                <w:sz w:val="20"/>
                <w:szCs w:val="20"/>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5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107,687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115,566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433,008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385,990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6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438,045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391,650</w:t>
            </w:r>
          </w:p>
        </w:tc>
        <w:tc>
          <w:tcPr>
            <w:tcW w:w="120" w:type="dxa"/>
            <w:vAlign w:val="bottom"/>
            <w:shd w:val="clear" w:color="auto" w:fill="CFF0FC"/>
          </w:tcPr>
          <w:p>
            <w:pPr>
              <w:spacing w:after="0"/>
              <w:rPr>
                <w:sz w:val="19"/>
                <w:szCs w:val="19"/>
                <w:color w:val="auto"/>
              </w:rPr>
            </w:pPr>
          </w:p>
        </w:tc>
      </w:tr>
      <w:tr>
        <w:trPr>
          <w:trHeight w:val="205"/>
        </w:trPr>
        <w:tc>
          <w:tcPr>
            <w:tcW w:w="556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56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(7,631)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(29,258)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56,440</w:t>
            </w:r>
          </w:p>
        </w:tc>
        <w:tc>
          <w:tcPr>
            <w:tcW w:w="120" w:type="dxa"/>
            <w:vAlign w:val="bottom"/>
            <w:shd w:val="clear" w:color="auto" w:fill="CFF0FC"/>
          </w:tcPr>
          <w:p>
            <w:pPr>
              <w:spacing w:after="0"/>
              <w:rPr>
                <w:sz w:val="19"/>
                <w:szCs w:val="19"/>
                <w:color w:val="auto"/>
              </w:rPr>
            </w:pPr>
          </w:p>
        </w:tc>
      </w:tr>
      <w:tr>
        <w:trPr>
          <w:trHeight w:val="230"/>
        </w:trPr>
        <w:tc>
          <w:tcPr>
            <w:tcW w:w="556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5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(loss) (net of tax expense (benefit) of $214</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6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and $(1,197) for the three months ended September 30, 2018</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2017, respectively, and $618 and $(3,673)</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nine months ended September 30, 2018 and 2017,</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5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(13,819)</w:t>
            </w:r>
          </w:p>
        </w:tc>
      </w:tr>
      <w:tr>
        <w:trPr>
          <w:trHeight w:val="215"/>
        </w:trPr>
        <w:tc>
          <w:tcPr>
            <w:tcW w:w="556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tcPr>
          <w:p>
            <w:pPr>
              <w:ind w:left="640"/>
              <w:spacing w:after="0"/>
              <w:rPr>
                <w:sz w:val="20"/>
                <w:szCs w:val="20"/>
                <w:color w:val="auto"/>
              </w:rPr>
            </w:pPr>
            <w:r>
              <w:rPr>
                <w:rFonts w:ascii="Arial" w:cs="Arial" w:eastAsia="Arial" w:hAnsi="Arial"/>
                <w:sz w:val="18"/>
                <w:szCs w:val="18"/>
                <w:color w:val="auto"/>
              </w:rPr>
              <w:t>tax expense of $264 and $204 for the three months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tcPr>
          <w:p>
            <w:pPr>
              <w:ind w:left="640"/>
              <w:spacing w:after="0"/>
              <w:rPr>
                <w:sz w:val="20"/>
                <w:szCs w:val="20"/>
                <w:color w:val="auto"/>
              </w:rPr>
            </w:pPr>
            <w:r>
              <w:rPr>
                <w:rFonts w:ascii="Arial" w:cs="Arial" w:eastAsia="Arial" w:hAnsi="Arial"/>
                <w:sz w:val="18"/>
                <w:szCs w:val="18"/>
                <w:color w:val="auto"/>
              </w:rPr>
              <w:t>ended September 30, 2018 and 2017, respectively,</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tcPr>
          <w:p>
            <w:pPr>
              <w:ind w:left="640"/>
              <w:spacing w:after="0"/>
              <w:rPr>
                <w:sz w:val="20"/>
                <w:szCs w:val="20"/>
                <w:color w:val="auto"/>
              </w:rPr>
            </w:pPr>
            <w:r>
              <w:rPr>
                <w:rFonts w:ascii="Arial" w:cs="Arial" w:eastAsia="Arial" w:hAnsi="Arial"/>
                <w:sz w:val="18"/>
                <w:szCs w:val="18"/>
                <w:color w:val="auto"/>
              </w:rPr>
              <w:t>and $948 and $676 for the nine months ended</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56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September 30, 2018 and 2017, respectively)</w:t>
            </w:r>
          </w:p>
        </w:tc>
        <w:tc>
          <w:tcPr>
            <w:tcW w:w="5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Borders>
              <w:bottom w:val="single" w:sz="8" w:color="CFF0FC"/>
            </w:tcBorders>
          </w:tcPr>
          <w:p>
            <w:pPr>
              <w:spacing w:after="0"/>
              <w:rPr>
                <w:sz w:val="20"/>
                <w:szCs w:val="20"/>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46,144</w:t>
            </w:r>
          </w:p>
        </w:tc>
        <w:tc>
          <w:tcPr>
            <w:tcW w:w="120" w:type="dxa"/>
            <w:vAlign w:val="bottom"/>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103,520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415,724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437,794</w:t>
            </w:r>
          </w:p>
        </w:tc>
        <w:tc>
          <w:tcPr>
            <w:tcW w:w="120" w:type="dxa"/>
            <w:vAlign w:val="bottom"/>
          </w:tcPr>
          <w:p>
            <w:pPr>
              <w:spacing w:after="0"/>
              <w:rPr>
                <w:sz w:val="19"/>
                <w:szCs w:val="19"/>
                <w:color w:val="auto"/>
              </w:rPr>
            </w:pPr>
          </w:p>
        </w:tc>
      </w:tr>
      <w:tr>
        <w:trPr>
          <w:trHeight w:val="211"/>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5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5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120" w:type="dxa"/>
            <w:vAlign w:val="bottom"/>
            <w:shd w:val="clear" w:color="auto" w:fill="CFF0FC"/>
          </w:tcPr>
          <w:p>
            <w:pPr>
              <w:spacing w:after="0"/>
              <w:rPr>
                <w:sz w:val="20"/>
                <w:szCs w:val="20"/>
                <w:color w:val="auto"/>
              </w:rPr>
            </w:pPr>
          </w:p>
        </w:tc>
      </w:tr>
      <w:tr>
        <w:trPr>
          <w:trHeight w:val="205"/>
        </w:trPr>
        <w:tc>
          <w:tcPr>
            <w:tcW w:w="556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560" w:type="dxa"/>
            <w:vAlign w:val="bottom"/>
          </w:tcPr>
          <w:p>
            <w:pPr>
              <w:ind w:left="140"/>
              <w:spacing w:after="0"/>
              <w:rPr>
                <w:sz w:val="20"/>
                <w:szCs w:val="20"/>
                <w:color w:val="auto"/>
              </w:rPr>
            </w:pPr>
            <w:r>
              <w:rPr>
                <w:rFonts w:ascii="Arial" w:cs="Arial" w:eastAsia="Arial" w:hAnsi="Arial"/>
                <w:sz w:val="18"/>
                <w:szCs w:val="18"/>
                <w:b w:val="1"/>
                <w:bCs w:val="1"/>
                <w:color w:val="auto"/>
              </w:rPr>
              <w:t>LAZARD GROUP LLC</w:t>
            </w:r>
          </w:p>
        </w:tc>
        <w:tc>
          <w:tcPr>
            <w:tcW w:w="7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101,867</w:t>
            </w:r>
          </w:p>
        </w:tc>
        <w:tc>
          <w:tcPr>
            <w:tcW w:w="160" w:type="dxa"/>
            <w:vAlign w:val="bottom"/>
          </w:tcPr>
          <w:p>
            <w:pPr>
              <w:spacing w:after="0"/>
              <w:rPr>
                <w:sz w:val="20"/>
                <w:szCs w:val="20"/>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129,750</w:t>
            </w:r>
          </w:p>
        </w:tc>
        <w:tc>
          <w:tcPr>
            <w:tcW w:w="140" w:type="dxa"/>
            <w:vAlign w:val="bottom"/>
          </w:tcPr>
          <w:p>
            <w:pPr>
              <w:spacing w:after="0"/>
              <w:rPr>
                <w:sz w:val="20"/>
                <w:szCs w:val="20"/>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410,687</w:t>
            </w:r>
          </w:p>
        </w:tc>
        <w:tc>
          <w:tcPr>
            <w:tcW w:w="240" w:type="dxa"/>
            <w:vAlign w:val="bottom"/>
          </w:tcPr>
          <w:p>
            <w:pPr>
              <w:spacing w:after="0"/>
              <w:rPr>
                <w:sz w:val="20"/>
                <w:szCs w:val="20"/>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432,133</w:t>
            </w:r>
          </w:p>
        </w:tc>
        <w:tc>
          <w:tcPr>
            <w:tcW w:w="12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4"/>
          </w:tcPr>
          <w:p>
            <w:pPr>
              <w:jc w:val="right"/>
              <w:ind w:right="48"/>
              <w:spacing w:after="0"/>
              <w:rPr>
                <w:sz w:val="20"/>
                <w:szCs w:val="20"/>
                <w:color w:val="auto"/>
              </w:rPr>
            </w:pPr>
            <w:r>
              <w:rPr>
                <w:rFonts w:ascii="Arial" w:cs="Arial" w:eastAsia="Arial" w:hAnsi="Arial"/>
                <w:sz w:val="13"/>
                <w:szCs w:val="13"/>
                <w:b w:val="1"/>
                <w:bCs w:val="1"/>
                <w:color w:val="auto"/>
              </w:rPr>
              <w:t>Nine Months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6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3"/>
                <w:szCs w:val="13"/>
                <w:b w:val="1"/>
                <w:bCs w:val="1"/>
                <w:color w:val="auto"/>
              </w:rPr>
              <w:t>September 30,</w:t>
            </w: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80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156"/>
        </w:trPr>
        <w:tc>
          <w:tcPr>
            <w:tcW w:w="68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0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800" w:type="dxa"/>
            <w:vAlign w:val="bottom"/>
          </w:tcPr>
          <w:p>
            <w:pPr>
              <w:spacing w:after="0"/>
              <w:rPr>
                <w:sz w:val="20"/>
                <w:szCs w:val="20"/>
                <w:color w:val="auto"/>
              </w:rPr>
            </w:pPr>
            <w:r>
              <w:rPr>
                <w:rFonts w:ascii="Arial" w:cs="Arial" w:eastAsia="Arial" w:hAnsi="Arial"/>
                <w:sz w:val="14"/>
                <w:szCs w:val="14"/>
                <w:color w:val="auto"/>
              </w:rPr>
              <w:t>Net income</w:t>
            </w:r>
          </w:p>
        </w:tc>
        <w:tc>
          <w:tcPr>
            <w:tcW w:w="202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438,045</w:t>
            </w:r>
          </w:p>
        </w:tc>
        <w:tc>
          <w:tcPr>
            <w:tcW w:w="160" w:type="dxa"/>
            <w:vAlign w:val="bottom"/>
          </w:tcPr>
          <w:p>
            <w:pPr>
              <w:spacing w:after="0"/>
              <w:rPr>
                <w:sz w:val="14"/>
                <w:szCs w:val="14"/>
                <w:color w:val="auto"/>
              </w:rPr>
            </w:pPr>
          </w:p>
        </w:tc>
        <w:tc>
          <w:tcPr>
            <w:tcW w:w="640" w:type="dxa"/>
            <w:vAlign w:val="bottom"/>
            <w:gridSpan w:val="2"/>
          </w:tcPr>
          <w:p>
            <w:pPr>
              <w:jc w:val="right"/>
              <w:ind w:right="3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391,650</w:t>
            </w:r>
          </w:p>
        </w:tc>
        <w:tc>
          <w:tcPr>
            <w:tcW w:w="120" w:type="dxa"/>
            <w:vAlign w:val="bottom"/>
          </w:tcPr>
          <w:p>
            <w:pPr>
              <w:spacing w:after="0"/>
              <w:rPr>
                <w:sz w:val="14"/>
                <w:szCs w:val="14"/>
                <w:color w:val="auto"/>
              </w:rPr>
            </w:pPr>
          </w:p>
        </w:tc>
      </w:tr>
      <w:tr>
        <w:trPr>
          <w:trHeight w:val="143"/>
        </w:trPr>
        <w:tc>
          <w:tcPr>
            <w:tcW w:w="68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income to net cash provided by (used in)</w:t>
            </w: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68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operating activities: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Depreciation and amortization of property</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25,078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23,203</w:t>
            </w:r>
          </w:p>
        </w:tc>
        <w:tc>
          <w:tcPr>
            <w:tcW w:w="120" w:type="dxa"/>
            <w:vAlign w:val="bottom"/>
          </w:tcPr>
          <w:p>
            <w:pPr>
              <w:spacing w:after="0"/>
              <w:rPr>
                <w:sz w:val="14"/>
                <w:szCs w:val="14"/>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deferred expenses and share-based incentive compensation</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293,027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283,995</w:t>
            </w:r>
          </w:p>
        </w:tc>
        <w:tc>
          <w:tcPr>
            <w:tcW w:w="120" w:type="dxa"/>
            <w:vAlign w:val="bottom"/>
            <w:shd w:val="clear" w:color="auto" w:fill="CFF0FC"/>
          </w:tcPr>
          <w:p>
            <w:pPr>
              <w:spacing w:after="0"/>
              <w:rPr>
                <w:sz w:val="14"/>
                <w:szCs w:val="14"/>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Amortization and other acquisition-related (benefits) costs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(1,025)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1,946</w:t>
            </w:r>
          </w:p>
        </w:tc>
        <w:tc>
          <w:tcPr>
            <w:tcW w:w="120" w:type="dxa"/>
            <w:vAlign w:val="bottom"/>
          </w:tcPr>
          <w:p>
            <w:pPr>
              <w:spacing w:after="0"/>
              <w:rPr>
                <w:sz w:val="14"/>
                <w:szCs w:val="14"/>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tax provision (benefit)</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(1,462)</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2,413</w:t>
            </w:r>
          </w:p>
        </w:tc>
        <w:tc>
          <w:tcPr>
            <w:tcW w:w="120" w:type="dxa"/>
            <w:vAlign w:val="bottom"/>
            <w:shd w:val="clear" w:color="auto" w:fill="CFF0FC"/>
          </w:tcPr>
          <w:p>
            <w:pPr>
              <w:spacing w:after="0"/>
              <w:rPr>
                <w:sz w:val="14"/>
                <w:szCs w:val="14"/>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(Increase) decrease in operating assets: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Receivables-net</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(87,885)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122,056</w:t>
            </w:r>
          </w:p>
        </w:tc>
        <w:tc>
          <w:tcPr>
            <w:tcW w:w="120" w:type="dxa"/>
            <w:vAlign w:val="bottom"/>
          </w:tcPr>
          <w:p>
            <w:pPr>
              <w:spacing w:after="0"/>
              <w:rPr>
                <w:sz w:val="14"/>
                <w:szCs w:val="14"/>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Investments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(184,542)</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27,927</w:t>
            </w:r>
          </w:p>
        </w:tc>
        <w:tc>
          <w:tcPr>
            <w:tcW w:w="120" w:type="dxa"/>
            <w:vAlign w:val="bottom"/>
            <w:shd w:val="clear" w:color="auto" w:fill="CFF0FC"/>
          </w:tcPr>
          <w:p>
            <w:pPr>
              <w:spacing w:after="0"/>
              <w:rPr>
                <w:sz w:val="14"/>
                <w:szCs w:val="14"/>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Other assets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(144,895)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(70,944)</w:t>
            </w: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Increase (decrease) in operating liabilities: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Accrued compensation and benefits and other liabilities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(42,867)</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(59,924)</w:t>
            </w:r>
          </w:p>
        </w:tc>
      </w:tr>
      <w:tr>
        <w:trPr>
          <w:trHeight w:val="156"/>
        </w:trPr>
        <w:tc>
          <w:tcPr>
            <w:tcW w:w="68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6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299,997</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722,322</w:t>
            </w:r>
          </w:p>
        </w:tc>
        <w:tc>
          <w:tcPr>
            <w:tcW w:w="120" w:type="dxa"/>
            <w:vAlign w:val="bottom"/>
            <w:tcBorders>
              <w:top w:val="single" w:sz="8" w:color="CFF0FC"/>
            </w:tcBorders>
            <w:shd w:val="clear" w:color="auto" w:fill="CFF0FC"/>
          </w:tcPr>
          <w:p>
            <w:pPr>
              <w:spacing w:after="0"/>
              <w:rPr>
                <w:sz w:val="13"/>
                <w:szCs w:val="13"/>
                <w:color w:val="auto"/>
              </w:rPr>
            </w:pPr>
          </w:p>
        </w:tc>
      </w:tr>
      <w:tr>
        <w:trPr>
          <w:trHeight w:val="156"/>
        </w:trPr>
        <w:tc>
          <w:tcPr>
            <w:tcW w:w="68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Additions to property</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(39,141)</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(15,387)</w:t>
            </w:r>
          </w:p>
        </w:tc>
      </w:tr>
      <w:tr>
        <w:trPr>
          <w:trHeight w:val="162"/>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Disposals of property</w:t>
            </w:r>
          </w:p>
        </w:tc>
        <w:tc>
          <w:tcPr>
            <w:tcW w:w="10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Borders>
              <w:bottom w:val="single" w:sz="8" w:color="CFF0FC"/>
            </w:tcBorders>
          </w:tcPr>
          <w:p>
            <w:pPr>
              <w:spacing w:after="0"/>
              <w:rPr>
                <w:sz w:val="14"/>
                <w:szCs w:val="14"/>
                <w:color w:val="auto"/>
              </w:rPr>
            </w:pPr>
          </w:p>
        </w:tc>
      </w:tr>
      <w:tr>
        <w:trPr>
          <w:trHeight w:val="156"/>
        </w:trPr>
        <w:tc>
          <w:tcPr>
            <w:tcW w:w="680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investing activities</w:t>
            </w:r>
          </w:p>
        </w:tc>
        <w:tc>
          <w:tcPr>
            <w:tcW w:w="1060" w:type="dxa"/>
            <w:vAlign w:val="bottom"/>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(37,776)</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(15,102)</w:t>
            </w:r>
          </w:p>
        </w:tc>
        <w:tc>
          <w:tcPr>
            <w:tcW w:w="120" w:type="dxa"/>
            <w:vAlign w:val="bottom"/>
            <w:shd w:val="clear" w:color="auto" w:fill="CFF0FC"/>
          </w:tcPr>
          <w:p>
            <w:pPr>
              <w:spacing w:after="0"/>
              <w:rPr>
                <w:sz w:val="13"/>
                <w:szCs w:val="13"/>
                <w:color w:val="auto"/>
              </w:rPr>
            </w:pPr>
          </w:p>
        </w:tc>
      </w:tr>
      <w:tr>
        <w:trPr>
          <w:trHeight w:val="156"/>
        </w:trPr>
        <w:tc>
          <w:tcPr>
            <w:tcW w:w="68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Customer deposits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79,960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149,506</w:t>
            </w:r>
          </w:p>
        </w:tc>
        <w:tc>
          <w:tcPr>
            <w:tcW w:w="120" w:type="dxa"/>
            <w:vAlign w:val="bottom"/>
          </w:tcPr>
          <w:p>
            <w:pPr>
              <w:spacing w:after="0"/>
              <w:rPr>
                <w:sz w:val="14"/>
                <w:szCs w:val="14"/>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Contributions from noncontrolling interests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Issuance of senior debt, net of expenses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490,970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6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for:</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Senior debt</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(255,543)</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Capital lease obligations</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(7,329)</w:t>
            </w: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Distributions to noncontrolling interests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(10,232)</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(3,049)</w:t>
            </w: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Purchase of Class A common stock</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(306,591)</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(252,538)</w:t>
            </w: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Distributions to members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(364,751)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(294,966)</w:t>
            </w:r>
          </w:p>
        </w:tc>
      </w:tr>
      <w:tr>
        <w:trPr>
          <w:trHeight w:val="162"/>
        </w:trPr>
        <w:tc>
          <w:tcPr>
            <w:tcW w:w="68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Settlement of vested share-based incentive compensation</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(109,485)</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(67,384)</w:t>
            </w:r>
          </w:p>
        </w:tc>
      </w:tr>
      <w:tr>
        <w:trPr>
          <w:trHeight w:val="162"/>
        </w:trPr>
        <w:tc>
          <w:tcPr>
            <w:tcW w:w="6800" w:type="dxa"/>
            <w:vAlign w:val="bottom"/>
          </w:tcPr>
          <w:p>
            <w:pPr>
              <w:ind w:left="500"/>
              <w:spacing w:after="0"/>
              <w:rPr>
                <w:sz w:val="20"/>
                <w:szCs w:val="20"/>
                <w:color w:val="auto"/>
              </w:rPr>
            </w:pPr>
            <w:r>
              <w:rPr>
                <w:rFonts w:ascii="Arial" w:cs="Arial" w:eastAsia="Arial" w:hAnsi="Arial"/>
                <w:sz w:val="14"/>
                <w:szCs w:val="14"/>
                <w:color w:val="auto"/>
              </w:rPr>
              <w:t>Other financing activities</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(5,484)</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(10,083)</w:t>
            </w:r>
          </w:p>
        </w:tc>
      </w:tr>
      <w:tr>
        <w:trPr>
          <w:trHeight w:val="156"/>
        </w:trPr>
        <w:tc>
          <w:tcPr>
            <w:tcW w:w="68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financing activities</w:t>
            </w:r>
          </w:p>
        </w:tc>
        <w:tc>
          <w:tcPr>
            <w:tcW w:w="1060" w:type="dxa"/>
            <w:vAlign w:val="bottom"/>
            <w:tcBorders>
              <w:top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(480,685)</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(485,843)</w:t>
            </w:r>
          </w:p>
        </w:tc>
        <w:tc>
          <w:tcPr>
            <w:tcW w:w="120" w:type="dxa"/>
            <w:vAlign w:val="bottom"/>
            <w:tcBorders>
              <w:top w:val="single" w:sz="8" w:color="CFF0FC"/>
            </w:tcBorders>
            <w:shd w:val="clear" w:color="auto" w:fill="CFF0FC"/>
          </w:tcPr>
          <w:p>
            <w:pPr>
              <w:spacing w:after="0"/>
              <w:rPr>
                <w:sz w:val="13"/>
                <w:szCs w:val="13"/>
                <w:color w:val="auto"/>
              </w:rPr>
            </w:pPr>
          </w:p>
        </w:tc>
      </w:tr>
      <w:tr>
        <w:trPr>
          <w:trHeight w:val="133"/>
        </w:trPr>
        <w:tc>
          <w:tcPr>
            <w:tcW w:w="6800" w:type="dxa"/>
            <w:vAlign w:val="bottom"/>
          </w:tcPr>
          <w:p>
            <w:pPr>
              <w:spacing w:after="0" w:line="133" w:lineRule="exact"/>
              <w:rPr>
                <w:sz w:val="20"/>
                <w:szCs w:val="20"/>
                <w:color w:val="auto"/>
              </w:rPr>
            </w:pPr>
            <w:r>
              <w:rPr>
                <w:rFonts w:ascii="Arial" w:cs="Arial" w:eastAsia="Arial" w:hAnsi="Arial"/>
                <w:sz w:val="14"/>
                <w:szCs w:val="14"/>
                <w:b w:val="1"/>
                <w:bCs w:val="1"/>
                <w:color w:val="auto"/>
              </w:rPr>
              <w:t>EFFECT OF EXCHANGE RATE CHANGES ON CASH AND CASH EQUIVALENTS AND</w:t>
            </w: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1"/>
        </w:trPr>
        <w:tc>
          <w:tcPr>
            <w:tcW w:w="6800" w:type="dxa"/>
            <w:vAlign w:val="bottom"/>
          </w:tcPr>
          <w:p>
            <w:pPr>
              <w:ind w:left="120"/>
              <w:spacing w:after="0"/>
              <w:rPr>
                <w:sz w:val="20"/>
                <w:szCs w:val="20"/>
                <w:color w:val="auto"/>
              </w:rPr>
            </w:pPr>
            <w:r>
              <w:rPr>
                <w:rFonts w:ascii="Arial" w:cs="Arial" w:eastAsia="Arial" w:hAnsi="Arial"/>
                <w:sz w:val="14"/>
                <w:szCs w:val="14"/>
                <w:b w:val="1"/>
                <w:bCs w:val="1"/>
                <w:color w:val="auto"/>
              </w:rPr>
              <w:t>RESTRICTED CASH</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(66,339)</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128,040</w:t>
            </w:r>
          </w:p>
        </w:tc>
        <w:tc>
          <w:tcPr>
            <w:tcW w:w="120" w:type="dxa"/>
            <w:vAlign w:val="bottom"/>
          </w:tcPr>
          <w:p>
            <w:pPr>
              <w:spacing w:after="0"/>
              <w:rPr>
                <w:sz w:val="14"/>
                <w:szCs w:val="14"/>
                <w:color w:val="auto"/>
              </w:rPr>
            </w:pPr>
          </w:p>
        </w:tc>
      </w:tr>
      <w:tr>
        <w:trPr>
          <w:trHeight w:val="133"/>
        </w:trPr>
        <w:tc>
          <w:tcPr>
            <w:tcW w:w="680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NET (DECREASE) INCREASE IN CASH AND CASH EQUIVALENTS AND</w:t>
            </w:r>
          </w:p>
        </w:tc>
        <w:tc>
          <w:tcPr>
            <w:tcW w:w="1060" w:type="dxa"/>
            <w:vAlign w:val="bottom"/>
            <w:tcBorders>
              <w:top w:val="single" w:sz="8" w:color="CFF0FC"/>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680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RESTRICTED CASH</w:t>
            </w: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(284,803)</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349,417</w:t>
            </w:r>
          </w:p>
        </w:tc>
        <w:tc>
          <w:tcPr>
            <w:tcW w:w="120" w:type="dxa"/>
            <w:vAlign w:val="bottom"/>
            <w:shd w:val="clear" w:color="auto" w:fill="CFF0FC"/>
          </w:tcPr>
          <w:p>
            <w:pPr>
              <w:spacing w:after="0"/>
              <w:rPr>
                <w:sz w:val="14"/>
                <w:szCs w:val="14"/>
                <w:color w:val="auto"/>
              </w:rPr>
            </w:pPr>
          </w:p>
        </w:tc>
      </w:tr>
      <w:tr>
        <w:trPr>
          <w:trHeight w:val="162"/>
        </w:trPr>
        <w:tc>
          <w:tcPr>
            <w:tcW w:w="6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CASH AND CASH EQUIVALENTS AND RESTRICTED CASH—January 1</w:t>
            </w:r>
          </w:p>
        </w:tc>
        <w:tc>
          <w:tcPr>
            <w:tcW w:w="10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2,441,266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1,580,138</w:t>
            </w:r>
          </w:p>
        </w:tc>
        <w:tc>
          <w:tcPr>
            <w:tcW w:w="120" w:type="dxa"/>
            <w:vAlign w:val="bottom"/>
            <w:tcBorders>
              <w:bottom w:val="single" w:sz="8" w:color="CFF0FC"/>
            </w:tcBorders>
          </w:tcPr>
          <w:p>
            <w:pPr>
              <w:spacing w:after="0"/>
              <w:rPr>
                <w:sz w:val="14"/>
                <w:szCs w:val="14"/>
                <w:color w:val="auto"/>
              </w:rPr>
            </w:pPr>
          </w:p>
        </w:tc>
      </w:tr>
      <w:tr>
        <w:trPr>
          <w:trHeight w:val="156"/>
        </w:trPr>
        <w:tc>
          <w:tcPr>
            <w:tcW w:w="68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AND CASH EQUIVALENTS AND RESTRICTED CASH—September 30</w:t>
            </w:r>
          </w:p>
        </w:tc>
        <w:tc>
          <w:tcPr>
            <w:tcW w:w="106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2,156,463</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3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1,929,555</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6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1">
            <w:col w:w="11420"/>
          </w:cols>
          <w:pgMar w:left="240" w:top="337" w:right="239" w:bottom="1440" w:gutter="0" w:footer="0" w:header="0"/>
        </w:sectPr>
      </w:pPr>
    </w:p>
    <w:p>
      <w:pPr>
        <w:ind w:left="120" w:right="3780" w:hanging="107"/>
        <w:spacing w:after="0" w:line="236" w:lineRule="auto"/>
        <w:rPr>
          <w:sz w:val="20"/>
          <w:szCs w:val="20"/>
          <w:color w:val="auto"/>
        </w:rPr>
      </w:pPr>
      <w:r>
        <w:rPr>
          <w:rFonts w:ascii="Arial" w:cs="Arial" w:eastAsia="Arial" w:hAnsi="Arial"/>
          <w:sz w:val="14"/>
          <w:szCs w:val="14"/>
          <w:b w:val="1"/>
          <w:bCs w:val="1"/>
          <w:color w:val="auto"/>
        </w:rPr>
        <w:t>RECONCILIATION OF CASH AND CASH EQUIVALENTS AND RESTRICTED CASH WITHIN THE CONDENSED CONSOLIDATED STATEMENTS OF FINANCIAL CONDITION:</w:t>
      </w:r>
    </w:p>
    <w:p>
      <w:pPr>
        <w:jc w:val="center"/>
        <w:ind w:left="7920"/>
        <w:spacing w:after="0"/>
        <w:rPr>
          <w:sz w:val="20"/>
          <w:szCs w:val="20"/>
          <w:color w:val="auto"/>
        </w:rPr>
      </w:pPr>
      <w:r>
        <w:rPr>
          <w:rFonts w:ascii="Arial" w:cs="Arial" w:eastAsia="Arial" w:hAnsi="Arial"/>
          <w:sz w:val="12"/>
          <w:szCs w:val="12"/>
          <w:b w:val="1"/>
          <w:bCs w:val="1"/>
          <w:color w:val="auto"/>
        </w:rPr>
        <w:t>September 30,</w:t>
      </w:r>
    </w:p>
    <w:p>
      <w:pPr>
        <w:spacing w:after="0" w:line="18"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December 31,</w:t>
      </w:r>
    </w:p>
    <w:p>
      <w:pPr>
        <w:spacing w:after="0" w:line="34"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p>
    <w:p>
      <w:pPr>
        <w:sectPr>
          <w:pgSz w:w="11900" w:h="16838" w:orient="portrait"/>
          <w:cols w:equalWidth="0" w:num="2">
            <w:col w:w="9360" w:space="720"/>
            <w:col w:w="134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20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36"/>
        </w:trPr>
        <w:tc>
          <w:tcPr>
            <w:tcW w:w="6200" w:type="dxa"/>
            <w:vAlign w:val="bottom"/>
            <w:shd w:val="clear" w:color="auto" w:fill="CFF0FC"/>
          </w:tcPr>
          <w:p>
            <w:pPr>
              <w:ind w:left="260"/>
              <w:spacing w:after="0" w:line="136" w:lineRule="exact"/>
              <w:rPr>
                <w:sz w:val="20"/>
                <w:szCs w:val="20"/>
                <w:color w:val="auto"/>
              </w:rPr>
            </w:pPr>
            <w:r>
              <w:rPr>
                <w:rFonts w:ascii="Arial" w:cs="Arial" w:eastAsia="Arial" w:hAnsi="Arial"/>
                <w:sz w:val="14"/>
                <w:szCs w:val="14"/>
                <w:color w:val="auto"/>
              </w:rPr>
              <w:t>Cash and cash equivalents</w:t>
            </w:r>
          </w:p>
        </w:tc>
        <w:tc>
          <w:tcPr>
            <w:tcW w:w="1660" w:type="dxa"/>
            <w:vAlign w:val="bottom"/>
            <w:shd w:val="clear" w:color="auto" w:fill="CFF0FC"/>
          </w:tcPr>
          <w:p>
            <w:pPr>
              <w:spacing w:after="0"/>
              <w:rPr>
                <w:sz w:val="11"/>
                <w:szCs w:val="11"/>
                <w:color w:val="auto"/>
              </w:rPr>
            </w:pPr>
          </w:p>
        </w:tc>
        <w:tc>
          <w:tcPr>
            <w:tcW w:w="540" w:type="dxa"/>
            <w:vAlign w:val="bottom"/>
            <w:shd w:val="clear" w:color="auto" w:fill="CFF0FC"/>
          </w:tcPr>
          <w:p>
            <w:pPr>
              <w:jc w:val="right"/>
              <w:ind w:right="388"/>
              <w:spacing w:after="0" w:line="136"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line="136" w:lineRule="exact"/>
              <w:rPr>
                <w:sz w:val="20"/>
                <w:szCs w:val="20"/>
                <w:color w:val="auto"/>
              </w:rPr>
            </w:pPr>
            <w:r>
              <w:rPr>
                <w:rFonts w:ascii="Arial" w:cs="Arial" w:eastAsia="Arial" w:hAnsi="Arial"/>
                <w:sz w:val="14"/>
                <w:szCs w:val="14"/>
                <w:color w:val="auto"/>
              </w:rPr>
              <w:t>1,102,606</w:t>
            </w:r>
          </w:p>
        </w:tc>
        <w:tc>
          <w:tcPr>
            <w:tcW w:w="300" w:type="dxa"/>
            <w:vAlign w:val="bottom"/>
            <w:tcBorders>
              <w:right w:val="single" w:sz="8" w:color="CFF0FC"/>
            </w:tcBorders>
            <w:shd w:val="clear" w:color="auto" w:fill="CFF0FC"/>
          </w:tcPr>
          <w:p>
            <w:pPr>
              <w:spacing w:after="0"/>
              <w:rPr>
                <w:sz w:val="11"/>
                <w:szCs w:val="11"/>
                <w:color w:val="auto"/>
              </w:rPr>
            </w:pPr>
          </w:p>
        </w:tc>
        <w:tc>
          <w:tcPr>
            <w:tcW w:w="500" w:type="dxa"/>
            <w:vAlign w:val="bottom"/>
            <w:shd w:val="clear" w:color="auto" w:fill="CFF0FC"/>
          </w:tcPr>
          <w:p>
            <w:pPr>
              <w:jc w:val="right"/>
              <w:ind w:right="38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line="136" w:lineRule="exact"/>
              <w:rPr>
                <w:sz w:val="20"/>
                <w:szCs w:val="20"/>
                <w:color w:val="auto"/>
              </w:rPr>
            </w:pPr>
            <w:r>
              <w:rPr>
                <w:rFonts w:ascii="Arial" w:cs="Arial" w:eastAsia="Arial" w:hAnsi="Arial"/>
                <w:sz w:val="14"/>
                <w:szCs w:val="14"/>
                <w:color w:val="auto"/>
              </w:rPr>
              <w:t>1,470,296</w:t>
            </w:r>
          </w:p>
        </w:tc>
        <w:tc>
          <w:tcPr>
            <w:tcW w:w="120" w:type="dxa"/>
            <w:vAlign w:val="bottom"/>
            <w:shd w:val="clear" w:color="auto" w:fill="CFF0FC"/>
          </w:tcPr>
          <w:p>
            <w:pPr>
              <w:spacing w:after="0"/>
              <w:rPr>
                <w:sz w:val="11"/>
                <w:szCs w:val="11"/>
                <w:color w:val="auto"/>
              </w:rPr>
            </w:pPr>
          </w:p>
        </w:tc>
      </w:tr>
      <w:tr>
        <w:trPr>
          <w:trHeight w:val="162"/>
        </w:trPr>
        <w:tc>
          <w:tcPr>
            <w:tcW w:w="6200" w:type="dxa"/>
            <w:vAlign w:val="bottom"/>
          </w:tcPr>
          <w:p>
            <w:pPr>
              <w:ind w:left="260"/>
              <w:spacing w:after="0"/>
              <w:rPr>
                <w:sz w:val="20"/>
                <w:szCs w:val="20"/>
                <w:color w:val="auto"/>
              </w:rPr>
            </w:pPr>
            <w:r>
              <w:rPr>
                <w:rFonts w:ascii="Arial" w:cs="Arial" w:eastAsia="Arial" w:hAnsi="Arial"/>
                <w:sz w:val="14"/>
                <w:szCs w:val="14"/>
                <w:color w:val="auto"/>
              </w:rPr>
              <w:t>Deposits with banks and short-term investments</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1,015,872</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935,431</w:t>
            </w:r>
          </w:p>
        </w:tc>
        <w:tc>
          <w:tcPr>
            <w:tcW w:w="120" w:type="dxa"/>
            <w:vAlign w:val="bottom"/>
          </w:tcPr>
          <w:p>
            <w:pPr>
              <w:spacing w:after="0"/>
              <w:rPr>
                <w:sz w:val="14"/>
                <w:szCs w:val="14"/>
                <w:color w:val="auto"/>
              </w:rPr>
            </w:pPr>
          </w:p>
        </w:tc>
      </w:tr>
      <w:tr>
        <w:trPr>
          <w:trHeight w:val="162"/>
        </w:trPr>
        <w:tc>
          <w:tcPr>
            <w:tcW w:w="6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deposited with clearing organizations and other segregated cash</w:t>
            </w:r>
          </w:p>
        </w:tc>
        <w:tc>
          <w:tcPr>
            <w:tcW w:w="1660" w:type="dxa"/>
            <w:vAlign w:val="bottom"/>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37,985</w:t>
            </w:r>
          </w:p>
        </w:tc>
        <w:tc>
          <w:tcPr>
            <w:tcW w:w="300" w:type="dxa"/>
            <w:vAlign w:val="bottom"/>
            <w:tcBorders>
              <w:right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35,539</w:t>
            </w:r>
          </w:p>
        </w:tc>
        <w:tc>
          <w:tcPr>
            <w:tcW w:w="120" w:type="dxa"/>
            <w:vAlign w:val="bottom"/>
            <w:shd w:val="clear" w:color="auto" w:fill="CFF0FC"/>
          </w:tcPr>
          <w:p>
            <w:pPr>
              <w:spacing w:after="0"/>
              <w:rPr>
                <w:sz w:val="14"/>
                <w:szCs w:val="14"/>
                <w:color w:val="auto"/>
              </w:rPr>
            </w:pPr>
          </w:p>
        </w:tc>
      </w:tr>
      <w:tr>
        <w:trPr>
          <w:trHeight w:val="156"/>
        </w:trPr>
        <w:tc>
          <w:tcPr>
            <w:tcW w:w="6200" w:type="dxa"/>
            <w:vAlign w:val="bottom"/>
          </w:tcPr>
          <w:p>
            <w:pPr>
              <w:spacing w:after="0" w:line="155" w:lineRule="exact"/>
              <w:rPr>
                <w:sz w:val="20"/>
                <w:szCs w:val="20"/>
                <w:color w:val="auto"/>
              </w:rPr>
            </w:pPr>
            <w:r>
              <w:rPr>
                <w:rFonts w:ascii="Arial" w:cs="Arial" w:eastAsia="Arial" w:hAnsi="Arial"/>
                <w:sz w:val="14"/>
                <w:szCs w:val="14"/>
                <w:b w:val="1"/>
                <w:bCs w:val="1"/>
                <w:color w:val="auto"/>
              </w:rPr>
              <w:t>TOTAL CASH AND CASH EQUIVALENTS AND RESTRICTED CASH</w:t>
            </w:r>
          </w:p>
        </w:tc>
        <w:tc>
          <w:tcPr>
            <w:tcW w:w="1660" w:type="dxa"/>
            <w:vAlign w:val="bottom"/>
          </w:tcPr>
          <w:p>
            <w:pPr>
              <w:spacing w:after="0"/>
              <w:rPr>
                <w:sz w:val="13"/>
                <w:szCs w:val="13"/>
                <w:color w:val="auto"/>
              </w:rPr>
            </w:pPr>
          </w:p>
        </w:tc>
        <w:tc>
          <w:tcPr>
            <w:tcW w:w="5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2,156,463</w:t>
            </w:r>
          </w:p>
        </w:tc>
        <w:tc>
          <w:tcPr>
            <w:tcW w:w="300" w:type="dxa"/>
            <w:vAlign w:val="bottom"/>
          </w:tcPr>
          <w:p>
            <w:pPr>
              <w:spacing w:after="0"/>
              <w:rPr>
                <w:sz w:val="13"/>
                <w:szCs w:val="13"/>
                <w:color w:val="auto"/>
              </w:rPr>
            </w:pPr>
          </w:p>
        </w:tc>
        <w:tc>
          <w:tcPr>
            <w:tcW w:w="50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2,441,266</w:t>
            </w:r>
          </w:p>
        </w:tc>
        <w:tc>
          <w:tcPr>
            <w:tcW w:w="120" w:type="dxa"/>
            <w:vAlign w:val="bottom"/>
          </w:tcPr>
          <w:p>
            <w:pPr>
              <w:spacing w:after="0"/>
              <w:rPr>
                <w:sz w:val="13"/>
                <w:szCs w:val="13"/>
                <w:color w:val="auto"/>
              </w:rPr>
            </w:pPr>
          </w:p>
        </w:tc>
      </w:tr>
      <w:tr>
        <w:trPr>
          <w:trHeight w:val="20"/>
        </w:trPr>
        <w:tc>
          <w:tcPr>
            <w:tcW w:w="6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8" w:name="page9"/>
    <w:bookmarkEnd w:id="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Lazard Group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Noncontrolling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2017 (*)</w:t>
            </w:r>
          </w:p>
        </w:tc>
        <w:tc>
          <w:tcPr>
            <w:tcW w:w="4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949,669</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(270,775)</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678,894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57,246</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736,140</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4220" w:type="dxa"/>
            <w:vAlign w:val="bottom"/>
            <w:gridSpan w:val="2"/>
          </w:tcPr>
          <w:p>
            <w:pPr>
              <w:spacing w:after="0"/>
              <w:rPr>
                <w:sz w:val="20"/>
                <w:szCs w:val="20"/>
                <w:color w:val="auto"/>
              </w:rPr>
            </w:pPr>
            <w:r>
              <w:rPr>
                <w:rFonts w:ascii="Arial" w:cs="Arial" w:eastAsia="Arial" w:hAnsi="Arial"/>
                <w:sz w:val="16"/>
                <w:szCs w:val="16"/>
                <w:color w:val="auto"/>
              </w:rPr>
              <w:t>Adjustment for the cumulative effect on prior</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years from the adoption of new accounting</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guidance related to share-based incentive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2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compensation</w:t>
            </w:r>
          </w:p>
        </w:tc>
        <w:tc>
          <w:tcPr>
            <w:tcW w:w="4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CFF0FC"/>
            </w:tcBorders>
          </w:tcPr>
          <w:p>
            <w:pPr>
              <w:spacing w:after="0"/>
              <w:rPr>
                <w:sz w:val="18"/>
                <w:szCs w:val="18"/>
                <w:color w:val="auto"/>
              </w:rPr>
            </w:pPr>
          </w:p>
        </w:tc>
      </w:tr>
      <w:tr>
        <w:trPr>
          <w:trHeight w:val="213"/>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as adjusted - January 1, 2017</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954,614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(270,775)</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683,839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57,246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741,085</w:t>
            </w:r>
          </w:p>
        </w:tc>
        <w:tc>
          <w:tcPr>
            <w:tcW w:w="100" w:type="dxa"/>
            <w:vAlign w:val="bottom"/>
            <w:shd w:val="clear" w:color="auto" w:fill="CFF0FC"/>
          </w:tcPr>
          <w:p>
            <w:pPr>
              <w:spacing w:after="0"/>
              <w:rPr>
                <w:sz w:val="18"/>
                <w:szCs w:val="18"/>
                <w:color w:val="auto"/>
              </w:rPr>
            </w:pPr>
          </w:p>
        </w:tc>
      </w:tr>
      <w:tr>
        <w:trPr>
          <w:trHeight w:val="213"/>
        </w:trPr>
        <w:tc>
          <w:tcPr>
            <w:tcW w:w="422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385,990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385,990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391,650</w:t>
            </w:r>
          </w:p>
        </w:tc>
        <w:tc>
          <w:tcPr>
            <w:tcW w:w="100" w:type="dxa"/>
            <w:vAlign w:val="bottom"/>
            <w:shd w:val="clear" w:color="auto" w:fill="CFF0FC"/>
          </w:tcPr>
          <w:p>
            <w:pPr>
              <w:spacing w:after="0"/>
              <w:rPr>
                <w:sz w:val="19"/>
                <w:szCs w:val="19"/>
                <w:color w:val="auto"/>
              </w:rPr>
            </w:pPr>
          </w:p>
        </w:tc>
      </w:tr>
      <w:tr>
        <w:trPr>
          <w:trHeight w:val="206"/>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Other comprehensive income - net</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20" w:type="dxa"/>
            <w:vAlign w:val="bottom"/>
            <w:gridSpan w:val="2"/>
          </w:tcPr>
          <w:p>
            <w:pPr>
              <w:ind w:left="260"/>
              <w:spacing w:after="0"/>
              <w:rPr>
                <w:sz w:val="20"/>
                <w:szCs w:val="20"/>
                <w:color w:val="auto"/>
              </w:rPr>
            </w:pPr>
            <w:r>
              <w:rPr>
                <w:rFonts w:ascii="Arial" w:cs="Arial" w:eastAsia="Arial" w:hAnsi="Arial"/>
                <w:sz w:val="16"/>
                <w:szCs w:val="16"/>
                <w:color w:val="auto"/>
              </w:rPr>
              <w:t>of tax</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46,143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46,143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46,144</w:t>
            </w:r>
          </w:p>
        </w:tc>
        <w:tc>
          <w:tcPr>
            <w:tcW w:w="100" w:type="dxa"/>
            <w:vAlign w:val="bottom"/>
          </w:tcPr>
          <w:p>
            <w:pPr>
              <w:spacing w:after="0"/>
              <w:rPr>
                <w:sz w:val="18"/>
                <w:szCs w:val="18"/>
                <w:color w:val="auto"/>
              </w:rPr>
            </w:pP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220,648</w:t>
            </w:r>
          </w:p>
        </w:tc>
        <w:tc>
          <w:tcPr>
            <w:tcW w:w="100" w:type="dxa"/>
            <w:vAlign w:val="bottom"/>
            <w:shd w:val="clear" w:color="auto" w:fill="CFF0FC"/>
          </w:tcPr>
          <w:p>
            <w:pPr>
              <w:spacing w:after="0"/>
              <w:rPr>
                <w:sz w:val="19"/>
                <w:szCs w:val="19"/>
                <w:color w:val="auto"/>
              </w:rPr>
            </w:pPr>
          </w:p>
        </w:tc>
      </w:tr>
      <w:tr>
        <w:trPr>
          <w:trHeight w:val="213"/>
        </w:trPr>
        <w:tc>
          <w:tcPr>
            <w:tcW w:w="422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 net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(294,966)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(294,966)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(3,049)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(298,015)</w:t>
            </w: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(252,538)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(252,538)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(252,538)</w:t>
            </w:r>
          </w:p>
        </w:tc>
      </w:tr>
      <w:tr>
        <w:trPr>
          <w:trHeight w:val="206"/>
        </w:trPr>
        <w:tc>
          <w:tcPr>
            <w:tcW w:w="4220" w:type="dxa"/>
            <w:vAlign w:val="bottom"/>
            <w:gridSpan w:val="2"/>
          </w:tcPr>
          <w:p>
            <w:pPr>
              <w:spacing w:after="0"/>
              <w:rPr>
                <w:sz w:val="20"/>
                <w:szCs w:val="20"/>
                <w:color w:val="auto"/>
              </w:rPr>
            </w:pPr>
            <w:r>
              <w:rPr>
                <w:rFonts w:ascii="Arial" w:cs="Arial" w:eastAsia="Arial" w:hAnsi="Arial"/>
                <w:sz w:val="16"/>
                <w:szCs w:val="16"/>
                <w:color w:val="auto"/>
              </w:rPr>
              <w:t>Delivery of Class A common stock in</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compensation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(67,384)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(67,384)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(67,384)</w:t>
            </w: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 transactions: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6"/>
        </w:trPr>
        <w:tc>
          <w:tcPr>
            <w:tcW w:w="4220" w:type="dxa"/>
            <w:vAlign w:val="bottom"/>
            <w:gridSpan w:val="2"/>
          </w:tcPr>
          <w:p>
            <w:pPr>
              <w:ind w:left="260"/>
              <w:spacing w:after="0"/>
              <w:rPr>
                <w:sz w:val="20"/>
                <w:szCs w:val="20"/>
                <w:color w:val="auto"/>
              </w:rPr>
            </w:pPr>
            <w:r>
              <w:rPr>
                <w:rFonts w:ascii="Arial" w:cs="Arial" w:eastAsia="Arial" w:hAnsi="Arial"/>
                <w:sz w:val="16"/>
                <w:szCs w:val="16"/>
                <w:color w:val="auto"/>
              </w:rPr>
              <w:t>Class A common stock issuable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2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r>
      <w:tr>
        <w:trPr>
          <w:trHeight w:val="209"/>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Delivery of Class A common stock and</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22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related tax benefit of $10</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FF0FC"/>
          </w:tcPr>
          <w:p>
            <w:pPr>
              <w:spacing w:after="0"/>
              <w:rPr>
                <w:sz w:val="18"/>
                <w:szCs w:val="18"/>
                <w:color w:val="auto"/>
              </w:rPr>
            </w:pPr>
          </w:p>
        </w:tc>
      </w:tr>
      <w:tr>
        <w:trPr>
          <w:trHeight w:val="213"/>
        </w:trPr>
        <w:tc>
          <w:tcPr>
            <w:tcW w:w="4220" w:type="dxa"/>
            <w:vAlign w:val="bottom"/>
            <w:gridSpan w:val="2"/>
          </w:tcPr>
          <w:p>
            <w:pPr>
              <w:spacing w:after="0"/>
              <w:rPr>
                <w:sz w:val="20"/>
                <w:szCs w:val="20"/>
                <w:color w:val="auto"/>
              </w:rPr>
            </w:pPr>
            <w:r>
              <w:rPr>
                <w:rFonts w:ascii="Arial" w:cs="Arial" w:eastAsia="Arial" w:hAnsi="Arial"/>
                <w:sz w:val="16"/>
                <w:szCs w:val="16"/>
                <w:color w:val="auto"/>
              </w:rPr>
              <w:t>Other</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(4,803)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(4,803)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(4,599)</w:t>
            </w:r>
          </w:p>
        </w:tc>
      </w:tr>
      <w:tr>
        <w:trPr>
          <w:trHeight w:val="210"/>
        </w:trPr>
        <w:tc>
          <w:tcPr>
            <w:tcW w:w="4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September 30, 2017 (*)</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942,454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(224,632)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717,822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60,062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777,884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1"/>
        </w:trPr>
        <w:tc>
          <w:tcPr>
            <w:tcW w:w="192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r>
    </w:tbl>
    <w:p>
      <w:pPr>
        <w:ind w:left="3640" w:right="2360" w:hanging="3632"/>
        <w:spacing w:after="0" w:line="572" w:lineRule="auto"/>
        <w:tabs>
          <w:tab w:leader="none" w:pos="321" w:val="left"/>
        </w:tabs>
        <w:numPr>
          <w:ilvl w:val="0"/>
          <w:numId w:val="3"/>
        </w:numPr>
        <w:rPr>
          <w:rFonts w:ascii="Arial" w:cs="Arial" w:eastAsia="Arial" w:hAnsi="Arial"/>
          <w:sz w:val="15"/>
          <w:szCs w:val="15"/>
          <w:color w:val="auto"/>
        </w:rPr>
      </w:pPr>
      <w:r>
        <w:rPr>
          <w:rFonts w:ascii="Arial" w:cs="Arial" w:eastAsia="Arial" w:hAnsi="Arial"/>
          <w:sz w:val="15"/>
          <w:szCs w:val="15"/>
          <w:color w:val="auto"/>
        </w:rPr>
        <w:t>As of January 1, 2017 and September 30, 2017, in addition to profit participation interests, there were two managing member interests</w:t>
      </w:r>
      <w:r>
        <w:rPr>
          <w:rFonts w:ascii="Arial" w:cs="Arial" w:eastAsia="Arial" w:hAnsi="Arial"/>
          <w:sz w:val="17"/>
          <w:szCs w:val="17"/>
          <w:color w:val="auto"/>
        </w:rPr>
        <w:t>.</w:t>
      </w:r>
      <w:r>
        <w:rPr>
          <w:rFonts w:ascii="Arial" w:cs="Arial" w:eastAsia="Arial" w:hAnsi="Arial"/>
          <w:sz w:val="15"/>
          <w:szCs w:val="15"/>
          <w:color w:val="auto"/>
        </w:rPr>
        <w:t xml:space="preserve"> </w:t>
      </w:r>
      <w:r>
        <w:rPr>
          <w:rFonts w:ascii="Arial" w:cs="Arial" w:eastAsia="Arial" w:hAnsi="Arial"/>
          <w:sz w:val="17"/>
          <w:szCs w:val="17"/>
          <w:color w:val="auto"/>
        </w:rPr>
        <w:t>See notes to condensed consolidated financial statements.</w:t>
      </w: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Lazard Group</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1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Members'</w:t>
            </w:r>
          </w:p>
        </w:tc>
        <w:tc>
          <w:tcPr>
            <w:tcW w:w="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Members'</w:t>
            </w:r>
          </w:p>
        </w:tc>
        <w:tc>
          <w:tcPr>
            <w:tcW w:w="10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Noncontrolling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19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Net of Tax</w:t>
            </w:r>
          </w:p>
        </w:tc>
        <w:tc>
          <w:tcPr>
            <w:tcW w:w="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4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2018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1,043,574</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(195,256)</w:t>
            </w: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848,318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58,582</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906,900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9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433,008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433,008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438,045</w:t>
            </w:r>
          </w:p>
        </w:tc>
        <w:tc>
          <w:tcPr>
            <w:tcW w:w="100" w:type="dxa"/>
            <w:vAlign w:val="bottom"/>
            <w:shd w:val="clear" w:color="auto" w:fill="CFF0FC"/>
          </w:tcPr>
          <w:p>
            <w:pPr>
              <w:spacing w:after="0"/>
              <w:rPr>
                <w:sz w:val="19"/>
                <w:szCs w:val="19"/>
                <w:color w:val="auto"/>
              </w:rPr>
            </w:pPr>
          </w:p>
        </w:tc>
      </w:tr>
      <w:tr>
        <w:trPr>
          <w:trHeight w:val="213"/>
        </w:trPr>
        <w:tc>
          <w:tcPr>
            <w:tcW w:w="4960" w:type="dxa"/>
            <w:vAlign w:val="bottom"/>
            <w:gridSpan w:val="2"/>
          </w:tcPr>
          <w:p>
            <w:pPr>
              <w:ind w:left="260"/>
              <w:spacing w:after="0"/>
              <w:rPr>
                <w:sz w:val="20"/>
                <w:szCs w:val="20"/>
                <w:color w:val="auto"/>
              </w:rPr>
            </w:pPr>
            <w:r>
              <w:rPr>
                <w:rFonts w:ascii="Arial" w:cs="Arial" w:eastAsia="Arial" w:hAnsi="Arial"/>
                <w:sz w:val="16"/>
                <w:szCs w:val="16"/>
                <w:color w:val="auto"/>
              </w:rPr>
              <w:t>Other comprehensive loss - net of tax</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(22,321)</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(22,321)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(22,321)</w:t>
            </w:r>
          </w:p>
        </w:tc>
      </w:tr>
      <w:tr>
        <w:trPr>
          <w:trHeight w:val="21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218,186</w:t>
            </w:r>
          </w:p>
        </w:tc>
        <w:tc>
          <w:tcPr>
            <w:tcW w:w="100" w:type="dxa"/>
            <w:vAlign w:val="bottom"/>
            <w:shd w:val="clear" w:color="auto" w:fill="CFF0FC"/>
          </w:tcPr>
          <w:p>
            <w:pPr>
              <w:spacing w:after="0"/>
              <w:rPr>
                <w:sz w:val="19"/>
                <w:szCs w:val="19"/>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 net</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(364,751)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(364,751)</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(9,704)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(374,455)</w:t>
            </w:r>
          </w:p>
        </w:tc>
      </w:tr>
      <w:tr>
        <w:trPr>
          <w:trHeight w:val="21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(306,591)</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(306,591)</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(306,591)</w:t>
            </w:r>
          </w:p>
        </w:tc>
      </w:tr>
      <w:tr>
        <w:trPr>
          <w:trHeight w:val="206"/>
        </w:trPr>
        <w:tc>
          <w:tcPr>
            <w:tcW w:w="4960" w:type="dxa"/>
            <w:vAlign w:val="bottom"/>
            <w:gridSpan w:val="2"/>
          </w:tcPr>
          <w:p>
            <w:pPr>
              <w:spacing w:after="0"/>
              <w:rPr>
                <w:sz w:val="20"/>
                <w:szCs w:val="20"/>
                <w:color w:val="auto"/>
              </w:rPr>
            </w:pPr>
            <w:r>
              <w:rPr>
                <w:rFonts w:ascii="Arial" w:cs="Arial" w:eastAsia="Arial" w:hAnsi="Arial"/>
                <w:sz w:val="16"/>
                <w:szCs w:val="16"/>
                <w:color w:val="auto"/>
              </w:rPr>
              <w:t>Delivery of Class A common stock in</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960" w:type="dxa"/>
            <w:vAlign w:val="bottom"/>
            <w:gridSpan w:val="2"/>
          </w:tcPr>
          <w:p>
            <w:pPr>
              <w:ind w:left="120"/>
              <w:spacing w:after="0"/>
              <w:rPr>
                <w:sz w:val="20"/>
                <w:szCs w:val="20"/>
                <w:color w:val="auto"/>
              </w:rPr>
            </w:pPr>
            <w:r>
              <w:rPr>
                <w:rFonts w:ascii="Arial" w:cs="Arial" w:eastAsia="Arial" w:hAnsi="Arial"/>
                <w:sz w:val="16"/>
                <w:szCs w:val="16"/>
                <w:color w:val="auto"/>
              </w:rPr>
              <w:t>compensation and related tax expense of $173</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(109,657)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(109,657)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(109,657)</w:t>
            </w:r>
          </w:p>
        </w:tc>
      </w:tr>
      <w:tr>
        <w:trPr>
          <w:trHeight w:val="20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9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4960" w:type="dxa"/>
            <w:vAlign w:val="bottom"/>
            <w:gridSpan w:val="2"/>
          </w:tcPr>
          <w:p>
            <w:pPr>
              <w:ind w:left="260"/>
              <w:spacing w:after="0"/>
              <w:rPr>
                <w:sz w:val="20"/>
                <w:szCs w:val="20"/>
                <w:color w:val="auto"/>
              </w:rPr>
            </w:pPr>
            <w:r>
              <w:rPr>
                <w:rFonts w:ascii="Arial" w:cs="Arial" w:eastAsia="Arial" w:hAnsi="Arial"/>
                <w:sz w:val="16"/>
                <w:szCs w:val="16"/>
                <w:color w:val="auto"/>
              </w:rPr>
              <w:t>Class A common stock issuable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96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r>
      <w:tr>
        <w:trPr>
          <w:trHeight w:val="219"/>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(5,345)</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(5,345)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(5,345)</w:t>
            </w:r>
          </w:p>
        </w:tc>
      </w:tr>
      <w:tr>
        <w:trPr>
          <w:trHeight w:val="207"/>
        </w:trPr>
        <w:tc>
          <w:tcPr>
            <w:tcW w:w="4960" w:type="dxa"/>
            <w:vAlign w:val="bottom"/>
            <w:gridSpan w:val="2"/>
          </w:tcPr>
          <w:p>
            <w:pPr>
              <w:spacing w:after="0"/>
              <w:rPr>
                <w:sz w:val="20"/>
                <w:szCs w:val="20"/>
                <w:color w:val="auto"/>
              </w:rPr>
            </w:pPr>
            <w:r>
              <w:rPr>
                <w:rFonts w:ascii="Arial" w:cs="Arial" w:eastAsia="Arial" w:hAnsi="Arial"/>
                <w:sz w:val="16"/>
                <w:szCs w:val="16"/>
                <w:b w:val="1"/>
                <w:bCs w:val="1"/>
                <w:color w:val="auto"/>
              </w:rPr>
              <w:t>Balance - September 30, 2018 (*)</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908,702</w:t>
            </w:r>
          </w:p>
        </w:tc>
        <w:tc>
          <w:tcPr>
            <w:tcW w:w="2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(217,577)</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691,125</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53,915</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745,040</w:t>
            </w:r>
          </w:p>
        </w:tc>
        <w:tc>
          <w:tcPr>
            <w:tcW w:w="10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1"/>
        </w:trPr>
        <w:tc>
          <w:tcPr>
            <w:tcW w:w="1920" w:type="dxa"/>
            <w:vAlign w:val="bottom"/>
            <w:tcBorders>
              <w:bottom w:val="single" w:sz="8" w:color="auto"/>
            </w:tcBorders>
          </w:tcPr>
          <w:p>
            <w:pPr>
              <w:spacing w:after="0"/>
              <w:rPr>
                <w:sz w:val="7"/>
                <w:szCs w:val="7"/>
                <w:color w:val="auto"/>
              </w:rPr>
            </w:pPr>
          </w:p>
        </w:tc>
        <w:tc>
          <w:tcPr>
            <w:tcW w:w="3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rPr>
          <w:sz w:val="20"/>
          <w:szCs w:val="20"/>
          <w:color w:val="auto"/>
        </w:rPr>
      </w:pPr>
      <w:r>
        <w:rPr>
          <w:rFonts w:ascii="Arial" w:cs="Arial" w:eastAsia="Arial" w:hAnsi="Arial"/>
          <w:sz w:val="16"/>
          <w:szCs w:val="16"/>
          <w:color w:val="auto"/>
        </w:rPr>
        <w:t>(*)  As of January 1, 2018 and September 30, 2018,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3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as “Lazard Group” or the “Company”). Lazard Group is a Delaware limited liability company and is governed by an Amended and Restated Operating Agreement dated as of October 26, 2015, as amended (the “Operating Agreement”).</w:t>
      </w:r>
    </w:p>
    <w:p>
      <w:pPr>
        <w:spacing w:after="0" w:line="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Lazard Ltd indirectly held 100% of all outstanding Lazard Group common membership interests as of September 30, 2018 and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Lazard Ltd, through its control of the managing members of Lazard Group, controls Lazard Group.</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jc w:val="both"/>
        <w:ind w:left="900" w:right="6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2017. The accompanying December 31, 2017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nine month periods ended September 30, 2018 are not indicative of the results to be expected for any future interim or annual period.</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6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related to the adoption of new guidance impacting the condensed consolidated statements of cash flows (see Note 2).</w:t>
      </w:r>
    </w:p>
    <w:p>
      <w:pPr>
        <w:spacing w:after="0" w:line="360"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The guidance may be adopted using a full retrospective approach or a modified cumulative effect approach. The Company adopted the revenue recognition guidance upon its effective date of January 1, 2018 using the modified cumulative effect approach. The Company applied the new guidance to contracts that have not yet been completed as of the adoption date. The Company’s adoption efforts included the identification of revenue within the scope of the guidance and the evaluation of revenue contracts.</w:t>
      </w:r>
    </w:p>
    <w:p>
      <w:pPr>
        <w:spacing w:after="0" w:line="18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 evaluated the potential impact of the new guidance, including (i) the timing of revenue recognition for Financial Advisory and Asset Management fees and (ii) the presentation of certain contract costs. With respect to revenue recognition, the Company assessed the impact of the new guidance on the recognition of fees for Financial Advisory (e.g., transaction completion, transaction announcement and retainers), and Asset Management (e.g., management and incentive fees), including the potential requirement under the new guidance to recognize certain transaction completion fees in periods prior to the periods in which the applicable transactions close. The Company’s assessment included an analysis of whether the Company’s fulfillment of its performance obligations would be deemed to occur over time, or at specific points in time, under the new guidance. Specifically, recognition would be deemed to occur over time if the client receives and consumes benefits from the services as the Company performs the services. The Company concluded that Financial Advisory and Asset Management fees would typically be recognized over time as performance occurs, subject to constraints, using an appropriate measure of progress based on resources consumed, which is consistent with when the client receives benefits. There was no material impact to the Company’s recognition of revenue upon adoption of the new guidance.</w:t>
      </w:r>
    </w:p>
    <w:p>
      <w:pPr>
        <w:spacing w:after="0" w:line="178"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 new guidance requires the Company to prospectively present certain contract costs on a gross basis. The most significant changes with respect to presentation relate to (a) certain distribution costs within our Asset Management business and (b) certain reimbursable deal costs within our Financial Advisory business, both of which were previously presented net against revenues and are now presented as expenses on a gross basis under the new guidance because the Company is primarily responsible for fulfilling the promise of the arrangement. For the three month and nine month periods ended September 30, 2018, the presentation of such costs on a gross basis resulted in an increase to net revenue of $24,392 and $72,001, respectively, primarily comprised of increases to asset management fees and investment banking and other advisory fees. In addition, there was a corresponding increase to operating expenses of $24,392 and $72,001, respectively, primarily comprised of an increase to distribution costs presented within fund administration and outsourced services and an increase to reimbursable deal costs presented within marketing and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development. These amounts would have been presented on a net basis prior to the adoption of the new guidance, and there was no material impact to net income as a result of the gross basis of presentation under the new guidance.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3 for further information on contracts within the scope of the new guidance.</w:t>
      </w:r>
    </w:p>
    <w:p>
      <w:pPr>
        <w:spacing w:after="0" w:line="225"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In August and November 2016, the FASB issued updated guidance which clarifies how</w:t>
      </w:r>
      <w:r>
        <w:rPr>
          <w:rFonts w:ascii="Arial" w:cs="Arial" w:eastAsia="Arial" w:hAnsi="Arial"/>
          <w:sz w:val="17"/>
          <w:szCs w:val="17"/>
          <w:i w:val="1"/>
          <w:iCs w:val="1"/>
          <w:color w:val="auto"/>
        </w:rPr>
        <w:t xml:space="preserve"> </w:t>
      </w:r>
      <w:r>
        <w:rPr>
          <w:rFonts w:ascii="Arial" w:cs="Arial" w:eastAsia="Arial" w:hAnsi="Arial"/>
          <w:sz w:val="17"/>
          <w:szCs w:val="17"/>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is to be applied on a retrospective basis. The Company adopted this new guidance on January 1, 2018. The adoption of the new guidance in the first quarter of 2018 resulted in the reclassification of “cash deposited with clearing organizations and other segregated cash” and “deposits with banks and short-term investments” from operating activities to components of “cash and cash equivalents and restricted cash” on the condensed consolidated statement of cash flows. In addition, the Company reclassified cash flows related to customer deposits from operating activities to financing activities. This resulted in changes in deposits with banks and short-term investments and customer deposits no longer being reflected in cash flows from operating activities. Except for the reclassification of these items on the condensed consolidated statement of cash flows, the new guidance had no impact on the Company’s financial statements.</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In January 2017, the FASB issued updated guidance to clarify the definition of a business within the context</w:t>
      </w:r>
      <w:r>
        <w:rPr>
          <w:rFonts w:ascii="Arial" w:cs="Arial" w:eastAsia="Arial" w:hAnsi="Arial"/>
          <w:sz w:val="17"/>
          <w:szCs w:val="17"/>
          <w:i w:val="1"/>
          <w:iCs w:val="1"/>
          <w:color w:val="auto"/>
        </w:rPr>
        <w:t xml:space="preserve"> </w:t>
      </w:r>
      <w:r>
        <w:rPr>
          <w:rFonts w:ascii="Arial" w:cs="Arial" w:eastAsia="Arial" w:hAnsi="Arial"/>
          <w:sz w:val="17"/>
          <w:szCs w:val="17"/>
          <w:color w:val="auto"/>
        </w:rPr>
        <w:t>of business combinations. The updated guidance requires that when substantially all of the fair value of the gross assets acquired (or disposed of) is concentrated in a single identifiable asset or a group of similar identifiable assets, such asset or group of assets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adopted the new guidance on January 1, 2018 and it will be applied to business combinations on a prospective basis.</w:t>
      </w:r>
    </w:p>
    <w:p>
      <w:pPr>
        <w:spacing w:after="0" w:line="179" w:lineRule="exact"/>
        <w:rPr>
          <w:sz w:val="20"/>
          <w:szCs w:val="20"/>
          <w:color w:val="auto"/>
        </w:rPr>
      </w:pPr>
    </w:p>
    <w:p>
      <w:pPr>
        <w:ind w:right="320" w:firstLine="518"/>
        <w:spacing w:after="0" w:line="271" w:lineRule="auto"/>
        <w:rPr>
          <w:sz w:val="20"/>
          <w:szCs w:val="20"/>
          <w:color w:val="auto"/>
        </w:rPr>
      </w:pP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Retirement Benefits</w:t>
      </w:r>
      <w:r>
        <w:rPr>
          <w:rFonts w:ascii="Arial" w:cs="Arial" w:eastAsia="Arial" w:hAnsi="Arial"/>
          <w:sz w:val="17"/>
          <w:szCs w:val="17"/>
          <w:color w:val="auto"/>
        </w:rPr>
        <w:t>—</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applied on a retrospective basis. The other components of net benefit cost, including amortization of prior service cost, and gains and losses from settlements and curtailments, are included in other operating expenses. The new guidance also stipulates that only the service cost component of net benefit cost is eligible for capitalization, applied on a prospective basis. This new guidance is effective for annual and interim periods beginning after December 15, 2017. The Company adopted the new guidance on January 1, 2018 and there was no material impact to the Company’s financial statements.</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Compensation—Stock Compensation: Scope of Modification Accounting—</w:t>
      </w:r>
      <w:r>
        <w:rPr>
          <w:rFonts w:ascii="Arial" w:cs="Arial" w:eastAsia="Arial" w:hAnsi="Arial"/>
          <w:sz w:val="18"/>
          <w:szCs w:val="18"/>
          <w:color w:val="auto"/>
        </w:rPr>
        <w:t>In May 2017, the FASB issued updated guidance on modifications to 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This new guidance is effective for annual and interim periods beginning after December 15, 2017 and is to be applied on a prospective basis. The Company adopted the new guidance on January 1, 2018, and there was no material impact to the Company’s financial statements.</w:t>
      </w:r>
    </w:p>
    <w:p>
      <w:pPr>
        <w:spacing w:after="0" w:line="193" w:lineRule="exact"/>
        <w:rPr>
          <w:sz w:val="20"/>
          <w:szCs w:val="20"/>
          <w:color w:val="auto"/>
        </w:rPr>
      </w:pPr>
    </w:p>
    <w:p>
      <w:pPr>
        <w:ind w:right="20" w:firstLine="552"/>
        <w:spacing w:after="0" w:line="271" w:lineRule="auto"/>
        <w:rPr>
          <w:sz w:val="20"/>
          <w:szCs w:val="20"/>
          <w:color w:val="auto"/>
        </w:rPr>
      </w:pP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In February 2018, the FASB issued updated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(see Note 15). The amount of the reclassification would be the difference between the historical corporate income tax rate and the newly enacted 21% corporate income tax rate. The new guidance is effective for annual and interim periods beginning after December 15, 2018, with an option to apply it in the period of adoption or on a retrospective basis for each period in which the effect of the change in the U.S. federal corporate income tax rate is recognized. Early adoption of the new guidance is permitted for public business entities for reporting periods for which financial statements have not yet been issued. The Company is currently evaluating the new guidance.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—In February 2016, the FASB issued updated guidance for leases. The guidance requires a lessee to (i) recognize a right-of-use asset and a</w:t>
      </w:r>
      <w:r>
        <w:rPr>
          <w:rFonts w:ascii="Arial" w:cs="Arial" w:eastAsia="Arial" w:hAnsi="Arial"/>
          <w:sz w:val="17"/>
          <w:szCs w:val="17"/>
          <w:i w:val="1"/>
          <w:iCs w:val="1"/>
          <w:color w:val="auto"/>
        </w:rPr>
        <w:t xml:space="preserve"> </w:t>
      </w:r>
      <w:r>
        <w:rPr>
          <w:rFonts w:ascii="Arial" w:cs="Arial" w:eastAsia="Arial" w:hAnsi="Arial"/>
          <w:sz w:val="17"/>
          <w:szCs w:val="17"/>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Currently, the Company plans to adopt the new guidance as of the effective date, January 1, 2019, and is considering the practical expedients available. The new guidance is to be applied on a modified retrospective basis.</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continues to evaluate the new guidance, and is in the process of evaluating its leasing activities and contracts, as well as processes and internal controls over financial reporting relating to its leasing activities. See Note 11 for further information on the Company's commitments under lease agreements. The population of contracts potentially subject to recognition in the statement of financial condition and their initial measurement remains under evaluation.</w:t>
      </w:r>
    </w:p>
    <w:p>
      <w:pPr>
        <w:spacing w:after="0" w:line="187"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In June 2018, the FASB issued updated guidance to simplify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new guidance is effective for annual and interim periods beginning after December 15, 2018, with early adoption permitted. Upon adoption, the new guidance would be applied on a modified retrospective basis. The Company is currently evaluating the new guidance.</w:t>
      </w:r>
    </w:p>
    <w:p>
      <w:pPr>
        <w:spacing w:after="0" w:line="165"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Intangibles—Internal-Use Software: Customer’s Accounting for Implementation Costs Incurred in a Cloud Computing Arrangement that is a Service Contract</w:t>
      </w:r>
      <w:r>
        <w:rPr>
          <w:rFonts w:ascii="Arial" w:cs="Arial" w:eastAsia="Arial" w:hAnsi="Arial"/>
          <w:sz w:val="18"/>
          <w:szCs w:val="18"/>
          <w:color w:val="auto"/>
        </w:rPr>
        <w:t>—In August 2018, the FASB issued updated guidance on the accounting for implementation costs incurred in a cloud computing arrangement.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with early adoption permitted. Upon adoption, the Company may elect to apply the new guidance on either a prospective or retrospective basis. The Company is currently evaluating the new guidance.</w:t>
      </w:r>
    </w:p>
    <w:p>
      <w:pPr>
        <w:spacing w:after="0" w:line="193"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i w:val="1"/>
          <w:iCs w:val="1"/>
          <w:color w:val="auto"/>
        </w:rPr>
        <w:t>Fair Value Measurement: Changes to the Disclosure Requirements for Fair Value Measurement</w:t>
      </w:r>
      <w:r>
        <w:rPr>
          <w:rFonts w:ascii="Arial" w:cs="Arial" w:eastAsia="Arial" w:hAnsi="Arial"/>
          <w:sz w:val="17"/>
          <w:szCs w:val="17"/>
          <w:color w:val="auto"/>
        </w:rPr>
        <w:t>—In August 2018, the FASB issued updated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with early adoption permitted. The Company is currently evaluating the new guidance.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i w:val="1"/>
          <w:iCs w:val="1"/>
          <w:color w:val="auto"/>
        </w:rPr>
        <w:t>Compensation–Retirement Benefits: Changes to the Disclosure Requirements for Defined Benefit Plans</w:t>
      </w:r>
      <w:r>
        <w:rPr>
          <w:rFonts w:ascii="Arial" w:cs="Arial" w:eastAsia="Arial" w:hAnsi="Arial"/>
          <w:sz w:val="17"/>
          <w:szCs w:val="17"/>
          <w:color w:val="auto"/>
        </w:rPr>
        <w:t>—In August 2018, the FASB issued updated</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annual and interim reporting periods beginning after December 15, 2020, with early adoption permitted. The Company is currently evaluating the new guidance.</w:t>
      </w:r>
    </w:p>
    <w:p>
      <w:pPr>
        <w:spacing w:after="0" w:line="158"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b w:val="1"/>
          <w:bCs w:val="1"/>
          <w:i w:val="1"/>
          <w:iCs w:val="1"/>
          <w:color w:val="auto"/>
        </w:rPr>
        <w:t>Investment Banking and Other Advisory Fees</w:t>
      </w:r>
      <w:r>
        <w:rPr>
          <w:rFonts w:ascii="Arial" w:cs="Arial" w:eastAsia="Arial" w:hAnsi="Arial"/>
          <w:sz w:val="17"/>
          <w:szCs w:val="17"/>
          <w:color w:val="auto"/>
        </w:rPr>
        <w:t>—Fees for Financial Advisory services are recorded when: (i) a contract with a client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7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Receivables relating to asset management and incentive fees are reported in “fees receivable” on the consolidated statements of financial condition.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760" w:firstLine="51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September 30, 2018 (d)</w:t>
            </w:r>
          </w:p>
        </w:tc>
        <w:tc>
          <w:tcPr>
            <w:tcW w:w="280" w:type="dxa"/>
            <w:vAlign w:val="bottom"/>
          </w:tcPr>
          <w:p>
            <w:pPr>
              <w:spacing w:after="0"/>
              <w:rPr>
                <w:sz w:val="14"/>
                <w:szCs w:val="14"/>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 2018 (d)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27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Financial Advisory (a)</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309,846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1,137,781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FF0FC"/>
            </w:tcBorders>
            <w:shd w:val="clear" w:color="auto" w:fill="CFF0FC"/>
          </w:tcPr>
          <w:p>
            <w:pPr>
              <w:spacing w:after="0"/>
              <w:rPr>
                <w:sz w:val="18"/>
                <w:szCs w:val="18"/>
                <w:color w:val="auto"/>
              </w:rPr>
            </w:pPr>
          </w:p>
        </w:tc>
        <w:tc>
          <w:tcPr>
            <w:tcW w:w="27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Management Fees and Other (b)</w:t>
            </w:r>
          </w:p>
        </w:tc>
        <w:tc>
          <w:tcPr>
            <w:tcW w:w="2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323,283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Incentive Fees (c)</w:t>
            </w:r>
          </w:p>
        </w:tc>
        <w:tc>
          <w:tcPr>
            <w:tcW w:w="27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27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325,240</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1,032,111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right="200" w:hanging="372"/>
        <w:spacing w:after="0" w:line="26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35" w:lineRule="exact"/>
        <w:rPr>
          <w:rFonts w:ascii="Arial" w:cs="Arial" w:eastAsia="Arial" w:hAnsi="Arial"/>
          <w:sz w:val="17"/>
          <w:szCs w:val="17"/>
          <w:color w:val="auto"/>
        </w:rPr>
      </w:pPr>
    </w:p>
    <w:p>
      <w:pPr>
        <w:ind w:left="380" w:right="80" w:hanging="372"/>
        <w:spacing w:after="0" w:line="25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9" w:lineRule="exact"/>
        <w:rPr>
          <w:rFonts w:ascii="Arial" w:cs="Arial" w:eastAsia="Arial" w:hAnsi="Arial"/>
          <w:sz w:val="18"/>
          <w:szCs w:val="18"/>
          <w:color w:val="auto"/>
        </w:rPr>
      </w:pPr>
    </w:p>
    <w:p>
      <w:pPr>
        <w:ind w:left="380" w:right="100" w:hanging="372"/>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38" w:lineRule="exact"/>
        <w:rPr>
          <w:rFonts w:ascii="Arial" w:cs="Arial" w:eastAsia="Arial" w:hAnsi="Arial"/>
          <w:sz w:val="18"/>
          <w:szCs w:val="18"/>
          <w:color w:val="auto"/>
        </w:rPr>
      </w:pPr>
    </w:p>
    <w:p>
      <w:pPr>
        <w:ind w:left="380" w:right="440" w:hanging="372"/>
        <w:spacing w:after="0" w:line="26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73"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Activity in the allowance for doubtful accounts for the three month and nine month periods ended September 30, 2018 and 2017 was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34,906</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25,094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4,753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18,106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18,584</w:t>
            </w:r>
          </w:p>
        </w:tc>
        <w:tc>
          <w:tcPr>
            <w:tcW w:w="120" w:type="dxa"/>
            <w:vAlign w:val="bottom"/>
          </w:tcPr>
          <w:p>
            <w:pPr>
              <w:spacing w:after="0"/>
              <w:rPr>
                <w:sz w:val="19"/>
                <w:szCs w:val="19"/>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(1,922)</w:t>
            </w:r>
          </w:p>
        </w:tc>
        <w:tc>
          <w:tcPr>
            <w:tcW w:w="8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(2,383)</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(7,326)</w:t>
            </w: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(7,506)</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34,472</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27,464</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34,472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27,464</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Bad debt expense, net of recoveries is included in “operating expenses</w:t>
      </w:r>
      <w:r>
        <w:rPr>
          <w:rFonts w:ascii="Arial" w:cs="Arial" w:eastAsia="Arial" w:hAnsi="Arial"/>
          <w:sz w:val="17"/>
          <w:szCs w:val="17"/>
          <w:i w:val="1"/>
          <w:iCs w:val="1"/>
          <w:color w:val="auto"/>
        </w:rPr>
        <w:t>—</w:t>
      </w:r>
      <w:r>
        <w:rPr>
          <w:rFonts w:ascii="Arial" w:cs="Arial" w:eastAsia="Arial" w:hAnsi="Arial"/>
          <w:sz w:val="17"/>
          <w:szCs w:val="17"/>
          <w:color w:val="auto"/>
        </w:rPr>
        <w:t>other” on the condensed consolidated statements of operations.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September 30, 2018 and December 31, 2017, the Company had receivables past due or deemed uncollectible of $38,047 and $34,865, respectively.</w:t>
      </w:r>
    </w:p>
    <w:p>
      <w:pPr>
        <w:spacing w:after="0" w:line="24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Of the Company’s fee receivables at September 30, 2018 and December 31, 2017, $77,540 and $80,536, respectively, represented interest-bearing financing receivables. In addition, at December 31, 2017, the Company had interest-bearing receivables from Lazard Ltd subsidiaries of $72. Based upon our historical loss experience, the credit quality of the counterparties, and the lack of past due or uncollectible amounts, there was no allowance for doubtful accounts required at those dates related to such receivables.</w:t>
      </w:r>
    </w:p>
    <w:p>
      <w:pPr>
        <w:spacing w:after="0" w:line="18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$586,108 and $508,143 at September 30, 2018 and December 31, 2017, respectively, approximates fair value.</w:t>
      </w:r>
    </w:p>
    <w:p>
      <w:pPr>
        <w:spacing w:after="0" w:line="360"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Company’s investments and securities sold, not yet purchased, consist of the following at September 30, 2018 and December 31, 2017:</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202,592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Funds: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89,476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609,595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609,076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940" w:hanging="372"/>
        <w:spacing w:after="0" w:line="308"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Interests in alternative investment funds, debt funds and equity funds include investments with fair values of $9,979, $59,282 and $149,813, respectively, at September 30, 2018 and $11,213, $48,391 and $131,893, respectively, at December 31, 2017, held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left="380" w:right="160"/>
        <w:spacing w:after="0" w:line="264" w:lineRule="auto"/>
        <w:rPr>
          <w:sz w:val="20"/>
          <w:szCs w:val="20"/>
          <w:color w:val="auto"/>
        </w:rPr>
      </w:pPr>
      <w:r>
        <w:rPr>
          <w:rFonts w:ascii="Arial" w:cs="Arial" w:eastAsia="Arial" w:hAnsi="Arial"/>
          <w:sz w:val="18"/>
          <w:szCs w:val="18"/>
          <w:color w:val="auto"/>
        </w:rPr>
        <w:t>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13).</w:t>
      </w:r>
    </w:p>
    <w:p>
      <w:pPr>
        <w:spacing w:after="0" w:line="181"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t>
      </w:r>
    </w:p>
    <w:p>
      <w:pPr>
        <w:spacing w:after="0" w:line="15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During the three month and nine month periods ended September 30, 2018 and 2017, the Company reported in “revenue-other” on its condensed consolidated statements of operations net unrealized investment gains and losses pertaining to “trading” securities still held as of the reporting date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center"/>
              <w:ind w:left="327"/>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1,972</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6,949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420" w:hanging="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right="200" w:hanging="5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left="580" w:hanging="580"/>
        <w:spacing w:after="0" w:line="30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5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11.</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The following tables present, as of September 30, 2018 and December 31, 2017, the classification of (i) investments and certain other assets and liabilities measured at fair value on a recurring basis within the fair value hierarchy and (ii) investments measured at NAV or its equivalent as a practical expedient: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202,592</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202,302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202,354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546,799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60,649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616,566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6,876</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206,729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344,660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430,362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nine month periods ended September 30, 2018 and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1"/>
          </w:tcPr>
          <w:p>
            <w:pPr>
              <w:jc w:val="center"/>
              <w:ind w:left="659"/>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1,629</w:t>
            </w:r>
          </w:p>
        </w:tc>
        <w:tc>
          <w:tcPr>
            <w:tcW w:w="180" w:type="dxa"/>
            <w:vAlign w:val="bottom"/>
          </w:tcPr>
          <w:p>
            <w:pPr>
              <w:spacing w:after="0"/>
              <w:rPr>
                <w:sz w:val="22"/>
                <w:szCs w:val="22"/>
                <w:color w:val="auto"/>
              </w:rPr>
            </w:pPr>
          </w:p>
        </w:tc>
        <w:tc>
          <w:tcPr>
            <w:tcW w:w="40" w:type="dxa"/>
            <w:vAlign w:val="bottom"/>
            <w:vMerge w:val="continue"/>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22"/>
                <w:szCs w:val="22"/>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(1,763)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center"/>
              <w:ind w:left="759"/>
              <w:spacing w:after="0"/>
              <w:rPr>
                <w:sz w:val="20"/>
                <w:szCs w:val="20"/>
                <w:color w:val="auto"/>
              </w:rPr>
            </w:pPr>
            <w:r>
              <w:rPr>
                <w:rFonts w:ascii="Arial" w:cs="Arial" w:eastAsia="Arial" w:hAnsi="Arial"/>
                <w:sz w:val="14"/>
                <w:szCs w:val="14"/>
                <w:b w:val="1"/>
                <w:bCs w:val="1"/>
                <w:color w:val="auto"/>
                <w:w w:val="93"/>
              </w:rPr>
              <w:t>Nine Months Ended September 30, 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(2,949)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1"/>
          </w:tcPr>
          <w:p>
            <w:pPr>
              <w:jc w:val="center"/>
              <w:ind w:left="659"/>
              <w:spacing w:after="0"/>
              <w:rPr>
                <w:sz w:val="20"/>
                <w:szCs w:val="20"/>
                <w:color w:val="auto"/>
              </w:rPr>
            </w:pPr>
            <w:r>
              <w:rPr>
                <w:rFonts w:ascii="Arial" w:cs="Arial" w:eastAsia="Arial" w:hAnsi="Arial"/>
                <w:sz w:val="14"/>
                <w:szCs w:val="14"/>
                <w:b w:val="1"/>
                <w:bCs w:val="1"/>
                <w:color w:val="auto"/>
                <w:w w:val="93"/>
              </w:rPr>
              <w:t>Three Months Ended September 30, 2017</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(1,661)</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(1,669)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140" w:hanging="372"/>
        <w:spacing w:after="0" w:line="25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and nine month periods ended September 30, 2018 and the three month and nine month periods ended September 30, 2017 include net unrealized gains of $0, $61, $130 and $2, respectively. Earnings recorded in “amortization and other acquisition-related (benefits) costs” for the contingent consideration liability for the three month and nine month periods ended September 30, 2018 and the three month and nine month periods ended September 30, 2017 include unrealized (gains) losses of $(1,763), $(2,949), $(98) and $646, respectively.</w:t>
      </w:r>
    </w:p>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2018 and 2017.</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tables present, at September 30, 2018 and December 31, 2017,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September 30, 2018</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59,675</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8,632</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15%</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36%</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49%</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60,649</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8,632</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(18%), monthly (47%), quarterly (31%) and annually (4%)</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$15,257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20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Investments Not Redeemable</w:t>
            </w:r>
          </w:p>
        </w:tc>
        <w:tc>
          <w:tcPr>
            <w:tcW w:w="2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4"/>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Redemption</w:t>
            </w:r>
          </w:p>
        </w:tc>
        <w:tc>
          <w:tcPr>
            <w:tcW w:w="10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60" w:type="dxa"/>
            <w:vAlign w:val="bottom"/>
          </w:tcPr>
          <w:p>
            <w:pPr>
              <w:jc w:val="right"/>
              <w:ind w:right="4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w w:val="98"/>
              </w:rPr>
              <w:t>Alternative investment funds: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2,517</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6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6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04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6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76,679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16%</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38%</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80,378</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weekly (3%), monthly (5%) and quarterly (92%)</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monthly (97%) and quarterly (3%)</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(18%), monthly (50%) and quarterly (32%)</w:t>
      </w:r>
    </w:p>
    <w:p>
      <w:pPr>
        <w:spacing w:after="0" w:line="9" w:lineRule="exact"/>
        <w:rPr>
          <w:rFonts w:ascii="Arial" w:cs="Arial" w:eastAsia="Arial" w:hAnsi="Arial"/>
          <w:sz w:val="18"/>
          <w:szCs w:val="18"/>
          <w:color w:val="auto"/>
        </w:rPr>
      </w:pPr>
    </w:p>
    <w:p>
      <w:pPr>
        <w:ind w:left="380" w:right="100" w:hanging="372"/>
        <w:spacing w:after="0" w:line="26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$5,902 are excluded. Such commitments are required to be funded by capital contributions from noncontrolling interest holders.</w:t>
      </w:r>
    </w:p>
    <w:p>
      <w:pPr>
        <w:spacing w:after="0" w:line="184"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September 30, 2018,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$7,847.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September 30, 2018 and December 31,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4,709</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2,434</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203,978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206,729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80" w:hanging="372"/>
        <w:spacing w:after="0" w:line="259"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$3,401 and $937 as of September 30, 2018, respectively, and $469 and $11,321 as of December 31, 2017, respectively, for contracts with the same counterparty under legally enforceable master netting agreements. Such amounts are recorded “net” in “other assets”, with receivables for net cash collateral under such contracts of $2,316 and $17,616 as of September 30, 2018 and December 31, 2017, respectively.</w:t>
      </w:r>
    </w:p>
    <w:p>
      <w:pPr>
        <w:spacing w:after="0" w:line="200"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2018 and 2017,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(3,647)</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(4,875)</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(17,981)</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(1,847)</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(3,890)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(12,872)</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(39,002)</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2018 and December 31, 2017, property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40" w:type="dxa"/>
            <w:vAlign w:val="bottom"/>
            <w:tcBorders>
              <w:bottom w:val="single" w:sz="8" w:color="CFF0FC"/>
            </w:tcBorders>
          </w:tcPr>
          <w:p>
            <w:pPr>
              <w:spacing w:after="0"/>
              <w:rPr>
                <w:sz w:val="14"/>
                <w:szCs w:val="14"/>
                <w:color w:val="auto"/>
              </w:rPr>
            </w:pPr>
          </w:p>
        </w:tc>
        <w:tc>
          <w:tcPr>
            <w:tcW w:w="13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146,630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151,912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187,920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173,102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198,639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183,510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521,644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331,702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317,816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3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212,886</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203,828</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vMerge w:val="restart"/>
          </w:tcPr>
          <w:p>
            <w:pPr>
              <w:jc w:val="right"/>
              <w:ind w:right="670"/>
              <w:spacing w:after="0"/>
              <w:rPr>
                <w:sz w:val="20"/>
                <w:szCs w:val="20"/>
                <w:color w:val="auto"/>
              </w:rPr>
            </w:pPr>
            <w:r>
              <w:rPr>
                <w:rFonts w:ascii="Arial" w:cs="Arial" w:eastAsia="Arial" w:hAnsi="Arial"/>
                <w:sz w:val="18"/>
                <w:szCs w:val="18"/>
                <w:color w:val="auto"/>
              </w:rPr>
              <w:t>22</w:t>
            </w: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4" w:name="page25"/>
    <w:bookmarkEnd w:id="2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2018 and December 31, 2017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357,381</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368,034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At September 30, 2018 and December 31, 2017, goodwill of $288,740 and $298,219, respectively, was attributable to the Company’s Financial Advisory segment and, at each such respective date, $64,541 of goodwill was attributable to the Company’s Asset Management segment.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nine month periods ended September 30, 2018 and 2017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ind w:left="4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(9,479)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10,649</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All changes in the carrying amount of goodwill for the nine month periods ended September 30, 2018 and 2017 are attributable to the Company’s Financial Advisory segment.</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September 30, 2018 and December 31, 2017,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29,626</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27,927</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33,500</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33,275</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67,226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63,126</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61,202</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Amortization expense of intangible assets, included in “amortization and other acquisition-related (benefits) costs” in the condensed consolidated statements of operations, for the three month and nine month periods ended September 30, 2018 was $654 and $1,924, respectively, and for the three month and nine month periods ended September 30, 2017 was $433 and $1,300, respectively. Estimated future amortization expense is as follows: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54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2018 (October 1 through December 31)</w:t>
            </w:r>
          </w:p>
        </w:tc>
        <w:tc>
          <w:tcPr>
            <w:tcW w:w="2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540" w:type="dxa"/>
            <w:vAlign w:val="bottom"/>
          </w:tcPr>
          <w:p>
            <w:pPr>
              <w:spacing w:after="0"/>
              <w:rPr>
                <w:sz w:val="7"/>
                <w:szCs w:val="7"/>
                <w:color w:val="auto"/>
              </w:rPr>
            </w:pPr>
          </w:p>
        </w:tc>
        <w:tc>
          <w:tcPr>
            <w:tcW w:w="2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620" w:right="3040" w:hanging="4464"/>
        <w:spacing w:after="0" w:line="543" w:lineRule="auto"/>
        <w:tabs>
          <w:tab w:leader="none" w:pos="15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39% of intangible asset amortization is attributable to a noncontrolling interest.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September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2018</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1100" w:type="dxa"/>
            <w:vAlign w:val="bottom"/>
            <w:gridSpan w:val="5"/>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76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Lazard Group 2020</w:t>
            </w:r>
          </w:p>
        </w:tc>
        <w:tc>
          <w:tcPr>
            <w:tcW w:w="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249,022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396,994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296,686</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Lazard Group 2028</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Senior Notes (b)</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9/19/28</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491,000</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1,450,000</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1,433,702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9,617</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1,190,383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00" w:hanging="372"/>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Lazard Group’s 3.75% senior notes due February 13, 2025 (the “2025 Notes”), Lazard Group’s 3.625% senior notes due March 1, 2027 (the “2027 Notes”) and Lazard Group’s 4.50% senior notes due September 19, 2028 (the “2028 Notes”) are 4.44%, 3.87%, 3.76% and 4.68%, respectively.</w:t>
      </w:r>
    </w:p>
    <w:p>
      <w:pPr>
        <w:spacing w:after="0" w:line="5" w:lineRule="exact"/>
        <w:rPr>
          <w:rFonts w:ascii="Arial" w:cs="Arial" w:eastAsia="Arial" w:hAnsi="Arial"/>
          <w:sz w:val="18"/>
          <w:szCs w:val="18"/>
          <w:color w:val="auto"/>
        </w:rPr>
      </w:pPr>
    </w:p>
    <w:p>
      <w:pPr>
        <w:ind w:left="380" w:right="160" w:hanging="372"/>
        <w:spacing w:after="0" w:line="297" w:lineRule="auto"/>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September 2018, Lazard Group completed an offering of $500,000 aggregate principal amount of the 2028 Notes. Interest on the 2028 Notes is payable semi-annually on March 19 and September 19 of each year, beginning March 19, 2019. Lazard Group used a portion of the net proceeds of the 2028 Notes to redeem or otherwise retire $250,000 aggregate principal amount of the 2020 Notes, which, including the recognition of unamortized issuance costs, resulted in a loss on debt extinguishment of $6,523. Such loss on debt extinguishment was recorded in “operating expenses—other” on the condensed consolidated statement of operations for the three month and nine month periods ended September 30, 2018.</w:t>
      </w:r>
    </w:p>
    <w:p>
      <w:pPr>
        <w:spacing w:after="0" w:line="17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September 30, 2018 and December 31, 2017, no amounts were outstanding under the Amended and Restated Credit Agreement.</w:t>
      </w:r>
    </w:p>
    <w:p>
      <w:pPr>
        <w:spacing w:after="0" w:line="19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September 30, 2018, the Company was in compliance with such provisions. All of the Company’s senior debt obligations are unsecured.</w:t>
      </w:r>
    </w:p>
    <w:p>
      <w:pPr>
        <w:spacing w:after="0" w:line="14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As of September 30, 2018, the Company had approximately $169,000 in unused lines of credit available to it, including the credit facility provided under the Amended and Restated Credit Agreement and unused lines of credit available to LFB of approximately $17,000 (at September 30, 2018 exchange rates).</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Company’s senior debt at September 30, 2018 and December 31, 2017 is carried at historical amounts of $1,433,702 and $1,190,383, respectively. At those dates, the fair value of such senior debt was approximately $1,407,000 and $1,230,000, respectively. The fair value of the Company’s senior debt is based on market quotations. The Company’s senior debt would be categorized within Level 2 of the hierarchy of fair value measurements if carried at fair value.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color w:val="auto"/>
        </w:rPr>
        <w:t>—The Company has various leases and other contractual commitments arising in the ordinary course of business. At September 30,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minimum rental commitments under non-cancelable operating leases, net of sublease income, are approximately as follows: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2018 (October 1 through December 31)</w:t>
            </w:r>
          </w:p>
        </w:tc>
        <w:tc>
          <w:tcPr>
            <w:tcW w:w="284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85,505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82,971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5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3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545,624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rental commitments</w:t>
            </w:r>
          </w:p>
        </w:tc>
        <w:tc>
          <w:tcPr>
            <w:tcW w:w="2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Sublease proceeds</w:t>
            </w:r>
          </w:p>
        </w:tc>
        <w:tc>
          <w:tcPr>
            <w:tcW w:w="23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rental commitments</w:t>
            </w:r>
          </w:p>
        </w:tc>
        <w:tc>
          <w:tcPr>
            <w:tcW w:w="23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863,794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 August 2018, the Company entered into a lease agreement for additional office facilities. Operating lease commitments in the table above include the impact of the new lease agreement.</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2018, LFB had $4,961 of such indemnifications and held $4,961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a business acquired in 2016, the remaining consideration consists of (i) 60,817 shares of Class A common stock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non-compete provisions, and (ii) up to 210,431 additional shares of Class A common stock that are subject to certain performance thresholds. As of September 30, 2018, none of the contingent shares had been earned.</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September 30, 2018, LFB and LFNY had no such underwriting commitments.</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See Notes 6 and 14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4"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b w:val="1"/>
          <w:bCs w:val="1"/>
          <w:i w:val="1"/>
          <w:iCs w:val="1"/>
          <w:color w:val="auto"/>
        </w:rPr>
        <w:t>Lazard Group Distributions</w:t>
      </w:r>
      <w:r>
        <w:rPr>
          <w:rFonts w:ascii="Arial" w:cs="Arial" w:eastAsia="Arial" w:hAnsi="Arial"/>
          <w:sz w:val="17"/>
          <w:szCs w:val="17"/>
          <w:color w:val="auto"/>
        </w:rPr>
        <w:t>—Distributions in respect of Lazard Group’s common membership interests are allocated to the holders of such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During the nine month periods ended September 30, 2018 and 2017, Lazard Group distributed $364,751 and $294,966, respectively, to the subsidiaries of Lazard Ltd.</w:t>
      </w:r>
    </w:p>
    <w:p>
      <w:pPr>
        <w:spacing w:after="0" w:line="62"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6"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nine month period ended September 30, 2018 and since 2015, the Board of Directors of Lazard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0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5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2016</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November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w w:val="90"/>
              </w:rPr>
              <w:t>Nine Months Ended September 30:</w:t>
            </w:r>
          </w:p>
        </w:tc>
        <w:tc>
          <w:tcPr>
            <w:tcW w:w="38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20" w:type="dxa"/>
            <w:vAlign w:val="bottom"/>
            <w:tcBorders>
              <w:bottom w:val="single" w:sz="8" w:color="auto"/>
            </w:tcBorders>
            <w:vMerge w:val="continue"/>
          </w:tcPr>
          <w:p>
            <w:pPr>
              <w:spacing w:after="0"/>
              <w:rPr>
                <w:sz w:val="11"/>
                <w:szCs w:val="11"/>
                <w:color w:val="auto"/>
              </w:rPr>
            </w:pPr>
          </w:p>
        </w:tc>
        <w:tc>
          <w:tcPr>
            <w:tcW w:w="3840" w:type="dxa"/>
            <w:vAlign w:val="bottom"/>
          </w:tcPr>
          <w:p>
            <w:pPr>
              <w:spacing w:after="0"/>
              <w:rPr>
                <w:sz w:val="11"/>
                <w:szCs w:val="11"/>
                <w:color w:val="auto"/>
              </w:rPr>
            </w:pPr>
          </w:p>
        </w:tc>
        <w:tc>
          <w:tcPr>
            <w:tcW w:w="12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Borders>
              <w:bottom w:val="single" w:sz="8" w:color="CFF0FC"/>
            </w:tcBorders>
          </w:tcPr>
          <w:p>
            <w:pPr>
              <w:spacing w:after="0" w:line="20" w:lineRule="exact"/>
              <w:rPr>
                <w:sz w:val="1"/>
                <w:szCs w:val="1"/>
                <w:color w:val="auto"/>
              </w:rPr>
            </w:pPr>
          </w:p>
        </w:tc>
        <w:tc>
          <w:tcPr>
            <w:tcW w:w="38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38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5,838,520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2018</w:t>
            </w:r>
          </w:p>
        </w:tc>
        <w:tc>
          <w:tcPr>
            <w:tcW w:w="38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5,797,789</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During the nine month periods ended September 30, 2018 and 2017,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nine month periods ended September 30, 2018 and 2017, the Company purchased shares of Class A common stock from certain of our executive officers. The aggregate value of all such purchases during the nine month periods ended September 30, 2018 and 2017 was approximately $16,400 and $14,700, respectively.</w:t>
      </w:r>
    </w:p>
    <w:p>
      <w:pPr>
        <w:spacing w:after="0" w:line="178"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of September 30, 2018, a total of $241,793 of share repurchase authorization remained available under Lazard Ltd’s share repurchase program, which will expire on December 31, 2020.</w:t>
      </w:r>
    </w:p>
    <w:p>
      <w:pPr>
        <w:spacing w:after="0" w:line="170" w:lineRule="exact"/>
        <w:rPr>
          <w:sz w:val="20"/>
          <w:szCs w:val="20"/>
          <w:color w:val="auto"/>
        </w:rPr>
      </w:pPr>
    </w:p>
    <w:p>
      <w:pPr>
        <w:ind w:right="620" w:firstLine="518"/>
        <w:spacing w:after="0" w:line="264" w:lineRule="auto"/>
        <w:rPr>
          <w:sz w:val="20"/>
          <w:szCs w:val="20"/>
          <w:color w:val="auto"/>
        </w:rPr>
      </w:pPr>
      <w:r>
        <w:rPr>
          <w:rFonts w:ascii="Arial" w:cs="Arial" w:eastAsia="Arial" w:hAnsi="Arial"/>
          <w:sz w:val="18"/>
          <w:szCs w:val="18"/>
          <w:color w:val="auto"/>
        </w:rPr>
        <w:t>In addition, on October 24, 2018, the Board of Directors of Lazard authorized the repurchase of up to $300,000 of additional shares of Class A common stock, which authorization will expire on December 31, 2020, bringing the total share repurchase authorization as of October 24, 2018 to approximately $524,000.</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During the nine month period ended September 30, 2018,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and 2017 and activity during the three month and nine month periods then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July 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(146,341</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(211,758</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(211,757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(7,631)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(6,768)</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(5,819)</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(144,529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Nine Months Ended September 30, 2018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820" w:type="dxa"/>
            <w:vAlign w:val="bottom"/>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(151,466</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(195,256</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(195,256</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(29,258)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(25,109)</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(22,321)</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(144,529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July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(168,133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(238,817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(238,816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(4,715)</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(52,866)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(171,767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(224,633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(224,632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9" w:name="page30"/>
    <w:bookmarkEnd w:id="2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Nine Months Ended September 30, 2017</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(109,306</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(161,471</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56,440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(13,819)</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42,621</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46,144</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(52,866)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(171,767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(224,633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(224,632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 below reflects adjustments for items reclassified out of AOCI, by component, for the three month and nine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1,213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1,081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2,788</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14). Such amounts are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nine month periods ended September 30, 2018 and 2017 and noncontrolling interests as of September 30, 2018 and December 31, 2017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Net Income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960" w:type="dxa"/>
            <w:vAlign w:val="bottom"/>
          </w:tcPr>
          <w:p>
            <w:pPr>
              <w:spacing w:after="0"/>
              <w:rPr>
                <w:sz w:val="12"/>
                <w:szCs w:val="12"/>
                <w:color w:val="auto"/>
              </w:rPr>
            </w:pPr>
          </w:p>
        </w:tc>
        <w:tc>
          <w:tcPr>
            <w:tcW w:w="2120" w:type="dxa"/>
            <w:vAlign w:val="bottom"/>
            <w:gridSpan w:val="5"/>
          </w:tcPr>
          <w:p>
            <w:pPr>
              <w:jc w:val="center"/>
              <w:ind w:left="327"/>
              <w:spacing w:after="0" w:line="147" w:lineRule="exact"/>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6"/>
          </w:tcPr>
          <w:p>
            <w:pPr>
              <w:jc w:val="right"/>
              <w:ind w:right="5"/>
              <w:spacing w:after="0" w:line="147" w:lineRule="exact"/>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center"/>
              <w:ind w:left="339"/>
              <w:spacing w:after="0" w:line="155"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ind w:right="350"/>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Edgewater</w:t>
            </w: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1,651</w:t>
            </w: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2,260</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5,034</w:t>
            </w:r>
          </w:p>
        </w:tc>
        <w:tc>
          <w:tcPr>
            <w:tcW w:w="2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1,652</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2,261</w:t>
            </w: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5,037</w:t>
            </w: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5,660</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165"/>
              <w:spacing w:after="0"/>
              <w:rPr>
                <w:sz w:val="20"/>
                <w:szCs w:val="20"/>
                <w:color w:val="auto"/>
              </w:rPr>
            </w:pPr>
            <w:r>
              <w:rPr>
                <w:rFonts w:ascii="Arial" w:cs="Arial" w:eastAsia="Arial" w:hAnsi="Arial"/>
                <w:sz w:val="14"/>
                <w:szCs w:val="14"/>
                <w:b w:val="1"/>
                <w:bCs w:val="1"/>
                <w:color w:val="auto"/>
                <w:w w:val="98"/>
              </w:rPr>
              <w:t>Noncontrolling Interests as of</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tcPr>
          <w:p>
            <w:pPr>
              <w:jc w:val="right"/>
              <w:ind w:right="290"/>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579"/>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53,902</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58,568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53,915</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58,582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and nine month periods ended September 30, 2018 and 2017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and other share-based awards.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unvested awards granted under the 2008 Plan before its termination remain outstanding and continue to be subject to its terms.</w:t>
      </w:r>
    </w:p>
    <w:p>
      <w:pPr>
        <w:spacing w:after="0" w:line="193"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unvested deferred stock unit (“DSU”) awards granted under the 2005 Plan before its expiration remain outstanding and continue to be subject to its terms.</w:t>
      </w:r>
    </w:p>
    <w:p>
      <w:pPr>
        <w:spacing w:after="0" w:line="166"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following reflects the amortization expense recorded with respect to share-based incentive plans within “compensation and benefits” expense (with respect to RSUs, PRSUs and restricted stock awards) and “professional services” expense (with respect to DSUs) within the Company’s accompanying condensed consolidated statements of operations for the three month and nine month periods ended September 30, 2018 and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38,121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39,898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154,643</w:t>
            </w:r>
          </w:p>
        </w:tc>
        <w:tc>
          <w:tcPr>
            <w:tcW w:w="26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150,193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7,697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30,507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48,267</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57,569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217,139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219,721</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estimated forfeiture rate, is amortized over the vesting periods or requisite service periods (generally one-third after two years, and the remaining two-thirds after the third year), and is adjusted for actual forfeitures over such period.</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periods ended September 30, 2018 and 2017, dividend participation rights required the issuance of 746,324 and 866,914 RSUs, respectively.</w:t>
      </w:r>
    </w:p>
    <w:p>
      <w:pPr>
        <w:spacing w:after="0" w:line="22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30,463 and 31,280 DSUs granted during the nine month periods ended September 30, 2018 and 2017,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9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Lazard Ltd’s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periods ended September 30, 2018 and 2017, 9,837 and 10,541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2018 and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12,919,846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746,324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4,096,939</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53.78</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40,300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(130,138)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(5,603,901)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11,282,746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2017</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276,725</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866,914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5,294,156</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41,821</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(162,320)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(3,977,477)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(43,465)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September 30,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12,852,497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40.20</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275,081</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RSUs that vested during the nine month periods ended September 30, 2018 and 2017, the Company satisfied its minimum statutory tax withholding requirements in lieu of delivering 1,640,513 and 1,282,843 shares of Class A common stock during such respective nine month periods. Accordingly, 3,963,388 and 2,694,634 shares of Class A common stock held by the Company were delivered during the nine month periods ended September 30, 2018 and 2017, respectively.</w:t>
      </w:r>
    </w:p>
    <w:p>
      <w:pPr>
        <w:spacing w:after="0" w:line="18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As of September 30, 2018, estimated unrecognized RSU compensation expense was approximately $166,534, with such expense expected to be recognized over a weighted average period of approximately 0.8 years subsequent to September 30, 2018.</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2" w:name="page33"/>
    <w:bookmarkEnd w:id="3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periods ended September 30, 2018 and 2017:</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1,938,160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529,987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(30,950)</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(869,312)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1,567,885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(65,086)</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(483,811)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September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1,947,531</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nine month periods ended September 30, 2018 and 2017, the Company satisfied its minimum statutory tax withholding requirements in lieu of delivering 290,321 and 147,775 shares of Class A common stock during such respective nine month periods. Accordingly, 578,991 and 336,036 shares of Class A common stock held by the Company were delivered during the nine month periods ended September 30, 2018 and 2017, respectively.</w:t>
      </w:r>
    </w:p>
    <w:p>
      <w:pPr>
        <w:spacing w:after="0" w:line="18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restricted stock awards include a cash dividend participation right equivalent to dividends paid on Class A common stock during the period, which will vest concurrently with the underlying restricted stock award. At September 30, 2018, estimated unrecognized restricted stock expense was approximately $24,463, with such expense to be recognized over a weighted average period of approximately 0.8 years subsequent to September 30, 2018.</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12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nine month periods ended September 30, 2018 and 2017:</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1,591,693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399,869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(799,402)</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September 30, 2018</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1,192,160</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(825,565)</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September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1,223,304</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20" w:hanging="518"/>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certain PRSUs that vested or were settled during the nine month periods ended September 30, 2018 and 2017, the Company satisfied its minimum statutory tax withholding requirements in lieu of delivering 91,962 and 127,530 shares of Class A common stock during such respective nine month periods. Accordingly, 707,440 and 698,035 shares of Class A common stock held by the Company were delivered during the nine month periods ended September 30, 2018 and 2017, respectively.</w:t>
      </w:r>
    </w:p>
    <w:p>
      <w:pPr>
        <w:spacing w:after="0" w:line="18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2018, the total estimated unrecognized compensation expense was approximately $9,487, and the Company expects to amortize such expense over a weighted-average period of approximately 0.8 years subsequent to September 30, 2018.</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nine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104,740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(85,335)</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(1,166)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(68,145)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94,295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(95,718)</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(52,702)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2017</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September 30, 2018.</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2018 and 2017:</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71,274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57,254</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the fair value of underlying investments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17,981</w:t>
            </w:r>
          </w:p>
        </w:tc>
        <w:tc>
          <w:tcPr>
            <w:tcW w:w="100" w:type="dxa"/>
            <w:vAlign w:val="bottom"/>
            <w:tcBorders>
              <w:bottom w:val="single" w:sz="8" w:color="CFF0FC"/>
            </w:tcBorders>
          </w:tcPr>
          <w:p>
            <w:pPr>
              <w:spacing w:after="0"/>
              <w:rPr>
                <w:sz w:val="19"/>
                <w:szCs w:val="19"/>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22,792</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72,986</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 (see Note 2).</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35" w:name="page36"/>
    <w:bookmarkEnd w:id="3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w:t>
      </w:r>
    </w:p>
    <w:p>
      <w:pPr>
        <w:spacing w:after="0" w:line="124"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and nine month periods ended September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9"/>
                <w:szCs w:val="19"/>
                <w:color w:val="auto"/>
              </w:rPr>
            </w:pPr>
          </w:p>
        </w:tc>
        <w:tc>
          <w:tcPr>
            <w:tcW w:w="980" w:type="dxa"/>
            <w:vAlign w:val="bottom"/>
            <w:gridSpan w:val="2"/>
          </w:tcPr>
          <w:p>
            <w:pPr>
              <w:jc w:val="right"/>
              <w:ind w:right="85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(7,315)</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(6,295)</w:t>
            </w: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0"/>
        </w:trPr>
        <w:tc>
          <w:tcPr>
            <w:tcW w:w="5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4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
        </w:trPr>
        <w:tc>
          <w:tcPr>
            <w:tcW w:w="5880" w:type="dxa"/>
            <w:vAlign w:val="bottom"/>
          </w:tcPr>
          <w:p>
            <w:pPr>
              <w:spacing w:after="0"/>
              <w:rPr>
                <w:sz w:val="4"/>
                <w:szCs w:val="4"/>
                <w:color w:val="auto"/>
              </w:rPr>
            </w:pPr>
          </w:p>
        </w:tc>
        <w:tc>
          <w:tcPr>
            <w:tcW w:w="294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19"/>
                <w:szCs w:val="19"/>
                <w:color w:val="auto"/>
              </w:rPr>
            </w:pPr>
          </w:p>
        </w:tc>
        <w:tc>
          <w:tcPr>
            <w:tcW w:w="980" w:type="dxa"/>
            <w:vAlign w:val="bottom"/>
            <w:gridSpan w:val="2"/>
          </w:tcPr>
          <w:p>
            <w:pPr>
              <w:jc w:val="right"/>
              <w:ind w:right="85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12,258</w:t>
            </w: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(22,681)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(18,855)</w:t>
            </w: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12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93"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w:t>
      </w:r>
    </w:p>
    <w:p>
      <w:pPr>
        <w:spacing w:after="0" w:line="17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a result of the reduction of the U.S. federal corporate tax rate to 21%, the Company was required to remeasure its deferred tax assets and liabilities at the new federal income tax rate of 21% based on the balances that existed on the date of the enactment of the Tax Act. The impact of this remeasurement was immaterial to the Company.</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Tax Act also requires companies to pay a one-time repatriation tax on previously unremitted earnings of certain non-U.S. corporate subsidiaries. Most of the Company’s operations outside the U.S. are conducted in “pass-through” entities for U.S. income tax purposes, and, as a result, the deemed repatriation transition tax does not apply to these pass-through entities or their earnings.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Company instead provides for U.S. income taxes on a current basis for the relevant portion of those earnings. The Company also conducts operations outside the U.S. through foreign corporate subsidiaries. The impact of the one-time repatriation tax was immaterial to the Company.</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accordance with the guidance provided by Staff Accounting Bulletin No. 118, the Company has recognized the provisional tax impact related to the one-time deemed repatriation tax on certain foreign earnings and the remeasurement of our deferred tax assets. The impact of the Tax Act on the Company may differ from these provisional estimates, due to, among other items, the issuance of additional regulatory guidance, our interpretations of the provisions of the Tax Act, changes to certain estimates and amounts related to the earnings and profits of certain subsidiaries and the filing of our tax returns. We will recognize any changes to the provisional amounts as we refine our estimates. We expect to complete our analysis of the provisional items, including the one-time repatriation tax, in the fourth quarter of 2018.</w:t>
      </w:r>
    </w:p>
    <w:p>
      <w:pPr>
        <w:spacing w:after="0" w:line="19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Company recorded income tax provisions of $25,393 and $75,453 for the three month and nine month periods ended September 30, 2018, respectively, and $27,367 and $81,802 for the three month and nine month periods ended September 30, 2017, respectively, representing effective tax rates of 18.8%, 14.7%, 18.8% and 17.3%, respectively. The difference between the U.S. federal statutory rate of 21.0% and 35.0% for 2018 and 2017, respectively, and the effective tax rates reflected above principally relates to (i) Lazard Group primarily operating as a limited liability company in the U.S., (ii) change in the valuation allowance affecting the provision for income taxes, (iii) taxes payable to foreign jurisdictions, (iv) excess net tax benefit for share-based incentive compensation, and (v) U.S. state and local taxes, which are incremental to the U.S. federal statutory tax rate.</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On January 1, 2017, the Company adopted new accounting guidance on share-based incentive compensation. As a result of the adoption of this new guidance, the Company recognized excess tax benefits of $14,093 and $2,047 from the vesting of share-based incentive compensation in the provision for income taxes in the condensed consolidated statements of operations for the nine month periods ended September 30, 2018 and 2017, respectively. The Company also recorded deferred tax assets of $4,945, net of a valuation allowance of $12,090, as of January 1, 2017, for previously unrecognized excess tax benefits (including tax benefits from dividends or dividend equivalents) on share-based incentive compensation, with an offsetting adjustment to retained earnings.</w:t>
      </w:r>
    </w:p>
    <w:p>
      <w:pPr>
        <w:spacing w:after="0" w:line="382"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Receivables from and Payables to Lazard Ltd Subsidiaries</w:t>
      </w:r>
    </w:p>
    <w:p>
      <w:pPr>
        <w:spacing w:after="0" w:line="117" w:lineRule="exact"/>
        <w:rPr>
          <w:sz w:val="20"/>
          <w:szCs w:val="20"/>
          <w:color w:val="auto"/>
        </w:rPr>
      </w:pPr>
    </w:p>
    <w:p>
      <w:pPr>
        <w:jc w:val="both"/>
        <w:ind w:right="200" w:firstLine="518"/>
        <w:spacing w:after="0" w:line="312" w:lineRule="auto"/>
        <w:rPr>
          <w:sz w:val="20"/>
          <w:szCs w:val="20"/>
          <w:color w:val="auto"/>
        </w:rPr>
      </w:pPr>
      <w:r>
        <w:rPr>
          <w:rFonts w:ascii="Arial" w:cs="Arial" w:eastAsia="Arial" w:hAnsi="Arial"/>
          <w:sz w:val="16"/>
          <w:szCs w:val="16"/>
          <w:color w:val="auto"/>
        </w:rPr>
        <w:t>Lazard Group’s receivables from subsidiaries of Lazard Ltd at December 31, 2017 included interest-bearing loans of $72, including accrued interest thereon. Interest income relating to interest-bearing loans with subsidiaries of Lazard Ltd amounted to $230 and $451 for the three month and nine month periods ended September 30, 2018, respectively, and $5 and $148 for the three month and nine month periods ended September 30, 2017, respectively.</w:t>
      </w:r>
    </w:p>
    <w:p>
      <w:pPr>
        <w:spacing w:after="0" w:line="14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Lazard Group’s payables to subsidiaries of Lazard Ltd at September 30, 2018 and December 31, 2017 included interest-bearing loans, including interest thereon, of $61,401 and $64,203, respectively. Interest expense relating to interest-bearing loans with subsidiaries of Lazard Ltd amounted to $901 and $2,803 for the three month and nine month periods ended September 30, 2018, respectively, and $976 and $2,851 for the three month and nine month periods ended September 30, 2017, respectively.</w:t>
      </w: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$158,425 and $510,414 for the three month and nine month periods ended September 30, 2018, respectively, and $163,767 and $471,727 for the three month and nine month periods ended September 30, 2017, respectively, and are included in “asset management fees” on the condensed consolidated statements of operations. Of such amounts, $69,430 and $69,107 remained as receivables at September 30, 2018 and December 31, 2017, respectively, and are included in “fees receivable” on the condensed consolidated statements of financial condition.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7" w:name="page38"/>
    <w:bookmarkEnd w:id="3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12 for information regarding related party transactions pertaining to shares repurchased from certain of our executive officers.</w:t>
      </w:r>
    </w:p>
    <w:p>
      <w:pPr>
        <w:spacing w:after="0" w:line="212"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September 30, 2018, LFNY’s regulatory net capital was $71,698, which exceeded the minimum requirement by $69,461. LFNY’s aggregate indebtedness to net capital ratio was 0.47:1 as of September 30, 2018.</w:t>
      </w:r>
    </w:p>
    <w:p>
      <w:pPr>
        <w:spacing w:after="0" w:line="193"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September 30, 2018, the aggregate regulatory net capital of the U.K. Subsidiaries was $165,474, which exceeded the minimum requirement by $145,285.</w:t>
      </w:r>
    </w:p>
    <w:p>
      <w:pPr>
        <w:spacing w:after="0" w:line="181"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September 30, 2018, the consolidated regulatory net capital of CFLF was $129,777, which exceeded the minimum requirement set for regulatory capital levels by $69,918.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June 30, 2018, the regulatory net capital of the combined European regulated group was $197,797, which exceeded the minimum requirement set for regulatory capital levels by $94,827.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2018, for those subsidiaries with regulatory capital requirements, their aggregate net capital was $148,447, which exceeded the minimum required capital by $120,949.</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2018, each of these subsidiaries individually was in compliance with its regulatory capital requirements.</w:t>
      </w:r>
    </w:p>
    <w:p>
      <w:pPr>
        <w:spacing w:after="0" w:line="22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8" w:name="page39"/>
    <w:bookmarkEnd w:id="3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Company’s segment information for the three month and nine month periods ended September 30, 2018 and 2017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9"/>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309,846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305,890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1,137,781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1,052,206</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253,602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243,421</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900,397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814,068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56,244</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62,469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237,384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238,138</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325,240</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320,487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1,032,111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913,728</w:t>
            </w:r>
          </w:p>
        </w:tc>
        <w:tc>
          <w:tcPr>
            <w:tcW w:w="12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211,564</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217,233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670,794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621,885</w:t>
            </w:r>
          </w:p>
        </w:tc>
        <w:tc>
          <w:tcPr>
            <w:tcW w:w="120" w:type="dxa"/>
            <w:vAlign w:val="bottom"/>
          </w:tcPr>
          <w:p>
            <w:pPr>
              <w:spacing w:after="0"/>
              <w:rPr>
                <w:sz w:val="20"/>
                <w:szCs w:val="20"/>
                <w:color w:val="auto"/>
              </w:rPr>
            </w:pPr>
          </w:p>
        </w:tc>
      </w:tr>
      <w:tr>
        <w:trPr>
          <w:trHeight w:val="223"/>
        </w:trPr>
        <w:tc>
          <w:tcPr>
            <w:tcW w:w="246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113,676</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103,254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361,317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291,843</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(36,980)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25,114</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17,923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48,223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(20,529)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(85,203)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(56,529)</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625,012</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623,771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2,132,912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1,962,274</w:t>
            </w:r>
          </w:p>
        </w:tc>
        <w:tc>
          <w:tcPr>
            <w:tcW w:w="12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490,280</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478,577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1,619,414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1,488,822</w:t>
            </w:r>
          </w:p>
        </w:tc>
        <w:tc>
          <w:tcPr>
            <w:tcW w:w="120" w:type="dxa"/>
            <w:vAlign w:val="bottom"/>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134,732</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145,194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513,498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473,452</w:t>
            </w:r>
          </w:p>
        </w:tc>
        <w:tc>
          <w:tcPr>
            <w:tcW w:w="120" w:type="dxa"/>
            <w:vAlign w:val="bottom"/>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6"/>
          </w:tcPr>
          <w:p>
            <w:pPr>
              <w:jc w:val="right"/>
              <w:ind w:right="280"/>
              <w:spacing w:after="0" w:line="155" w:lineRule="exact"/>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131"/>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3"/>
                <w:szCs w:val="13"/>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849,991</w:t>
            </w:r>
          </w:p>
        </w:tc>
        <w:tc>
          <w:tcPr>
            <w:tcW w:w="80" w:type="dxa"/>
            <w:vAlign w:val="bottom"/>
          </w:tcPr>
          <w:p>
            <w:pPr>
              <w:spacing w:after="0"/>
              <w:rPr>
                <w:sz w:val="19"/>
                <w:szCs w:val="19"/>
                <w:color w:val="auto"/>
              </w:rPr>
            </w:pP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817,185</w:t>
            </w:r>
          </w:p>
        </w:tc>
        <w:tc>
          <w:tcPr>
            <w:tcW w:w="120" w:type="dxa"/>
            <w:vAlign w:val="bottom"/>
          </w:tcPr>
          <w:p>
            <w:pPr>
              <w:spacing w:after="0"/>
              <w:rPr>
                <w:sz w:val="19"/>
                <w:szCs w:val="19"/>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696,400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756,398</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2,797,942</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2,726,990</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4,344,333</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4,300,573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2017 (the “Form 10-K”). All references to “2018,” “2017,” “third quarter,” “first nine months” or “the period” refer to, as the context requires, the three month and nine month periods ended September 30, 2018 and September 30,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ability to deploy surplus cash through distributions to members, purchases of Class A common stock and debt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0" w:name="page41"/>
    <w:bookmarkEnd w:id="40"/>
    <w:p>
      <w:pPr>
        <w:ind w:left="900" w:right="60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social media 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hanging="379"/>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160" w:hanging="379"/>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1" w:name="page42"/>
    <w:bookmarkEnd w:id="41"/>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fund targeting significant noncontrolling-stake investments in established private companies and (iii) until the second quarter of 2017, a mezzanine fund (the “Mezzanine Fund”), which invests in mezzanine debt of a diversified selection of small- to mid-cap European companies. We sold our interest in the Mezzanine Fund in May 2017. 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Equity market indices for developed markets at September 30, 2018 generally increased as compared to such indices at September 30, 2017. Emerging markets equity indices at September 30, 2018 generally decreased as compared to such indices at December 31, 2017. In the global M&amp;A markets during the first nine months of 2018, the number of all completed M&amp;A transactions decreased as compared to the same period in the prior year, as did the subset of such transactions involving values greater than $500 million. During the same time, the value of all announced M&amp;A transactions, including the subset of such transactions involving values greater than $500 million, increased. Additionally, with respect to announced M&amp;A transactions, the number of all transactions decreased in the first nine months of 2018 as compared to 2017, while the number of announced transactions with values greater than $500 million increased in the first nine months of 2018 as compared to 2017. During the first nine months of 2018, global restructuring activity, as measured by the number of corporate defaults, decreased as compared to the first nine months of 2017.</w:t>
      </w:r>
    </w:p>
    <w:p>
      <w:pPr>
        <w:spacing w:after="0" w:line="179"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On an ongoing basis, regional, macroeconomic and geopolitical factors, including trade policy and regional tax and regulatory reform, may impact our business. The U.S. economy remains healthy. The European economy’s growth rate has slowed, but it is still growing. Emerging markets as a group have experienced significant capital markets volatility. Borrowing costs remain low for companies with strong credit ratings, but interest rates have recently risen.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—The fundamentals for continued M&amp;A activity appear to remain in place, and we believe our Financial Advisory business is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competitive position. Demand continues for expert, independent strategic advice that can be levered across geographies and our range of advisory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17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Asset Management</w:t>
      </w:r>
      <w:r>
        <w:rPr>
          <w:rFonts w:ascii="Arial" w:cs="Arial" w:eastAsia="Arial" w:hAnsi="Arial"/>
          <w:sz w:val="18"/>
          <w:szCs w:val="18"/>
          <w:color w:val="auto"/>
        </w:rPr>
        <w:t>—In the short to intermediate term, we expect most investor demand will come from defined benefit and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developed economies because of their sheer scope and size. Over the longer term, and depending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20"/>
        <w:spacing w:after="0" w:line="255" w:lineRule="auto"/>
        <w:rPr>
          <w:sz w:val="20"/>
          <w:szCs w:val="20"/>
          <w:color w:val="auto"/>
        </w:rPr>
      </w:pPr>
      <w:r>
        <w:rPr>
          <w:rFonts w:ascii="Arial" w:cs="Arial" w:eastAsia="Arial" w:hAnsi="Arial"/>
          <w:sz w:val="18"/>
          <w:szCs w:val="18"/>
          <w:color w:val="auto"/>
        </w:rPr>
        <w:t>upon local market conditions, we would expect an increasing share of our AUM to come from the developing economies in Asia and the Middle East, as their retirement systems evolve and individual wealth is increasingly deployed in the financial markets.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various Multi-Asset strategies, a Real Assets strategy, an International Value strategy, a Global Equity Franchise strategy, and a Market Neutral Quantitative Equity strategy.</w:t>
      </w:r>
    </w:p>
    <w:p>
      <w:pPr>
        <w:spacing w:after="0" w:line="18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member returns, the evaluation of potential growth opportunities, the investment in new technology to support the development of existing and new business opportunities, the prudent management of our costs and expenses, the efficient use of our assets and the return of equity to our members.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reflected in the following table, which sets forth global M&amp;A industry statistics, the number of all completed transactions, including completed transactions with values greater than $500 million, decreased in the first nine months of 2018 as compared to 2017. With respect to announced M&amp;A transactions, the value of all transactions, including the value of announced transactions involving values greater than $500 million, increased in the first nine months of 2018 as compared to 2017. Additionally, with respect to announced M&amp;A transactions, the number of all transactions decreased in the first nine months of 2018 as compared to 2017, while the number of announced transactions with values greater than $500 million increased in the first nine months of 2018 as compared to 2017.</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3"/>
              </w:rPr>
              <w:t>Nine Months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1"/>
                <w:szCs w:val="11"/>
                <w:color w:val="auto"/>
              </w:rPr>
            </w:pPr>
          </w:p>
        </w:tc>
        <w:tc>
          <w:tcPr>
            <w:tcW w:w="74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89"/>
              </w:rPr>
              <w:t>2017</w:t>
            </w:r>
          </w:p>
        </w:tc>
        <w:tc>
          <w:tcPr>
            <w:tcW w:w="88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1"/>
                <w:szCs w:val="11"/>
                <w:color w:val="auto"/>
              </w:rPr>
            </w:pPr>
          </w:p>
        </w:tc>
        <w:tc>
          <w:tcPr>
            <w:tcW w:w="820" w:type="dxa"/>
            <w:vAlign w:val="bottom"/>
            <w:vMerge w:val="restart"/>
          </w:tcPr>
          <w:p>
            <w:pPr>
              <w:jc w:val="center"/>
              <w:ind w:right="292"/>
              <w:spacing w:after="0"/>
              <w:rPr>
                <w:sz w:val="20"/>
                <w:szCs w:val="20"/>
                <w:color w:val="auto"/>
              </w:rPr>
            </w:pPr>
            <w:r>
              <w:rPr>
                <w:rFonts w:ascii="Arial" w:cs="Arial" w:eastAsia="Arial" w:hAnsi="Arial"/>
                <w:sz w:val="14"/>
                <w:szCs w:val="14"/>
                <w:b w:val="1"/>
                <w:bCs w:val="1"/>
                <w:color w:val="auto"/>
                <w:w w:val="89"/>
              </w:rPr>
              <w:t>2017</w:t>
            </w:r>
          </w:p>
        </w:tc>
        <w:tc>
          <w:tcPr>
            <w:tcW w:w="8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6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959</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2,783</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6,478</w:t>
            </w:r>
          </w:p>
        </w:tc>
        <w:tc>
          <w:tcPr>
            <w:tcW w:w="30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10,495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24,343</w:t>
            </w:r>
          </w:p>
        </w:tc>
        <w:tc>
          <w:tcPr>
            <w:tcW w:w="3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31,051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728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2,139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2,099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324</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922</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910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3,295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2,494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10,396</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25,359</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30,922</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1,820</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20"/>
                <w:szCs w:val="20"/>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910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October 5, 2018.</w:t>
      </w:r>
    </w:p>
    <w:p>
      <w:pPr>
        <w:spacing w:after="0" w:line="22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Global restructuring activity during the first nine months of 2018, as measured by the number of corporate defaults, decreased as compared to the first nine months of 2017. The number of defaulting issuers decreased to 56 in the first nine months of 2018, according to Moody’s Investors Service, Inc., as compared to 71 in the first nine months of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firstLine="518"/>
        <w:spacing w:after="0" w:line="271"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Beginning in the first quarter of 2018, we ceased separately reporting Restructuring revenue within our Financial Advisory segment, because our Financial Advisory practices have become highly integrated, and our assignments with clients often incorporate several disciplines. We believe that presenting unified Financial Advisory revenue is a more accurate representation of our Financial Advisory business.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percentage change in major equity market indices at September 30, 2018, as compared to such indices at June 30, 2018, December 31, 2017, and at September 30, 2017,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Percentage Changes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September 30, 2018 vs.</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0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060" w:type="dxa"/>
            <w:vAlign w:val="bottom"/>
          </w:tcPr>
          <w:p>
            <w:pPr>
              <w:jc w:val="right"/>
              <w:ind w:right="16"/>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460" w:type="dxa"/>
            <w:vAlign w:val="bottom"/>
            <w:gridSpan w:val="2"/>
          </w:tcPr>
          <w:p>
            <w:pPr>
              <w:jc w:val="right"/>
              <w:ind w:right="8"/>
              <w:spacing w:after="0"/>
              <w:rPr>
                <w:sz w:val="20"/>
                <w:szCs w:val="20"/>
                <w:color w:val="auto"/>
              </w:rPr>
            </w:pPr>
            <w:r>
              <w:rPr>
                <w:rFonts w:ascii="Arial" w:cs="Arial" w:eastAsia="Arial" w:hAnsi="Arial"/>
                <w:sz w:val="18"/>
                <w:szCs w:val="18"/>
                <w:color w:val="auto"/>
              </w:rPr>
              <w:t>8%</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40"/>
        <w:spacing w:after="0" w:line="254"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September 30, 2018 decreased 4% versus AUM at December 31, 2017, primarily due to foreign exchange depreciation, net outflows and market depreciation. Average AUM for the three month period ended September 30, 2018 was 3% higher than the average AUM for the three month period ended September 30, 2017. Average AUM for the first nine months of 2018 increased 12% as compared to the first nine months of 2017.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120"/>
        <w:spacing w:after="0" w:line="297" w:lineRule="auto"/>
        <w:rPr>
          <w:sz w:val="20"/>
          <w:szCs w:val="20"/>
          <w:color w:val="auto"/>
        </w:rPr>
      </w:pPr>
      <w:r>
        <w:rPr>
          <w:rFonts w:ascii="Arial" w:cs="Arial" w:eastAsia="Arial" w:hAnsi="Arial"/>
          <w:sz w:val="16"/>
          <w:szCs w:val="16"/>
          <w:color w:val="auto"/>
        </w:rPr>
        <w:t>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5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Although Corporate segment net revenue during 2018 is not significant compared to Lazard’s net revenue, total assets in the Corporate segment represented 64% of Lazard’s consolidated total assets as of September 30, 2018,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80" w:firstLine="518"/>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13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right="80" w:firstLine="51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6" w:lineRule="exact"/>
        <w:rPr>
          <w:sz w:val="20"/>
          <w:szCs w:val="20"/>
          <w:color w:val="auto"/>
        </w:rPr>
      </w:pPr>
    </w:p>
    <w:p>
      <w:pPr>
        <w:ind w:left="900" w:right="10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80" w:hanging="386"/>
        <w:spacing w:after="0" w:line="264"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2018 related to the 2017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460" w:hanging="386"/>
        <w:spacing w:after="0" w:line="277"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which compares to 55.3% and 55.6%, respectively, for the year ended December 31, 2017.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In 2018, non-compensation expense included expenses related to a partial redemption of the Company’s 4.25% senior notes due 2020 (the “2020 Notes”) (see Note 10 of Notes to Condensed Consolidated Financial Statements).</w:t>
      </w:r>
    </w:p>
    <w:p>
      <w:pPr>
        <w:spacing w:after="0" w:line="193"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(benefits)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15 of Notes to Condensed Consolidated Financial Statements for additional information).</w:t>
      </w:r>
    </w:p>
    <w:p>
      <w:pPr>
        <w:spacing w:after="0" w:line="17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ind w:right="180"/>
        <w:spacing w:after="0" w:line="286" w:lineRule="auto"/>
        <w:rPr>
          <w:sz w:val="20"/>
          <w:szCs w:val="20"/>
          <w:color w:val="auto"/>
        </w:rPr>
      </w:pPr>
      <w:r>
        <w:rPr>
          <w:rFonts w:ascii="Arial" w:cs="Arial" w:eastAsia="Arial" w:hAnsi="Arial"/>
          <w:sz w:val="17"/>
          <w:szCs w:val="17"/>
          <w:color w:val="auto"/>
        </w:rPr>
        <w:t>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 The reduced corporate tax rate required us to remeasure our deferred tax assets and liabilities.</w:t>
      </w:r>
    </w:p>
    <w:p>
      <w:pPr>
        <w:spacing w:after="0" w:line="166"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See “Critical Accounting Policies and Estimates—Income Taxes” below and Note 15 of Notes to Condensed Consolidated Financial Statements for additional information regarding income taxes, the impact of the Tax Act on us and our deferred tax assets.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12 of Notes to Condensed Consolidated Financial Statements for information regarding the Company’s noncontrolling interests.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period ended September 30, 2018 was negatively impacted, and net revenue for the nine month period ended September 30, 2018 was positively impacted, by exchange rate movements, in each case in comparison to the relevant prior year period. The majority of the impact to net revenue, in both periods, was offset by the impact of the exchange rate movements on our operating expenses during the periods denominated in currencies other than the U.S. Dollar.</w:t>
      </w:r>
    </w:p>
    <w:p>
      <w:pPr>
        <w:spacing w:after="0" w:line="188" w:lineRule="exact"/>
        <w:rPr>
          <w:sz w:val="20"/>
          <w:szCs w:val="20"/>
          <w:color w:val="auto"/>
        </w:rPr>
      </w:pPr>
    </w:p>
    <w:p>
      <w:pPr>
        <w:ind w:right="400" w:firstLine="471"/>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625,012</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623,771</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2,132,912</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1,962,274</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342,294</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359,294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1,160,216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1,134,142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149,095</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118,948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460,223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352,734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(1,109)</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490,280</w:t>
            </w:r>
          </w:p>
        </w:tc>
        <w:tc>
          <w:tcPr>
            <w:tcW w:w="3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478,577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1,619,414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1,488,822</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134,732</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145,194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513,498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473,452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25,393</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81,802</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109,339</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117,827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438,045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391,650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107,687</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115,566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433,008</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385,990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40" w:type="dxa"/>
            <w:vAlign w:val="bottom"/>
          </w:tcPr>
          <w:p>
            <w:pPr>
              <w:spacing w:after="0"/>
              <w:rPr>
                <w:sz w:val="24"/>
                <w:szCs w:val="24"/>
                <w:color w:val="auto"/>
              </w:rPr>
            </w:pPr>
          </w:p>
        </w:tc>
        <w:tc>
          <w:tcPr>
            <w:tcW w:w="940" w:type="dxa"/>
            <w:vAlign w:val="bottom"/>
            <w:gridSpan w:val="2"/>
          </w:tcPr>
          <w:p>
            <w:pPr>
              <w:jc w:val="right"/>
              <w:ind w:right="105"/>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7" w:name="page48"/>
    <w:bookmarkEnd w:id="47"/>
    <w:p>
      <w:pPr>
        <w:jc w:val="both"/>
        <w:ind w:right="24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625,012</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623,771</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2,132,912</w:t>
            </w:r>
          </w:p>
        </w:tc>
        <w:tc>
          <w:tcPr>
            <w:tcW w:w="26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1,962,274</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14,069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13,356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40,253</w:t>
            </w:r>
          </w:p>
        </w:tc>
        <w:tc>
          <w:tcPr>
            <w:tcW w:w="100" w:type="dxa"/>
            <w:vAlign w:val="bottom"/>
          </w:tcPr>
          <w:p>
            <w:pPr>
              <w:spacing w:after="0"/>
              <w:rPr>
                <w:sz w:val="19"/>
                <w:szCs w:val="19"/>
                <w:color w:val="auto"/>
              </w:rPr>
            </w:pPr>
          </w:p>
        </w:tc>
      </w:tr>
      <w:tr>
        <w:trPr>
          <w:trHeight w:val="215"/>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expense (b)</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(25,880)</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(90,107)</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(4,512)</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(5,039)</w:t>
            </w:r>
          </w:p>
        </w:tc>
        <w:tc>
          <w:tcPr>
            <w:tcW w:w="4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(15,351)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(13,079)</w:t>
            </w: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(3,647)</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(4,875)</w:t>
            </w: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(1,712)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(17,981)</w:t>
            </w: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605,042</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627,213</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2,066,842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1,971,467</w:t>
            </w:r>
          </w:p>
        </w:tc>
        <w:tc>
          <w:tcPr>
            <w:tcW w:w="10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ind w:left="380" w:right="40" w:hanging="372"/>
        <w:spacing w:after="0" w:line="250"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380" w:right="80" w:hanging="372"/>
        <w:spacing w:after="0" w:line="265" w:lineRule="auto"/>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220" w:hanging="372"/>
        <w:spacing w:after="0" w:line="250"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380" w:right="460" w:hanging="372"/>
        <w:spacing w:after="0" w:line="261"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342,294</w:t>
            </w:r>
          </w:p>
        </w:tc>
        <w:tc>
          <w:tcPr>
            <w:tcW w:w="22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359,294</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1,160,216</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1,134,142</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(8,283)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(6,084)</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(3,647)</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(4,875)</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(1,712)</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(17,981)</w:t>
            </w: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336,237</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351,946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1,150,221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1,110,077</w:t>
            </w:r>
          </w:p>
        </w:tc>
        <w:tc>
          <w:tcPr>
            <w:tcW w:w="180" w:type="dxa"/>
            <w:vAlign w:val="bottom"/>
            <w:tcBorders>
              <w:bottom w:val="single" w:sz="8" w:color="CFF0FC"/>
            </w:tcBorders>
          </w:tcPr>
          <w:p>
            <w:pPr>
              <w:spacing w:after="0"/>
              <w:rPr>
                <w:sz w:val="22"/>
                <w:szCs w:val="22"/>
                <w:color w:val="auto"/>
              </w:rPr>
            </w:pPr>
          </w:p>
        </w:tc>
      </w:tr>
      <w:tr>
        <w:trPr>
          <w:trHeight w:val="21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Adjusted compensation and benefits expense, as a % of operating revenue</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56.3%</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149,095</w:t>
            </w:r>
          </w:p>
        </w:tc>
        <w:tc>
          <w:tcPr>
            <w:tcW w:w="3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118,948</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460,223</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352,734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(7,659)</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(6,530)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(20,489)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(15,391)</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related to office space reorganization (b)</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(2,425)</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5"/>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380"/>
              <w:spacing w:after="0"/>
              <w:rPr>
                <w:sz w:val="20"/>
                <w:szCs w:val="20"/>
                <w:color w:val="auto"/>
              </w:rPr>
            </w:pPr>
            <w:r>
              <w:rPr>
                <w:rFonts w:ascii="Arial" w:cs="Arial" w:eastAsia="Arial" w:hAnsi="Arial"/>
                <w:sz w:val="18"/>
                <w:szCs w:val="18"/>
                <w:color w:val="auto"/>
              </w:rPr>
              <w:t>expense (c)</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(25,880)</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(90,107)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(d)</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(6,523)</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(6,523)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108,761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339,177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331,432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8"/>
              </w:rPr>
              <w:t>Adjusted non-compensation expense, as a % of operating revenue</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9" w:lineRule="exact"/>
        <w:rPr>
          <w:rFonts w:ascii="Arial" w:cs="Arial" w:eastAsia="Arial" w:hAnsi="Arial"/>
          <w:sz w:val="18"/>
          <w:szCs w:val="18"/>
          <w:color w:val="auto"/>
        </w:rPr>
      </w:pPr>
    </w:p>
    <w:p>
      <w:pPr>
        <w:ind w:left="380" w:right="100" w:hanging="372"/>
        <w:spacing w:after="0" w:line="265" w:lineRule="auto"/>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40" w:hanging="372"/>
        <w:spacing w:after="0" w:line="250"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2018, charges pertaining to the partial redemption of the Company’s 2020 Notes are excluded because of the non-operating nature of such transaction. See “—Liquidity and Capital Resources—Financing Activities” below.</w:t>
      </w:r>
    </w:p>
    <w:p>
      <w:pPr>
        <w:ind w:left="380" w:hanging="372"/>
        <w:spacing w:after="0"/>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5"/>
          </w:tcPr>
          <w:p>
            <w:pPr>
              <w:jc w:val="right"/>
              <w:ind w:right="65"/>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gridSpan w:val="9"/>
          </w:tcPr>
          <w:p>
            <w:pPr>
              <w:jc w:val="right"/>
              <w:ind w:right="102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605,042</w:t>
            </w:r>
          </w:p>
        </w:tc>
        <w:tc>
          <w:tcPr>
            <w:tcW w:w="100" w:type="dxa"/>
            <w:vAlign w:val="bottom"/>
          </w:tcPr>
          <w:p>
            <w:pPr>
              <w:spacing w:after="0"/>
              <w:rPr>
                <w:sz w:val="19"/>
                <w:szCs w:val="19"/>
                <w:color w:val="auto"/>
              </w:rPr>
            </w:pPr>
          </w:p>
        </w:tc>
        <w:tc>
          <w:tcPr>
            <w:tcW w:w="6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627,213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2,066,842</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1,971,467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(336,237)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w w:val="98"/>
              </w:rPr>
              <w:t>(351,946)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(1,150,221)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(1,110,077)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(108,761)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w w:val="98"/>
              </w:rPr>
              <w:t>(110,767)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(339,177)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(331,432)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160,044</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164,500</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577,444</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529,958</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82"/>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jc w:val="right"/>
              <w:ind w:right="68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2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(a)</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47</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49" w:name="page50"/>
    <w:bookmarkEnd w:id="49"/>
    <w:p>
      <w:pPr>
        <w:spacing w:after="0"/>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9040" cy="8890"/>
                    </a:xfrm>
                    <a:prstGeom prst="rect">
                      <a:avLst/>
                    </a:prstGeom>
                    <a:noFill/>
                  </pic:spPr>
                </pic:pic>
              </a:graphicData>
            </a:graphic>
          </wp:anchor>
        </w:drawing>
        <w:t>(a)</w:t>
      </w:r>
      <w:r>
        <w:rPr>
          <w:sz w:val="20"/>
          <w:szCs w:val="20"/>
          <w:color w:val="auto"/>
        </w:rPr>
        <w:tab/>
      </w:r>
      <w:r>
        <w:rPr>
          <w:rFonts w:ascii="Arial" w:cs="Arial" w:eastAsia="Arial" w:hAnsi="Arial"/>
          <w:sz w:val="16"/>
          <w:szCs w:val="16"/>
          <w:color w:val="auto"/>
        </w:rPr>
        <w:t>Reduction in 2018 relates to a realignment of certain headcount from Corporate to the Financial Advisory and Asset Management segments.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18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September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Group of $108 million, as compared to net income of $116 million in the 2017 period.</w:t>
      </w:r>
    </w:p>
    <w:p>
      <w:pPr>
        <w:spacing w:after="0" w:line="23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Net revenue increased $1 million, with operating revenue decreasing $22 million, or 4%, as compared to the 2017 period. Net revenue in the 2018 period reflects the adoption of new revenue recognition guidance (see Note 2 of Notes to Condensed Consolidated Financial Statements). Fee revenue from investment banking and other advisory activities increased $3 million, or 1%, as compared to the 2017 period. Asset management fees, including incentive fees, increased $11 million, or 4%, as compared to the 2017 period. In the aggregate, interest income, other revenue and interest expense decreased $13 million, or 81%, as compared to the 2017 period, primarily due to lower income attributable to investments.</w:t>
      </w:r>
    </w:p>
    <w:p>
      <w:pPr>
        <w:spacing w:after="0" w:line="173"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Compensation and benefits expense decreased $17 million, or 5%, as compared to the 2017 period, primarily associated with decreased operating revenue.</w:t>
      </w:r>
    </w:p>
    <w:p>
      <w:pPr>
        <w:spacing w:after="0" w:line="170"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$336 million, a decrease of $16 million, or 4%, as compared to $352 million in the 2017 period. The ratio of adjusted compensation and benefits expense to operating revenue was 55.6% for the 2018 period, as compared to 56.1% for the 2017 period and 55.6% for the full-year 2017.</w:t>
      </w:r>
    </w:p>
    <w:p>
      <w:pPr>
        <w:spacing w:after="0" w:line="14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Non-compensation expense increased $30 million, or 25%, as compared to the 2017 period, primarily due to the impact of the new revenue recognition guidance discussed above and a charge relating to the redemption of a portion of the 2020 Notes in 2018. Adjusted non-compensation expense, which excludes such items, as well as costs related to the ERP system implementation, office space reorganization and noncontrolling interests, decreased $2 million, or 2%, as compared to the 2017 period. The ratio of adjusted non-compensation expense to operating revenue was 18.0% for the 2018 period, as compared to 17.7% for the 2017 period.</w:t>
      </w:r>
    </w:p>
    <w:p>
      <w:pPr>
        <w:spacing w:after="0" w:line="18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benefit of $1 million in the 2018 period, as compared to costs of $0.3 million in the 2017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$10 million, or 7%, as compared to the 2017 period.</w:t>
      </w:r>
    </w:p>
    <w:p>
      <w:pPr>
        <w:spacing w:after="0" w:line="225"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Earnings from operations decreased $4 million, or 3%, as compared to the 2017 period, and, as a percentage of operating revenue, was 26.5%, as compared to 26.2% in the 2017 period.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for income taxes reflects an effective tax rate of 18.8% for both the 2018 and 2017 periods.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$1 million as compared to the 2017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September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Group of $433 million, as compared to net income of $386 million in the 2017 period.</w:t>
      </w:r>
    </w:p>
    <w:p>
      <w:pPr>
        <w:spacing w:after="0" w:line="23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Net revenue increased $171 million, or 9%, with operating revenue increasing $95 million, or 5%, as compared to the 2017 period. Net revenue in the 2018 period reflects the adoption of new revenue recognition guidance (see Note 2 of Notes to Condensed Consolidated Financial Statements). Fee revenue from investment banking and other advisory activities increased $86 million, or 8%, as compared to the 2017 period, primarily due to an increase in M&amp;A Advisory revenue, partially offset by a decrease in Restructuring revenue. Asset management fees, including incentive fees, increased $118 million, or 14%, as compared to the 2017</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0" w:name="page51"/>
    <w:bookmarkEnd w:id="50"/>
    <w:p>
      <w:pPr>
        <w:ind w:right="540"/>
        <w:spacing w:after="0" w:line="264" w:lineRule="auto"/>
        <w:rPr>
          <w:sz w:val="20"/>
          <w:szCs w:val="20"/>
          <w:color w:val="auto"/>
        </w:rPr>
      </w:pPr>
      <w:r>
        <w:rPr>
          <w:rFonts w:ascii="Arial" w:cs="Arial" w:eastAsia="Arial" w:hAnsi="Arial"/>
          <w:sz w:val="18"/>
          <w:szCs w:val="18"/>
          <w:color w:val="auto"/>
        </w:rPr>
        <w:t>period, primarily due to an increase in average AUM, as well as the impact of the new revenue recognition guidance discussed above. In the aggregate, interest income, other revenue and interest expense decreased $33 million, or 77%, as compared to the 2017 period, primarily due to lower income attributable to investments held in connection with LFI.</w:t>
      </w:r>
    </w:p>
    <w:p>
      <w:pPr>
        <w:spacing w:after="0" w:line="18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Compensation and benefits expense increased $26 million, or 2%, as compared to the 2017 period, primarily associated with increased operating revenue.</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$1,150 million, an increase of $40 million, or 4%, as compared to $1,110 million in the 2017 period. The ratio of adjusted compensation and benefits expense to operating revenue was 55.7% for the 2018 period, as compared to 56.3% for the 2017 period and 55.6% for full-year 2017.</w:t>
      </w:r>
    </w:p>
    <w:p>
      <w:pPr>
        <w:spacing w:after="0" w:line="18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Non-compensation expense increased $107 million, or 30%, as compared to the 2017 period, primarily due to the impact of the new revenue recognition guidance discussed above, expenses associated with the ERP system implementation and a charge relating to the redemption of a portion of the 2020 Notes in 2018. Adjusted non-compensation expense, which excludes such items, as well as costs related to office space reorganization and noncontrolling interests, increased $8 million, or 2%, as compared to the 2017 period. The ratio of adjusted non-compensation expense to operating revenue was 16.4% for the 2018 period, as compared to 16.8% in the 2017 period.</w:t>
      </w:r>
    </w:p>
    <w:p>
      <w:pPr>
        <w:spacing w:after="0" w:line="18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benefit of $1 million in the 2018 period, as compared to costs of $2 million in the 2017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$40 million, or 8%, as compared to the 2017 period.</w:t>
      </w:r>
    </w:p>
    <w:p>
      <w:pPr>
        <w:spacing w:after="0" w:line="225"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Earnings from operations increased $47 million, or 9%, as compared to the 2017 period, and, as a percentage of operating revenue, was 27.9%, as compared to 26.9% in the 2017 period.</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14.7%, as compared to 17.3% for the 2017 period. The decrease in the effective tax rate is primarily due to an increase in excess net tax benefits related to share-based incentive compensation.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the 2017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4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40" w:firstLine="8"/>
        <w:spacing w:after="0" w:line="271" w:lineRule="auto"/>
        <w:tabs>
          <w:tab w:leader="none" w:pos="2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center"/>
              <w:ind w:left="399"/>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309,846</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305,890</w:t>
            </w:r>
          </w:p>
        </w:tc>
        <w:tc>
          <w:tcPr>
            <w:tcW w:w="2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1,137,781</w:t>
            </w:r>
          </w:p>
        </w:tc>
        <w:tc>
          <w:tcPr>
            <w:tcW w:w="2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1,052,206</w:t>
            </w: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253,602</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243,421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900,397</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814,068</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56,244</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62,469</w:t>
            </w:r>
          </w:p>
        </w:tc>
        <w:tc>
          <w:tcPr>
            <w:tcW w:w="2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237,384</w:t>
            </w:r>
          </w:p>
        </w:tc>
        <w:tc>
          <w:tcPr>
            <w:tcW w:w="2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238,138</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170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1" w:name="page52"/>
    <w:bookmarkEnd w:id="51"/>
    <w:p>
      <w:pPr>
        <w:ind w:left="52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50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Number of clients with fees greater than $1 million: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79"/>
              </w:rPr>
              <w:t>80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77</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FF0FC"/>
          </w:tcPr>
          <w:p>
            <w:pPr>
              <w:spacing w:after="0"/>
              <w:rPr>
                <w:sz w:val="19"/>
                <w:szCs w:val="19"/>
                <w:color w:val="auto"/>
              </w:rPr>
            </w:pPr>
          </w:p>
        </w:tc>
      </w:tr>
      <w:tr>
        <w:trPr>
          <w:trHeight w:val="215"/>
        </w:trPr>
        <w:tc>
          <w:tcPr>
            <w:tcW w:w="6540" w:type="dxa"/>
            <w:vAlign w:val="bottom"/>
            <w:gridSpan w:val="3"/>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540" w:type="dxa"/>
            <w:vAlign w:val="bottom"/>
            <w:gridSpan w:val="3"/>
          </w:tcPr>
          <w:p>
            <w:pPr>
              <w:ind w:left="140"/>
              <w:spacing w:after="0"/>
              <w:rPr>
                <w:sz w:val="20"/>
                <w:szCs w:val="20"/>
                <w:color w:val="auto"/>
              </w:rPr>
            </w:pPr>
            <w:r>
              <w:rPr>
                <w:rFonts w:ascii="Arial" w:cs="Arial" w:eastAsia="Arial" w:hAnsi="Arial"/>
                <w:sz w:val="18"/>
                <w:szCs w:val="18"/>
                <w:color w:val="auto"/>
              </w:rPr>
              <w:t>clients</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29%</w:t>
            </w:r>
          </w:p>
        </w:tc>
        <w:tc>
          <w:tcPr>
            <w:tcW w:w="82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37%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5"/>
        </w:trPr>
        <w:tc>
          <w:tcPr>
            <w:tcW w:w="6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5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79"/>
              </w:rPr>
              <w:t>18</w:t>
            </w: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17</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October 5, 2018.</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EMEA</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September 30, 2017</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Financial Advisory net revenue increased $4 million, or 1%, as compared to the 2017 period. Clients which in the aggregate represented a significant portion of our Financial Advisory revenue in the 2018 period included Accruent, CDH Investments, Cirsa, Claire’s Stores, Daily Mail &amp; General Trust, Dalmore Capital and Equitix, Quality Care Properties, Servier and Sky.</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increased $10 million, or 4%, as compared to the 2017 period.</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Financial Advisory operating income was $56 million, a decrease of $6 million, or 10%, as compared to operating income in the 2017 period and, as a percentage of net revenue, was 18.2%, as compared to 20.4% in the 2017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September 30, 2017</w:t>
      </w:r>
    </w:p>
    <w:p>
      <w:pPr>
        <w:spacing w:after="0" w:line="117"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Financial Advisory net revenue increased $85 million, or 8%, as compared to the 2017 period. The increase in Financial Advisory revenue was primarily a result of an increase in the number of transactions involving fees greater than $5 million, as compared to the 2017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2" w:name="page53"/>
    <w:bookmarkEnd w:id="52"/>
    <w:p>
      <w:pPr>
        <w:ind w:right="440" w:firstLine="518"/>
        <w:spacing w:after="0" w:line="277" w:lineRule="auto"/>
        <w:rPr>
          <w:sz w:val="20"/>
          <w:szCs w:val="20"/>
          <w:color w:val="auto"/>
        </w:rPr>
      </w:pPr>
      <w:r>
        <w:rPr>
          <w:rFonts w:ascii="Arial" w:cs="Arial" w:eastAsia="Arial" w:hAnsi="Arial"/>
          <w:sz w:val="18"/>
          <w:szCs w:val="18"/>
          <w:color w:val="auto"/>
        </w:rPr>
        <w:t>Operating expenses increased $86 million, or 11%, as compared to the 2017 period, primarily due to an increase in compensation associated with increased operating revenue.</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Financial Advisory operating income was $237 million, a decrease of $1 million as compared to operating income of $238 million in the 2017 period and, as a percentage of net revenue, was 20.9%, as compared to 22.6% in the 2017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2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45,449</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46,088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43,663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70,696</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201,006</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4,745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34,390</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35,080</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240,087</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Total AUM at September 30, 2018 was $240 billion, a decrease of $9 billion, or 4%, as compared to total AUM of $249 billion at December 31, 2017, primarily due to foreign exchange depreciation, net outflows and market depreciation. Average AUM for the three month and nine month periods ended September 30, 2018 increased 3% and 12%, respectively, as compared to the three month and nine month periods ended September 30, 2017, respectively.</w:t>
      </w:r>
    </w:p>
    <w:p>
      <w:pPr>
        <w:spacing w:after="0" w:line="14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As of September 30, 2018, approximately 87% of our AUM was managed on behalf of institutional clients, including corporations, labor unions, public pension funds, insurance companies and banks, and through sub-advisory relationships, mutual fund sponsors, broker-dealers and registered advisors, compared to approximately 88% as of December 31, 2017. As of September 30, 2018, approximately 13% of our AUM was managed on behalf of individual client relationships, which are principally with family offices and individuals, compared to 12% at December 31, 2017.</w:t>
      </w:r>
    </w:p>
    <w:p>
      <w:pPr>
        <w:spacing w:after="0" w:line="17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September 30, 2018, AUM with foreign currency exposure represented approximately 70% of our total AUM as compared to 74% at December 31, 2017.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7"/>
          <w:szCs w:val="17"/>
          <w:color w:val="auto"/>
        </w:rPr>
        <w:t>The following is a summary of changes in AUM by asset class for the three month and nine month periods ended September 30, 2018 and 2017:</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w w:val="96"/>
              </w:rPr>
              <w:t>Three Months Ended September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(7,704)</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(563)</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320" w:hanging="372"/>
        <w:spacing w:after="0" w:line="259"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Global and Local platforms. Outflows in the Equity asset class were primarily attributable to the Emerging Markets, Multi-Regional and Global platforms and outflows in the Fixed Income asset class were primarily attributable to the Emerging Markets and Local platforms.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w w:val="98"/>
              </w:rPr>
              <w:t>Nine Months Ended September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(28,157)</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(3,308)</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(6,052)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(1,383)</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00" w:hanging="372"/>
        <w:spacing w:after="0" w:line="25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Emerging Markets, Global and Local platforms. Outflows in the Equity asset class were primarily attributable to the Multi-Regional, Emerging Markets and Global equity platforms, and outflows in the Fixed Income asset class were primarily attributable to the Emerging Markets, Global and Multi-Regional platforms.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(8,769)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(592)</w:t>
            </w: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jc w:val="center"/>
              <w:ind w:right="10"/>
              <w:spacing w:after="0"/>
              <w:rPr>
                <w:sz w:val="20"/>
                <w:szCs w:val="20"/>
                <w:color w:val="auto"/>
              </w:rPr>
            </w:pPr>
            <w:r>
              <w:rPr>
                <w:rFonts w:ascii="Arial" w:cs="Arial" w:eastAsia="Arial" w:hAnsi="Arial"/>
                <w:sz w:val="14"/>
                <w:szCs w:val="14"/>
                <w:b w:val="1"/>
                <w:bCs w:val="1"/>
                <w:color w:val="auto"/>
                <w:w w:val="93"/>
              </w:rPr>
              <w:t>Nine Months Ended September 30, 2017</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(25,505)</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33,679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52</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4" w:name="page55"/>
    <w:bookmarkEnd w:id="54"/>
    <w:p>
      <w:pPr>
        <w:ind w:right="560" w:firstLine="518"/>
        <w:spacing w:after="0" w:line="277" w:lineRule="auto"/>
        <w:rPr>
          <w:sz w:val="20"/>
          <w:szCs w:val="20"/>
          <w:color w:val="auto"/>
        </w:rPr>
      </w:pPr>
      <w:r>
        <w:rPr>
          <w:rFonts w:ascii="Arial" w:cs="Arial" w:eastAsia="Arial" w:hAnsi="Arial"/>
          <w:sz w:val="18"/>
          <w:szCs w:val="18"/>
          <w:color w:val="auto"/>
        </w:rPr>
        <w:t>As of October 19, 2018, AUM was $229.7 billion, a $10.4 billion decrease since September 30, 2018. The decrease in AUM was due to market depreciation of $9.7 billion, foreign exchange depreciation of $0.6 billion and net outflows of $0.1 billion.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Average AUM for the three month and nine month periods ended September 30, 2018 and 2017 for each significant asset class is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Average AUM generally represents the average of the monthly ending AUM balances for the period.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200,864</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195,131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206,629</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183,630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33,907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239,897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233,808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246,920</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325,240</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320,487</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1,032,111</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913,728</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211,564</w:t>
            </w:r>
          </w:p>
        </w:tc>
        <w:tc>
          <w:tcPr>
            <w:tcW w:w="3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217,233</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670,794</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621,885</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113,676</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103,254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361,317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291,843</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EMEA</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September 30, 2017</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Asset Management net revenue increased $5 million, or 1%, as compared to the 2017 period. Management fees and other revenue was $323 million, an increase of $6 million, or 2%, as compared to $317 million in the 2017 period, primarily due to the impact of the new revenue recognition guidance discussed above, partially offset by a change in the mix of average AUM. Incentive fees were $2 million, a decrease of $1 million as compared to $3 million in the 2017 period.</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Operating expenses decreased $6 million, or 3%, as compared to the 2017 period, primarily due to a decrease in compensation and benefits expense, partially offset by the impact of the new revenue recognition guidance.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240" w:firstLine="518"/>
        <w:spacing w:after="0" w:line="277" w:lineRule="auto"/>
        <w:rPr>
          <w:sz w:val="20"/>
          <w:szCs w:val="20"/>
          <w:color w:val="auto"/>
        </w:rPr>
      </w:pPr>
      <w:r>
        <w:rPr>
          <w:rFonts w:ascii="Arial" w:cs="Arial" w:eastAsia="Arial" w:hAnsi="Arial"/>
          <w:sz w:val="18"/>
          <w:szCs w:val="18"/>
          <w:color w:val="auto"/>
        </w:rPr>
        <w:t>Asset Management operating income was $114 million, an increase of $10 million, or 10%, as compared to operating income of $103 million in the 2017 period and, as a percentage of net revenue, was 35.0%, as compared to 32.2% in the 2017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September 30, 2017</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Asset Management net revenue increased $118 million, or 13%, as compared to the 2017 period. Management fees and other revenue was $1,012 million, an increase of $125 million, or 14%, as compared to $887 million in the 2017 period, primarily due to an increase in average AUM, as well as the impact of the new revenue recognition guidance discussed above. Incentive fees were $20 million, a decrease of $7 million as compared to $27 million in the 2017 period.</w:t>
      </w:r>
    </w:p>
    <w:p>
      <w:pPr>
        <w:spacing w:after="0" w:line="18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Operating expenses increased $49 million, or 8%, as compared to the 2017 period, primarily due to the impact of the new revenue recognition guidance.</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Asset Management operating income was $361 million, an increase of $69 million, or 24%, as compared to operating income of $292 million in the 2017 period and, as a percentage of net revenue, was 35.0%, as compared to 31.9% in the 2017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6,826</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(14,217)</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(13,976)</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(41,726)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(41,290)</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(11,543)</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(12,270)</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(34,900)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Revenue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9,664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33,899</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(10,074)</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(20,529)</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(85,203)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September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remained substantially unchanged as compared to the 2017.</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revenue decreased $8 million as compared to the 2017 period, primarily due to lower income in the 2018 period attributable to investments.</w:t>
      </w:r>
    </w:p>
    <w:p>
      <w:pPr>
        <w:spacing w:after="0" w:line="248"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Operating expenses increased $7 million as compared to the 2017 period, primarily due to a charge of $7 million relating to the redemption of a portion of the 2020 Notes in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September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decreased $3 million, or 7%, as compared to the 2017 period.</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Other revenue decreased $36 million as compared to the 2017 period, primarily due to lower income in the 2018 period attributable to investments held in connection with LFI.</w:t>
      </w:r>
    </w:p>
    <w:p>
      <w:pPr>
        <w:spacing w:after="0" w:line="170"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Operating expenses decreased $5 million as compared to the 2017 period, primarily due to a decrease in compensation and benefits expense, including a decrease in charges pertaining to LFI, partially offset by a charge of $7 million relating to the redemption of a portion of the 2020 Notes in 2018.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Cash flows also were affected in 2018 by Lazard Group’s issuance of $500 million aggregate principal amount of its 4.50% senior notes maturing in 2028 (the “2028 Notes”) and the redemption of a portion of the 2020 Notes.</w:t>
      </w:r>
    </w:p>
    <w:p>
      <w:pPr>
        <w:spacing w:after="0" w:line="7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8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11"/>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40" w:type="dxa"/>
            <w:vAlign w:val="bottom"/>
            <w:gridSpan w:val="10"/>
          </w:tcPr>
          <w:p>
            <w:pPr>
              <w:jc w:val="center"/>
              <w:ind w:right="1300"/>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40" w:type="dxa"/>
            <w:vAlign w:val="bottom"/>
            <w:gridSpan w:val="9"/>
          </w:tcPr>
          <w:p>
            <w:pPr>
              <w:jc w:val="center"/>
              <w:ind w:right="12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0" w:type="dxa"/>
            <w:vAlign w:val="bottom"/>
          </w:tcPr>
          <w:p>
            <w:pPr>
              <w:spacing w:after="0"/>
              <w:rPr>
                <w:sz w:val="13"/>
                <w:szCs w:val="13"/>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w w:val="95"/>
              </w:rPr>
              <w:t>(460)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3"/>
        </w:trPr>
        <w:tc>
          <w:tcPr>
            <w:tcW w:w="696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FF0FC"/>
            </w:tcBorders>
          </w:tcPr>
          <w:p>
            <w:pPr>
              <w:spacing w:after="0"/>
              <w:rPr>
                <w:sz w:val="19"/>
                <w:szCs w:val="19"/>
                <w:color w:val="auto"/>
              </w:rPr>
            </w:pPr>
          </w:p>
        </w:tc>
      </w:tr>
      <w:tr>
        <w:trPr>
          <w:trHeight w:val="223"/>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Financing activities (c)</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4"/>
          </w:tcPr>
          <w:p>
            <w:pPr>
              <w:jc w:val="right"/>
              <w:ind w:right="180"/>
              <w:spacing w:after="0"/>
              <w:rPr>
                <w:sz w:val="20"/>
                <w:szCs w:val="20"/>
                <w:color w:val="auto"/>
              </w:rPr>
            </w:pPr>
            <w:r>
              <w:rPr>
                <w:rFonts w:ascii="Arial" w:cs="Arial" w:eastAsia="Arial" w:hAnsi="Arial"/>
                <w:sz w:val="18"/>
                <w:szCs w:val="18"/>
                <w:color w:val="auto"/>
                <w:w w:val="95"/>
              </w:rPr>
              <w:t>(481)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(486)</w:t>
            </w: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(66)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r>
      <w:tr>
        <w:trPr>
          <w:trHeight w:val="223"/>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Net (Decrease) Increase in Cash and Cash Equivalents and Restricted Cash</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0"/>
              </w:rPr>
              <w:t>(285)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2,441</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FF0FC"/>
            </w:tcBorders>
          </w:tcPr>
          <w:p>
            <w:pPr>
              <w:spacing w:after="0"/>
              <w:rPr>
                <w:sz w:val="19"/>
                <w:szCs w:val="19"/>
                <w:color w:val="auto"/>
              </w:rPr>
            </w:pPr>
          </w:p>
        </w:tc>
      </w:tr>
      <w:tr>
        <w:trPr>
          <w:trHeight w:val="223"/>
        </w:trPr>
        <w:tc>
          <w:tcPr>
            <w:tcW w:w="696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50"/>
        </w:trPr>
        <w:tc>
          <w:tcPr>
            <w:tcW w:w="6960" w:type="dxa"/>
            <w:vAlign w:val="bottom"/>
            <w:gridSpan w:val="3"/>
          </w:tcPr>
          <w:p>
            <w:pPr>
              <w:spacing w:after="0"/>
              <w:rPr>
                <w:sz w:val="20"/>
                <w:szCs w:val="20"/>
                <w:color w:val="auto"/>
              </w:rPr>
            </w:pPr>
            <w:r>
              <w:rPr>
                <w:rFonts w:ascii="Arial" w:cs="Arial" w:eastAsia="Arial" w:hAnsi="Arial"/>
                <w:sz w:val="18"/>
                <w:szCs w:val="18"/>
                <w:color w:val="auto"/>
              </w:rPr>
              <w:t>(a)  Consists of the following:</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36"/>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7"/>
          </w:tcPr>
          <w:p>
            <w:pPr>
              <w:jc w:val="center"/>
              <w:ind w:left="338"/>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left="498"/>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5"/>
          </w:tcPr>
          <w:p>
            <w:pPr>
              <w:jc w:val="center"/>
              <w:ind w:left="498"/>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13"/>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and other acquisition-related (benefits) costs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13"/>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960" w:type="dxa"/>
            <w:vAlign w:val="bottom"/>
            <w:gridSpan w:val="3"/>
          </w:tcPr>
          <w:p>
            <w:pPr>
              <w:ind w:left="5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w:t>
            </w:r>
          </w:p>
        </w:tc>
        <w:tc>
          <w:tcPr>
            <w:tcW w:w="2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right="80" w:hanging="372"/>
        <w:spacing w:after="0" w:line="265"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primarily of purchases of shares of Class A common stock, tax withholdings related to the settlement of vested restricted stock units (“RSUs”), vested restricted stock awards and vested PRSUs, changes in customer deposits, distributions to members and noncontrolling interest holders and activity relating to borrowings (including in 2018, the redemption of a portion of the 2020 Notes and issuance of the 2028 Notes).</w:t>
      </w:r>
    </w:p>
    <w:p>
      <w:pPr>
        <w:ind w:left="380" w:right="120" w:hanging="372"/>
        <w:spacing w:after="0" w:line="261"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76"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See Note 2 of Notes to Condensed Consolidated Financial Statements for a discussion of new accounting guidance impacting the Condensed Consolidated Statements of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nine months of 2018, as reflected on the condensed consolidated statements of financial condition, both “deposits with banks and short-term investments” and “deposits and other customer payables” increased as compared to December 31, 2017, due to a higher level of LFB customer-related demand deposits, primarily from clients and funds managed by LFG.</w:t>
      </w:r>
    </w:p>
    <w:p>
      <w:pPr>
        <w:spacing w:after="0" w:line="1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regularly monitor our liquidity position, including cash levels, credit lines, principal investment commitments, interest and principal payments on debt, capital expenditures, distributions to members, purchases of shares of Class A common stock and matters relating to liquidity and to compliance with regulatory net capital requirements. At September 30, 2018, Lazard had approximately $1,103 million of cash, with such amount including approximately $602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 Although the Tax Act generally requires companies to pay a one-time repatriation tax on previously unremitted foreign earnings of certain non-U.S. corporate subsidiaries, most of the Company’s operations outside the U.S. are conducted in “pass-through” entities for U.S. income tax purposes, and the Company has already provided for U.S. income taxes on their earnings. As a result, the Company expects that no material amount of additional U.S. income taxes would be recognized as a result of the Tax Act’s one-time repatriation tax or otherwise upon the receipt of cash dividends or distributions of such earnings from our foreign operations.</w:t>
      </w:r>
    </w:p>
    <w:p>
      <w:pPr>
        <w:spacing w:after="0" w:line="178"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September 30, 2018, Lazard had approximately $169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 (at September 30, 2018 exchange rates).</w:t>
      </w:r>
    </w:p>
    <w:p>
      <w:pPr>
        <w:spacing w:after="0" w:line="187"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table below sets forth our corporate indebtedness as of September 30, 2018 and December 31, 2017. The agreements with respect to this indebtedness are discussed in more detail in our condensed consolidated financial statements and related notes included elsewhere in this Form 10-Q and in our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2018</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Lazard Group 2028 Senior Notes</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During September 2018, Lazard Group completed an offering of the 2028 Notes. Lazard Group used a portion of the net proceeds of the 2028 Notes to redeem or otherwise retire $250 million of the 2020 Notes.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September 30, 2018, Lazard Group was in compliance with such ratios, with its Consolidated Leverage Ratio being 1.32 to 1.00 and its Consolidated Interest Coverage Ratio being 21.20 to 1.00. In any event, no amounts were outstanding under the Amended and Restated Credit Agreement as of September 30, 2018.</w:t>
      </w:r>
    </w:p>
    <w:p>
      <w:pPr>
        <w:spacing w:after="0" w:line="192"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September 30, 2018,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At September 30, 2018, total members’ equity was $745 million, as compared to $907 million at December 31, 2017, including $691 million and $848 million attributable to Lazard Group on the respective dates. The net activity in members’ equity during the nine month period ended September 30, 2018 is reflected in the table below (in millions of dollars):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Members’ Equity - January 1, 2018</w:t>
            </w:r>
          </w:p>
        </w:tc>
        <w:tc>
          <w:tcPr>
            <w:tcW w:w="444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3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3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3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share-based incentive compensation</w:t>
            </w:r>
          </w:p>
        </w:tc>
        <w:tc>
          <w:tcPr>
            <w:tcW w:w="3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Purchase of Class A common stock</w:t>
            </w:r>
          </w:p>
        </w:tc>
        <w:tc>
          <w:tcPr>
            <w:tcW w:w="3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 of share-based incentive compensation (a)</w:t>
            </w:r>
          </w:p>
        </w:tc>
        <w:tc>
          <w:tcPr>
            <w:tcW w:w="3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w w:val="97"/>
              </w:rPr>
              <w:t>Distributions to members and noncontrolling interests, net</w:t>
            </w:r>
          </w:p>
        </w:tc>
        <w:tc>
          <w:tcPr>
            <w:tcW w:w="3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 net</w:t>
            </w:r>
          </w:p>
        </w:tc>
        <w:tc>
          <w:tcPr>
            <w:tcW w:w="37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580"/>
              <w:spacing w:after="0"/>
              <w:rPr>
                <w:sz w:val="20"/>
                <w:szCs w:val="20"/>
                <w:color w:val="auto"/>
              </w:rPr>
            </w:pPr>
            <w:r>
              <w:rPr>
                <w:rFonts w:ascii="Arial" w:cs="Arial" w:eastAsia="Arial" w:hAnsi="Arial"/>
                <w:sz w:val="18"/>
                <w:szCs w:val="18"/>
                <w:color w:val="auto"/>
              </w:rPr>
              <w:t>Members’ Equity - September 30, 2018</w:t>
            </w:r>
          </w:p>
        </w:tc>
        <w:tc>
          <w:tcPr>
            <w:tcW w:w="37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700" w:type="dxa"/>
            <w:vAlign w:val="bottom"/>
            <w:vMerge w:val="restart"/>
          </w:tcPr>
          <w:p>
            <w:pPr>
              <w:jc w:val="right"/>
              <w:ind w:right="3130"/>
              <w:spacing w:after="0"/>
              <w:rPr>
                <w:sz w:val="20"/>
                <w:szCs w:val="20"/>
                <w:color w:val="auto"/>
              </w:rPr>
            </w:pPr>
            <w:r>
              <w:rPr>
                <w:rFonts w:ascii="Arial" w:cs="Arial" w:eastAsia="Arial" w:hAnsi="Arial"/>
                <w:sz w:val="18"/>
                <w:szCs w:val="18"/>
                <w:color w:val="auto"/>
              </w:rPr>
              <w:t>57</w:t>
            </w: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59" w:name="page60"/>
    <w:bookmarkEnd w:id="59"/>
    <w:p>
      <w:pPr>
        <w:ind w:left="62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543560</wp:posOffset>
            </wp:positionH>
            <wp:positionV relativeFrom="page">
              <wp:posOffset>286385</wp:posOffset>
            </wp:positionV>
            <wp:extent cx="12090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9040" cy="8890"/>
                    </a:xfrm>
                    <a:prstGeom prst="rect">
                      <a:avLst/>
                    </a:prstGeom>
                    <a:noFill/>
                  </pic:spPr>
                </pic:pic>
              </a:graphicData>
            </a:graphic>
          </wp:anchor>
        </w:drawing>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570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5,838,520</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2018</w:t>
            </w:r>
          </w:p>
        </w:tc>
        <w:tc>
          <w:tcPr>
            <w:tcW w:w="57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5,797,789</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September 30, 2018, a total of $242 million of share repurchase authorization remained available under Lazard Ltd’s share repurchase program, which will expire on December 31, 2020.</w:t>
      </w:r>
    </w:p>
    <w:p>
      <w:pPr>
        <w:spacing w:after="0" w:line="170"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In addition, on October 24, 2018, the Board of Directors of Lazard authorized the repurchase of up to $300 million of additional shares of Class A common stock, which authorization will expire on December 31, 2020, bringing the total share repurchase authorization as of October 24, 2018 to approximately $524 million.</w:t>
      </w:r>
    </w:p>
    <w:p>
      <w:pPr>
        <w:spacing w:after="0" w:line="18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During the nine month period ended September 30, 2018, Lazard Ltd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Class A common stock, distributions to members and noncontrolling interest holders and repurchasing its outstanding debt.</w:t>
      </w:r>
    </w:p>
    <w:p>
      <w:pPr>
        <w:spacing w:after="0" w:line="14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members’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1,890,792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362,688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$28,796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 (b)</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892,590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172,606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135,367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500,855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(c)</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8,632</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8,632</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2,792,014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151,394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535,294</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232,117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160" w:hanging="372"/>
        <w:spacing w:after="0" w:line="277"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September 2018, Lazard Group completed an offering of $500,000 aggregate principal amount of the 2028 Notes. Interest on the 2028 Notes is payable semi-annually on March 19 and September 19 of each year, beginning March 19, 2019. Lazard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0" w:name="page61"/>
    <w:bookmarkEnd w:id="60"/>
    <w:p>
      <w:pPr>
        <w:ind w:left="380" w:right="780"/>
        <w:spacing w:after="0" w:line="277" w:lineRule="auto"/>
        <w:rPr>
          <w:sz w:val="20"/>
          <w:szCs w:val="20"/>
          <w:color w:val="auto"/>
        </w:rPr>
      </w:pPr>
      <w:r>
        <w:rPr>
          <w:rFonts w:ascii="Arial" w:cs="Arial" w:eastAsia="Arial" w:hAnsi="Arial"/>
          <w:sz w:val="18"/>
          <w:szCs w:val="18"/>
          <w:color w:val="auto"/>
        </w:rPr>
        <w:t>Group used a portion of the net proceeds of the 2028 Notes to redeem or otherwise retire $250,000 of the 2020 Notes. See Note 10 of Notes to Condensed Consolidated Financial Statements.</w:t>
      </w:r>
    </w:p>
    <w:p>
      <w:pPr>
        <w:spacing w:after="0" w:line="62" w:lineRule="exact"/>
        <w:rPr>
          <w:sz w:val="20"/>
          <w:szCs w:val="20"/>
          <w:color w:val="auto"/>
        </w:rPr>
      </w:pPr>
    </w:p>
    <w:p>
      <w:pPr>
        <w:ind w:left="380" w:right="100" w:hanging="372"/>
        <w:spacing w:after="0" w:line="277"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August 2018, the Company entered into a lease agreement for additional office facilities. Operating lease commitments in the table above include the impact of the new lease agreement. See Note 11 of Notes to Condensed Consolidated Financial Statements.</w:t>
      </w:r>
    </w:p>
    <w:p>
      <w:pPr>
        <w:spacing w:after="0" w:line="62" w:lineRule="exact"/>
        <w:rPr>
          <w:rFonts w:ascii="Arial" w:cs="Arial" w:eastAsia="Arial" w:hAnsi="Arial"/>
          <w:sz w:val="18"/>
          <w:szCs w:val="18"/>
          <w:color w:val="auto"/>
        </w:rPr>
      </w:pPr>
    </w:p>
    <w:p>
      <w:pPr>
        <w:ind w:left="380" w:hanging="372"/>
        <w:spacing w:after="0" w:line="264"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$15,257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right="200" w:hanging="372"/>
        <w:spacing w:after="0" w:line="312" w:lineRule="auto"/>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11, 13, 14, and 15 of Notes to Condensed Consolidated Financial Statements regarding information in connection with commitments, incentive plans, employee benefit plans, and income taxes,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61" w:name="page62"/>
    <w:bookmarkEnd w:id="61"/>
    <w:p>
      <w:pPr>
        <w:ind w:right="100"/>
        <w:spacing w:after="0" w:line="264" w:lineRule="auto"/>
        <w:rPr>
          <w:sz w:val="20"/>
          <w:szCs w:val="20"/>
          <w:color w:val="auto"/>
        </w:rPr>
      </w:pPr>
      <w:r>
        <w:rPr>
          <w:rFonts w:ascii="Arial" w:cs="Arial" w:eastAsia="Arial" w:hAnsi="Arial"/>
          <w:sz w:val="18"/>
          <w:szCs w:val="18"/>
          <w:color w:val="auto"/>
        </w:rPr>
        <w:t>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1, 2018, the Company adopted new revenue recognition guidance. See Notes 2 and 3 of Notes to Consolidated Financial Statements.</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2017, on a consolidated basis, we recorded gross deferred tax assets of approximately $133 million, with such amount partially offset by a valuation allowance of approximately $54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2" w:name="page63"/>
    <w:bookmarkEnd w:id="62"/>
    <w:p>
      <w:pPr>
        <w:ind w:right="40" w:firstLine="518"/>
        <w:spacing w:after="0" w:line="257" w:lineRule="auto"/>
        <w:rPr>
          <w:sz w:val="20"/>
          <w:szCs w:val="20"/>
          <w:color w:val="auto"/>
        </w:rPr>
      </w:pPr>
      <w:r>
        <w:rPr>
          <w:rFonts w:ascii="Arial" w:cs="Arial" w:eastAsia="Arial" w:hAnsi="Arial"/>
          <w:sz w:val="18"/>
          <w:szCs w:val="18"/>
          <w:color w:val="auto"/>
        </w:rPr>
        <w:t>Certain of our tax-paying entities have individually experienced losses on a cumulative three year basis.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$54 million of deferred tax assets held by these entities as of December 31, 2017.</w:t>
      </w:r>
    </w:p>
    <w:p>
      <w:pPr>
        <w:spacing w:after="0" w:line="188"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On January 1, 2017, we adopted new accounting guidance on share-based incentive compensation. As a result of the adoption of this new guidance, we recognized excess tax benefits of $14.1 million and $2.0 million from the vesting of share-based incentive compensation in the provision for income taxes in the condensed consolidated statements of operations for the nine month periods ended September 30, 2018 and 2017, respectively. Upon adoption of the new guidance, we also recorded deferred tax assets of $4.9 million, net of a valuation allowance of $12.1 million, for previously unrecognized excess tax benefits (including tax benefits from dividends or dividend equivalents) on share-based incentive compensation, with an offsetting adjustment to retained earnings. See Note 15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w:t>
      </w:r>
    </w:p>
    <w:p>
      <w:pPr>
        <w:spacing w:after="0" w:line="16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On December 22, 2017,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 The reduced corporate tax rate required us to remeasure our deferred tax assets and liabilities. See Note 15 of Notes to Condensed Consolidated Financial Statements for additional information regarding the impact of the Tax Act on us.</w:t>
      </w:r>
    </w:p>
    <w:p>
      <w:pPr>
        <w:spacing w:after="0" w:line="16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15 of Notes to Condensed Consolidated Financial Statements for additional information related to income taxes.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00" w:type="dxa"/>
            <w:vAlign w:val="bottom"/>
            <w:gridSpan w:val="2"/>
          </w:tcPr>
          <w:p>
            <w:pPr>
              <w:ind w:left="260"/>
              <w:spacing w:after="0"/>
              <w:rPr>
                <w:sz w:val="20"/>
                <w:szCs w:val="20"/>
                <w:color w:val="auto"/>
              </w:rPr>
            </w:pPr>
            <w:r>
              <w:rPr>
                <w:rFonts w:ascii="Arial" w:cs="Arial" w:eastAsia="Arial" w:hAnsi="Arial"/>
                <w:sz w:val="18"/>
                <w:szCs w:val="18"/>
                <w:color w:val="auto"/>
              </w:rPr>
              <w:t>Equities (a)</w:t>
            </w:r>
          </w:p>
        </w:tc>
        <w:tc>
          <w:tcPr>
            <w:tcW w:w="2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87,383</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111,067</w:t>
            </w: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Alternative investments</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104,286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134,674</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57,457</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 and other (c)</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226,041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23,780</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investments owned</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270,860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81,793</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2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375,146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216,467</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Add:</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(d)</w:t>
            </w:r>
          </w:p>
        </w:tc>
        <w:tc>
          <w:tcPr>
            <w:tcW w:w="2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19,222</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(e)</w:t>
            </w:r>
          </w:p>
        </w:tc>
        <w:tc>
          <w:tcPr>
            <w:tcW w:w="2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219,074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191,497</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609,595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At September 30, 2018 and December 31, 2017, seed investments in directly owned equity securities were invested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1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Financials</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Pr>
          <w:p>
            <w:pPr>
              <w:ind w:left="240"/>
              <w:spacing w:after="0"/>
              <w:rPr>
                <w:sz w:val="20"/>
                <w:szCs w:val="20"/>
                <w:color w:val="auto"/>
              </w:rPr>
            </w:pPr>
            <w:r>
              <w:rPr>
                <w:rFonts w:ascii="Arial" w:cs="Arial" w:eastAsia="Arial" w:hAnsi="Arial"/>
                <w:sz w:val="18"/>
                <w:szCs w:val="18"/>
                <w:color w:val="auto"/>
              </w:rPr>
              <w:t>Industrial</w:t>
            </w: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r>
      <w:tr>
        <w:trPr>
          <w:trHeight w:val="230"/>
        </w:trPr>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tcPr>
          <w:p>
            <w:pPr>
              <w:spacing w:after="0"/>
              <w:rPr>
                <w:sz w:val="19"/>
                <w:szCs w:val="19"/>
                <w:color w:val="auto"/>
              </w:rPr>
            </w:pPr>
          </w:p>
        </w:tc>
      </w:tr>
      <w:tr>
        <w:trPr>
          <w:trHeight w:val="223"/>
        </w:trPr>
        <w:tc>
          <w:tcPr>
            <w:tcW w:w="6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69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42" w:lineRule="auto"/>
        <w:tabs>
          <w:tab w:leader="none" w:pos="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$28 million and $36 million as of September 30, 2018 and December 31, 2017, respectively.</w:t>
      </w:r>
    </w:p>
    <w:p>
      <w:pPr>
        <w:spacing w:after="0" w:line="15" w:lineRule="exact"/>
        <w:rPr>
          <w:rFonts w:ascii="Arial" w:cs="Arial" w:eastAsia="Arial" w:hAnsi="Arial"/>
          <w:sz w:val="16"/>
          <w:szCs w:val="16"/>
          <w:color w:val="auto"/>
        </w:rPr>
      </w:pPr>
    </w:p>
    <w:p>
      <w:pPr>
        <w:ind w:left="380" w:right="400" w:hanging="372"/>
        <w:spacing w:after="0" w:line="277"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September 30, 2018, includes investment in U.S. Treasury securities of approximately $199 million with original maturities of greater than three months and less than one year.</w:t>
      </w:r>
    </w:p>
    <w:p>
      <w:pPr>
        <w:spacing w:after="0" w:line="62" w:lineRule="exact"/>
        <w:rPr>
          <w:rFonts w:ascii="Arial" w:cs="Arial" w:eastAsia="Arial" w:hAnsi="Arial"/>
          <w:sz w:val="18"/>
          <w:szCs w:val="18"/>
          <w:color w:val="auto"/>
        </w:rPr>
      </w:pPr>
    </w:p>
    <w:p>
      <w:pPr>
        <w:ind w:left="380" w:right="160" w:hanging="372"/>
        <w:spacing w:after="0" w:line="264"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73" w:lineRule="exact"/>
        <w:rPr>
          <w:rFonts w:ascii="Arial" w:cs="Arial" w:eastAsia="Arial" w:hAnsi="Arial"/>
          <w:sz w:val="18"/>
          <w:szCs w:val="18"/>
          <w:color w:val="auto"/>
        </w:rPr>
      </w:pPr>
    </w:p>
    <w:p>
      <w:pPr>
        <w:ind w:left="380" w:right="20" w:hanging="372"/>
        <w:spacing w:after="0" w:line="276"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$53 million in five entities as of September 30, 2018, as compared to $53 million in two entities as of December 31, 2017.</w:t>
      </w:r>
    </w:p>
    <w:p>
      <w:pPr>
        <w:spacing w:after="0" w:line="17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At September 30, 2018 and December 31, 2017, total investments with a fair value of $609 million and $427 million, respectively, included $61 million and $80 million, respectively, or 10% and 19%,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ind w:right="40" w:firstLine="518"/>
        <w:spacing w:after="0" w:line="264" w:lineRule="auto"/>
        <w:rPr>
          <w:sz w:val="20"/>
          <w:szCs w:val="20"/>
          <w:color w:val="auto"/>
        </w:rPr>
      </w:pPr>
      <w:r>
        <w:rPr>
          <w:rFonts w:ascii="Arial" w:cs="Arial" w:eastAsia="Arial" w:hAnsi="Arial"/>
          <w:sz w:val="18"/>
          <w:szCs w:val="18"/>
          <w:color w:val="auto"/>
        </w:rPr>
        <w:t>As of September 30, 2018 and December 31, 2017, the Company held seed investments of approximately $104 million and $135 million, respectively. Seed investments held in entities in which the Company maintained a controlling interest were $30 million in eight entities as of September 30, 2018, as compared to $28 million in eight entities as of December 31, 2017.</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As of September 30, 2018 and December 31, 2017, the Company did not consolidate or deconsolidate any seed investment entities or LFI investment entities. As such, 100% of the recorded balance of seed investments and LFI investments as of September 30, 2018 and December 31, 2017 represented the Company’s economic interest in the seed investments. See “—Consolidation of Variable Interest Entities” below for more information on the Company’s policy regarding the consolidation of seed investment entities.</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100" w:hanging="379"/>
        <w:spacing w:after="0" w:line="30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Equity Market Price Risk—At September 30, 2018 and December 31, 2017, the Company’s exposure to equity market price risk in its investment portfolio, which primarily relates to investments in equity securities, equity funds and hedge funds, was approximately $98 million and $107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$0.7 million and</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$2.0 million in the carrying value of such investments as of September 30, 2018 and December 31, 2017, respectively, including the effect of the hedging transactions.</w:t>
      </w:r>
    </w:p>
    <w:p>
      <w:pPr>
        <w:spacing w:after="0" w:line="184"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Interest Rate/Credit Spread Risk—At September 30, 2018 and December 31, 2017, the Company’s exposure to interest rate and credit spread risk in its investment portfolio related to investments in debt securities or funds which invest primarily in debt securities was $245 million and $58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$1.4 million and $1.3 million in the carrying value of such investments as of September 30, 2018 and December 31, 2017, respectively, including the effect of the hedging transactions.</w:t>
      </w:r>
    </w:p>
    <w:p>
      <w:pPr>
        <w:spacing w:after="0" w:line="15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Foreign Exchange Rate Risk—At September 30, 2018 and December 31, 2017, the Company’s exposure to foreign exchange rate risk in its investment portfolio, which primarily relates to investments in foreign currency denominated equity and debt securities, was $45 million and $65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$0.0 million and $1.7 million in the carrying value of such investments as of September 30, 2018 and December 31, 2017, respectively, including the effect of the hedging transactions.</w:t>
      </w:r>
    </w:p>
    <w:p>
      <w:pPr>
        <w:spacing w:after="0" w:line="193"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September 30, 2018 and December 31, 2017, the Company’s exposure to changes in fair value of such investments was approximately $44 million and $57 million, respectively. The Company estimates that a hypothetical 10% adverse change in fair value would result in a decrease of approximately $4.4 million and $5.7 million in the carrying value of such investments as of September 30, 2018 and December 31, 2017, respectively.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September 30, 2018, total receivables amounted to $664 million, net of an allowance for doubtful accounts of $34 million. As of that date, Financial Advisory and Asset Management fees, receivables from Lazard Ltd subsidiaries, and customers and other receivables comprised 82%, 4%, and 14% of total receivables, respectively. At December 31, 2017, total receivables amounted to $589 million, net of an allowance for doubtful accounts of $24 million. As of that date, Financial Advisory and Asset Management fees, receivables from Lazard Ltd subsidiaries, and customers and other receivables comprised 83%, 3% and 14% of total receivables, respectively. At September 30, 2018 and December 31, 2017, the Company had receivables past due or deemed uncollectible of approximately $38 million and $35 million, respectively. See also “Critical Accounting Policies and Estimates—Revenue Recognition” above and Note 4 of Notes to Condensed Consolidated Financial Statements for additional information regarding receivables.</w:t>
      </w:r>
    </w:p>
    <w:p>
      <w:pPr>
        <w:spacing w:after="0" w:line="178" w:lineRule="exact"/>
        <w:rPr>
          <w:sz w:val="20"/>
          <w:szCs w:val="20"/>
          <w:color w:val="auto"/>
        </w:rPr>
      </w:pPr>
    </w:p>
    <w:p>
      <w:pPr>
        <w:jc w:val="both"/>
        <w:ind w:right="86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both September 30, 2018 and December 31, 2017, customer receivables included $61 million of LFB loans,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$7 million and $4 million at September 30, 2018 and December 31, 2017, respectively, and derivative liabilities, excluding the derivative liability arising from the Company’s obligation pertaining to LFI and other similar deferred compensation arrangements, amounted to $3 million and $16 million at such respective dates.</w:t>
      </w:r>
    </w:p>
    <w:p>
      <w:pPr>
        <w:spacing w:after="0" w:line="15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$204 million and $182 million at September 30, 2018 and December 31, 2017,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September 30, 2018, Lazard estimates that its annual operating income relating to cash and cash equivalents would increase by approximately $11 million in the event interest rates were to increase by 1% and decrease by approximately $11 million if rates were to decrease by 1%.</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of September 30, 2018, the Company’s cash and cash equivalents totaled approximately $1,103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(iii) in short-term certificates of deposit from such banks and (iv) in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7" w:name="page68"/>
    <w:bookmarkEnd w:id="67"/>
    <w:p>
      <w:pPr>
        <w:ind w:right="140"/>
        <w:spacing w:after="0" w:line="264" w:lineRule="auto"/>
        <w:rPr>
          <w:sz w:val="20"/>
          <w:szCs w:val="20"/>
          <w:color w:val="auto"/>
        </w:rPr>
      </w:pPr>
      <w:r>
        <w:rPr>
          <w:rFonts w:ascii="Arial" w:cs="Arial" w:eastAsia="Arial" w:hAnsi="Arial"/>
          <w:sz w:val="18"/>
          <w:szCs w:val="18"/>
          <w:color w:val="auto"/>
        </w:rPr>
        <w:t>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8" w:name="page69"/>
    <w:bookmarkEnd w:id="68"/>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20" w:type="dxa"/>
            <w:vAlign w:val="bottom"/>
            <w:gridSpan w:val="29"/>
          </w:tcPr>
          <w:p>
            <w:pPr>
              <w:ind w:left="4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400" w:type="dxa"/>
            <w:vAlign w:val="bottom"/>
            <w:gridSpan w:val="40"/>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3.1</w:t>
            </w:r>
          </w:p>
        </w:tc>
        <w:tc>
          <w:tcPr>
            <w:tcW w:w="10400" w:type="dxa"/>
            <w:vAlign w:val="bottom"/>
            <w:gridSpan w:val="40"/>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Certificate of Formation of the Registrant (incorporated by reference to Exhibit 3.1 to the Registrant’s Registration Statement (File No. 333-</w:t>
              </w:r>
            </w:hyperlink>
          </w:p>
        </w:tc>
      </w:tr>
      <w:tr>
        <w:trPr>
          <w:trHeight w:val="196"/>
        </w:trPr>
        <w:tc>
          <w:tcPr>
            <w:tcW w:w="1040" w:type="dxa"/>
            <w:vAlign w:val="bottom"/>
          </w:tcPr>
          <w:p>
            <w:pPr>
              <w:spacing w:after="0"/>
              <w:rPr>
                <w:sz w:val="17"/>
                <w:szCs w:val="17"/>
                <w:color w:val="auto"/>
              </w:rPr>
            </w:pPr>
          </w:p>
        </w:tc>
        <w:tc>
          <w:tcPr>
            <w:tcW w:w="101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126751) on Form S-4 filed on July 21, 2005).</w:t>
              </w:r>
            </w:hyperlink>
          </w:p>
        </w:tc>
        <w:tc>
          <w:tcPr>
            <w:tcW w:w="30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3.2</w:t>
            </w:r>
          </w:p>
        </w:tc>
        <w:tc>
          <w:tcPr>
            <w:tcW w:w="10080" w:type="dxa"/>
            <w:vAlign w:val="bottom"/>
            <w:tcBorders>
              <w:bottom w:val="single" w:sz="8" w:color="0000EE"/>
            </w:tcBorders>
            <w:gridSpan w:val="28"/>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Certificate of Amendment of Certificate of Formation of the Registrant, changing name to Lazard Group LLC (incorporated by reference to</w:t>
              </w:r>
            </w:hyperlink>
          </w:p>
        </w:tc>
        <w:tc>
          <w:tcPr>
            <w:tcW w:w="32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2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Exhibit 3.2 to the Registrant’s Registration Statement (File No. 333-126751) on Form S-4 filed on July 21, 2005).</w:t>
              </w:r>
            </w:hyperlink>
          </w:p>
        </w:tc>
        <w:tc>
          <w:tcPr>
            <w:tcW w:w="2180" w:type="dxa"/>
            <w:vAlign w:val="bottom"/>
            <w:gridSpan w:val="22"/>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3.3</w:t>
            </w:r>
          </w:p>
        </w:tc>
        <w:tc>
          <w:tcPr>
            <w:tcW w:w="10140" w:type="dxa"/>
            <w:vAlign w:val="bottom"/>
            <w:tcBorders>
              <w:bottom w:val="single" w:sz="8" w:color="0000EE"/>
            </w:tcBorders>
            <w:gridSpan w:val="30"/>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Amended and Restated Operating Agreement of the Registrant, dated as of October 26, 2015 (incorporated by reference to Exhibit 3.3 to the</w:t>
              </w:r>
            </w:hyperlink>
          </w:p>
        </w:tc>
        <w:tc>
          <w:tcPr>
            <w:tcW w:w="26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Registrant’s Quarterly Report (File No. 333-126751) on Form l0-Q filed on October 28, 2015).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3.4</w:t>
            </w:r>
          </w:p>
        </w:tc>
        <w:tc>
          <w:tcPr>
            <w:tcW w:w="10360" w:type="dxa"/>
            <w:vAlign w:val="bottom"/>
            <w:tcBorders>
              <w:bottom w:val="single" w:sz="8" w:color="0000EE"/>
            </w:tcBorders>
            <w:gridSpan w:val="38"/>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Amendment No.1 to Amended and Restated Operating Agreement of the Registrant, dated as of October 27, 2016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5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Exhibit 3.4 to the Registrant’s Quarterly Report on Form 10-Q filed on October 28, 2016).</w:t>
              </w:r>
            </w:hyperlink>
          </w:p>
        </w:tc>
        <w:tc>
          <w:tcPr>
            <w:tcW w:w="3880" w:type="dxa"/>
            <w:vAlign w:val="bottom"/>
            <w:gridSpan w:val="25"/>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4.1</w:t>
            </w:r>
          </w:p>
        </w:tc>
        <w:tc>
          <w:tcPr>
            <w:tcW w:w="9880" w:type="dxa"/>
            <w:vAlign w:val="bottom"/>
            <w:tcBorders>
              <w:bottom w:val="single" w:sz="8" w:color="0000EE"/>
            </w:tcBorders>
            <w:gridSpan w:val="24"/>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Indenture, dated as of May 10, 2005, by and between the Registrant and The Bank of New York, as Trustee (incorporated by reference to</w:t>
              </w:r>
            </w:hyperlink>
          </w:p>
        </w:tc>
        <w:tc>
          <w:tcPr>
            <w:tcW w:w="52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Exhibit 4.1 to the Registrant’s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36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4.2</w:t>
            </w:r>
          </w:p>
        </w:tc>
        <w:tc>
          <w:tcPr>
            <w:tcW w:w="9960" w:type="dxa"/>
            <w:vAlign w:val="bottom"/>
            <w:tcBorders>
              <w:bottom w:val="single" w:sz="8" w:color="0000EE"/>
            </w:tcBorders>
            <w:gridSpan w:val="25"/>
          </w:tcPr>
          <w:p>
            <w:pPr>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Fourth Supplemental Indenture, dated as of June 21, 2007, between the Registrant and The Bank of New York, as trustee (incorporated by</w:t>
              </w:r>
            </w:hyperlink>
          </w:p>
        </w:tc>
        <w:tc>
          <w:tcPr>
            <w:tcW w:w="44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reference to Exhibit 4.1 to the Registrant’s Current Report on Form 8-K (File No. 333-126751) filed on June 22, 2007).</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36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4.3</w:t>
            </w:r>
          </w:p>
        </w:tc>
        <w:tc>
          <w:tcPr>
            <w:tcW w:w="9580" w:type="dxa"/>
            <w:vAlign w:val="bottom"/>
            <w:tcBorders>
              <w:bottom w:val="single" w:sz="8" w:color="0000EE"/>
            </w:tcBorders>
            <w:gridSpan w:val="22"/>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Fifth Supplemental Indenture, dated as of November 14, 2013, between the Registrant and The Bank of New York Mellon, as trustee</w:t>
              </w:r>
            </w:hyperlink>
          </w:p>
        </w:tc>
        <w:tc>
          <w:tcPr>
            <w:tcW w:w="820" w:type="dxa"/>
            <w:vAlign w:val="bottom"/>
            <w:gridSpan w:val="1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(incorporated by reference to Exhibit 4.1 to the Registrant’s Current Report on Form 8-K (File No 333-126751) filed on November 14, 2013).</w:t>
              </w:r>
            </w:hyperlink>
          </w:p>
        </w:tc>
        <w:tc>
          <w:tcPr>
            <w:tcW w:w="140" w:type="dxa"/>
            <w:vAlign w:val="bottom"/>
            <w:gridSpan w:val="5"/>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4.4</w:t>
            </w:r>
          </w:p>
        </w:tc>
        <w:tc>
          <w:tcPr>
            <w:tcW w:w="9500" w:type="dxa"/>
            <w:vAlign w:val="bottom"/>
            <w:tcBorders>
              <w:bottom w:val="single" w:sz="8" w:color="0000EE"/>
            </w:tcBorders>
            <w:gridSpan w:val="21"/>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Sixth Supplemental Indenture, dated as of February 13, 2015, between the Registrant and The Bank of New York Mellon, as trustee</w:t>
              </w:r>
            </w:hyperlink>
          </w:p>
        </w:tc>
        <w:tc>
          <w:tcPr>
            <w:tcW w:w="900" w:type="dxa"/>
            <w:vAlign w:val="bottom"/>
            <w:gridSpan w:val="1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(incorporated by reference to Exhibit 4.1 of the Registrant’s Current Report on Form 8-K (File No. 333-126751) filed on February 13, 2015).</w:t>
              </w:r>
            </w:hyperlink>
          </w:p>
        </w:tc>
        <w:tc>
          <w:tcPr>
            <w:tcW w:w="220" w:type="dxa"/>
            <w:vAlign w:val="bottom"/>
            <w:gridSpan w:val="9"/>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4.5</w:t>
            </w:r>
          </w:p>
        </w:tc>
        <w:tc>
          <w:tcPr>
            <w:tcW w:w="10400" w:type="dxa"/>
            <w:vAlign w:val="bottom"/>
            <w:gridSpan w:val="40"/>
          </w:tcPr>
          <w:p>
            <w:pPr>
              <w:spacing w:after="0"/>
              <w:rPr>
                <w:rFonts w:ascii="Arial" w:cs="Arial" w:eastAsia="Arial" w:hAnsi="Arial"/>
                <w:sz w:val="18"/>
                <w:szCs w:val="18"/>
                <w:color w:val="0000EE"/>
                <w:w w:val="93"/>
              </w:rPr>
            </w:pPr>
            <w:hyperlink r:id="rId107">
              <w:r>
                <w:rPr>
                  <w:rFonts w:ascii="Arial" w:cs="Arial" w:eastAsia="Arial" w:hAnsi="Arial"/>
                  <w:sz w:val="18"/>
                  <w:szCs w:val="18"/>
                  <w:color w:val="0000EE"/>
                  <w:w w:val="93"/>
                </w:rPr>
                <w:t>Seventh Supplemental Indenture, dated as of November 4, 2016,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36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(incorporated by reference to Exhibit 4.1 of the Registrant’s Current Report on Form 8-K (File No. 333-126751) filed on November 7, 2016).</w:t>
              </w:r>
            </w:hyperlink>
          </w:p>
        </w:tc>
        <w:tc>
          <w:tcPr>
            <w:tcW w:w="200" w:type="dxa"/>
            <w:vAlign w:val="bottom"/>
            <w:gridSpan w:val="8"/>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4.6</w:t>
            </w:r>
          </w:p>
        </w:tc>
        <w:tc>
          <w:tcPr>
            <w:tcW w:w="10400" w:type="dxa"/>
            <w:vAlign w:val="bottom"/>
            <w:gridSpan w:val="40"/>
          </w:tcPr>
          <w:p>
            <w:pPr>
              <w:spacing w:after="0"/>
              <w:rPr>
                <w:rFonts w:ascii="Arial" w:cs="Arial" w:eastAsia="Arial" w:hAnsi="Arial"/>
                <w:sz w:val="18"/>
                <w:szCs w:val="18"/>
                <w:color w:val="0000EE"/>
                <w:w w:val="93"/>
              </w:rPr>
            </w:pPr>
            <w:hyperlink r:id="rId108">
              <w:r>
                <w:rPr>
                  <w:rFonts w:ascii="Arial" w:cs="Arial" w:eastAsia="Arial" w:hAnsi="Arial"/>
                  <w:sz w:val="18"/>
                  <w:szCs w:val="18"/>
                  <w:color w:val="0000EE"/>
                  <w:w w:val="93"/>
                </w:rPr>
                <w:t>Eighth Supplemental Indenture, dated as of September 19, 2018,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36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(incorporated by reference to Exhibit 4.1 to the Registrant’s Current Report on Form 8-K (File No. 333-126751) filed on September 19, 2018.</w:t>
              </w:r>
            </w:hyperlink>
          </w:p>
        </w:tc>
        <w:tc>
          <w:tcPr>
            <w:tcW w:w="160" w:type="dxa"/>
            <w:vAlign w:val="bottom"/>
            <w:gridSpan w:val="6"/>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4.7</w:t>
            </w:r>
          </w:p>
        </w:tc>
        <w:tc>
          <w:tcPr>
            <w:tcW w:w="10400" w:type="dxa"/>
            <w:vAlign w:val="bottom"/>
            <w:gridSpan w:val="40"/>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04">
              <w:r>
                <w:rPr>
                  <w:rFonts w:ascii="Arial" w:cs="Arial" w:eastAsia="Arial" w:hAnsi="Arial"/>
                  <w:sz w:val="18"/>
                  <w:szCs w:val="18"/>
                  <w:color w:val="0000EE"/>
                </w:rPr>
                <w:t>4.2</w:t>
              </w:r>
            </w:hyperlink>
            <w:r>
              <w:rPr>
                <w:rFonts w:ascii="Arial" w:cs="Arial" w:eastAsia="Arial" w:hAnsi="Arial"/>
                <w:sz w:val="18"/>
                <w:szCs w:val="18"/>
                <w:color w:val="auto"/>
              </w:rPr>
              <w:t xml:space="preserve">, </w:t>
            </w:r>
            <w:hyperlink r:id="rId105">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06">
              <w:r>
                <w:rPr>
                  <w:rFonts w:ascii="Arial" w:cs="Arial" w:eastAsia="Arial" w:hAnsi="Arial"/>
                  <w:sz w:val="18"/>
                  <w:szCs w:val="18"/>
                  <w:color w:val="0000EE"/>
                </w:rPr>
                <w:t>4.4</w:t>
              </w:r>
            </w:hyperlink>
            <w:r>
              <w:rPr>
                <w:rFonts w:ascii="Arial" w:cs="Arial" w:eastAsia="Arial" w:hAnsi="Arial"/>
                <w:sz w:val="18"/>
                <w:szCs w:val="18"/>
                <w:color w:val="auto"/>
              </w:rPr>
              <w:t xml:space="preserve">, </w:t>
            </w:r>
            <w:hyperlink r:id="rId107">
              <w:r>
                <w:rPr>
                  <w:rFonts w:ascii="Arial" w:cs="Arial" w:eastAsia="Arial" w:hAnsi="Arial"/>
                  <w:sz w:val="18"/>
                  <w:szCs w:val="18"/>
                  <w:color w:val="0000EE"/>
                </w:rPr>
                <w:t>4.5</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08">
              <w:r>
                <w:rPr>
                  <w:rFonts w:ascii="Arial" w:cs="Arial" w:eastAsia="Arial" w:hAnsi="Arial"/>
                  <w:sz w:val="18"/>
                  <w:szCs w:val="18"/>
                  <w:color w:val="0000EE"/>
                </w:rPr>
                <w:t>4.6</w:t>
              </w:r>
            </w:hyperlink>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1"/>
              </w:rPr>
              <w:t>10.1</w:t>
            </w:r>
          </w:p>
        </w:tc>
        <w:tc>
          <w:tcPr>
            <w:tcW w:w="10340" w:type="dxa"/>
            <w:vAlign w:val="bottom"/>
            <w:tcBorders>
              <w:bottom w:val="single" w:sz="8" w:color="0000EE"/>
            </w:tcBorders>
            <w:gridSpan w:val="37"/>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7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Exhibit 10.19 to Lazard Ltd’s Registration Statement (File No. 333-121407) on Form S-1/A filed on February 11, 2005).</w:t>
              </w:r>
            </w:hyperlink>
          </w:p>
        </w:tc>
        <w:tc>
          <w:tcPr>
            <w:tcW w:w="1700" w:type="dxa"/>
            <w:vAlign w:val="bottom"/>
            <w:gridSpan w:val="20"/>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1"/>
              </w:rPr>
              <w:t>10.2</w:t>
            </w:r>
          </w:p>
        </w:tc>
        <w:tc>
          <w:tcPr>
            <w:tcW w:w="10380" w:type="dxa"/>
            <w:vAlign w:val="bottom"/>
            <w:tcBorders>
              <w:bottom w:val="single" w:sz="8" w:color="0000EE"/>
            </w:tcBorders>
            <w:gridSpan w:val="39"/>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Fourth Amendment dated as of February 16, 2011, by and among RCPI Landmark Properties, L.L.C. (as the successor in interest to Rockefeller</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20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22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2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Exhibit 10.15 to the Registrant’s Quarterly Report (File No. 333-126751) on Form 10-Q filed on April 29, 2011).</w:t>
              </w:r>
            </w:hyperlink>
          </w:p>
        </w:tc>
        <w:tc>
          <w:tcPr>
            <w:tcW w:w="2200" w:type="dxa"/>
            <w:vAlign w:val="bottom"/>
            <w:gridSpan w:val="23"/>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10.3*</w:t>
            </w:r>
          </w:p>
        </w:tc>
        <w:tc>
          <w:tcPr>
            <w:tcW w:w="10400" w:type="dxa"/>
            <w:vAlign w:val="bottom"/>
            <w:gridSpan w:val="40"/>
          </w:tcPr>
          <w:p>
            <w:pPr>
              <w:spacing w:after="0"/>
              <w:rPr>
                <w:rFonts w:ascii="Arial" w:cs="Arial" w:eastAsia="Arial" w:hAnsi="Arial"/>
                <w:sz w:val="18"/>
                <w:szCs w:val="18"/>
                <w:color w:val="0000EE"/>
                <w:w w:val="95"/>
              </w:rPr>
            </w:pPr>
            <w:hyperlink r:id="rId111">
              <w:r>
                <w:rPr>
                  <w:rFonts w:ascii="Arial" w:cs="Arial" w:eastAsia="Arial" w:hAnsi="Arial"/>
                  <w:sz w:val="18"/>
                  <w:szCs w:val="18"/>
                  <w:color w:val="0000EE"/>
                  <w:w w:val="95"/>
                </w:rPr>
                <w:t>Lazard Ltd’s 2005 Equity Incentive Plan (incorporated by reference to Exhibit 10.21 to Lazard Ltd’s Registration Statement (File No. 333-</w:t>
              </w:r>
            </w:hyperlink>
          </w:p>
        </w:tc>
      </w:tr>
      <w:tr>
        <w:trPr>
          <w:trHeight w:val="196"/>
        </w:trPr>
        <w:tc>
          <w:tcPr>
            <w:tcW w:w="1040" w:type="dxa"/>
            <w:vAlign w:val="bottom"/>
          </w:tcPr>
          <w:p>
            <w:pPr>
              <w:spacing w:after="0"/>
              <w:rPr>
                <w:sz w:val="17"/>
                <w:szCs w:val="17"/>
                <w:color w:val="auto"/>
              </w:rPr>
            </w:pPr>
          </w:p>
        </w:tc>
        <w:tc>
          <w:tcPr>
            <w:tcW w:w="100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121407) on Form S-1/A filed on May 2, 2005).</w:t>
              </w:r>
            </w:hyperlink>
          </w:p>
        </w:tc>
        <w:tc>
          <w:tcPr>
            <w:tcW w:w="400" w:type="dxa"/>
            <w:vAlign w:val="bottom"/>
            <w:gridSpan w:val="1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0" w:type="dxa"/>
            <w:vAlign w:val="bottom"/>
            <w:gridSpan w:val="11"/>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10.4*</w:t>
            </w:r>
          </w:p>
        </w:tc>
        <w:tc>
          <w:tcPr>
            <w:tcW w:w="10400" w:type="dxa"/>
            <w:vAlign w:val="bottom"/>
            <w:gridSpan w:val="40"/>
          </w:tcPr>
          <w:p>
            <w:pPr>
              <w:spacing w:after="0"/>
              <w:rPr>
                <w:rFonts w:ascii="Arial" w:cs="Arial" w:eastAsia="Arial" w:hAnsi="Arial"/>
                <w:sz w:val="18"/>
                <w:szCs w:val="18"/>
                <w:color w:val="0000EE"/>
                <w:w w:val="98"/>
              </w:rPr>
            </w:pPr>
            <w:hyperlink r:id="rId112">
              <w:r>
                <w:rPr>
                  <w:rFonts w:ascii="Arial" w:cs="Arial" w:eastAsia="Arial" w:hAnsi="Arial"/>
                  <w:sz w:val="18"/>
                  <w:szCs w:val="18"/>
                  <w:color w:val="0000EE"/>
                  <w:w w:val="98"/>
                </w:rPr>
                <w:t>Lazard Ltd’s 2008 Incentive Compensation Plan (incorporated by reference to Annex B to Lazard Ltd’s Definitive Proxy Statement on</w:t>
              </w:r>
            </w:hyperlink>
          </w:p>
        </w:tc>
      </w:tr>
      <w:tr>
        <w:trPr>
          <w:trHeight w:val="196"/>
        </w:trPr>
        <w:tc>
          <w:tcPr>
            <w:tcW w:w="10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Schedule 14A (File No. 001-32492) filed on March 24, 2008).</w:t>
              </w:r>
            </w:hyperlink>
          </w:p>
        </w:tc>
        <w:tc>
          <w:tcPr>
            <w:tcW w:w="5200" w:type="dxa"/>
            <w:vAlign w:val="bottom"/>
            <w:tcBorders>
              <w:top w:val="single" w:sz="8" w:color="0000EE"/>
            </w:tcBorders>
            <w:gridSpan w:val="11"/>
          </w:tcPr>
          <w:p>
            <w:pPr>
              <w:spacing w:after="0"/>
              <w:rPr>
                <w:sz w:val="17"/>
                <w:szCs w:val="17"/>
                <w:color w:val="auto"/>
              </w:rPr>
            </w:pPr>
          </w:p>
        </w:tc>
        <w:tc>
          <w:tcPr>
            <w:tcW w:w="700" w:type="dxa"/>
            <w:vAlign w:val="bottom"/>
            <w:gridSpan w:val="17"/>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10.5*</w:t>
            </w:r>
          </w:p>
        </w:tc>
        <w:tc>
          <w:tcPr>
            <w:tcW w:w="10240" w:type="dxa"/>
            <w:vAlign w:val="bottom"/>
            <w:tcBorders>
              <w:bottom w:val="single" w:sz="8" w:color="0000EE"/>
            </w:tcBorders>
            <w:gridSpan w:val="34"/>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Lazard Ltd’s 2016 French Sub-plan (incorporated by reference to Annex B to Lazard Ltd’s Definitive Proxy Statement on Schedule 14A (File</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No. 001-32492) filed on March 10, 2016).</w:t>
              </w:r>
            </w:hyperlink>
          </w:p>
        </w:tc>
        <w:tc>
          <w:tcPr>
            <w:tcW w:w="7340" w:type="dxa"/>
            <w:vAlign w:val="bottom"/>
            <w:gridSpan w:val="39"/>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10.6*</w:t>
            </w:r>
          </w:p>
        </w:tc>
        <w:tc>
          <w:tcPr>
            <w:tcW w:w="10400" w:type="dxa"/>
            <w:vAlign w:val="bottom"/>
            <w:gridSpan w:val="40"/>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Lazard Ltd 2018 Incentive Compensation Plan (incorporated by reference to Annex B to Lazard Ltd’s Definitive Proxy Statement on Schedule</w:t>
              </w:r>
            </w:hyperlink>
          </w:p>
        </w:tc>
      </w:tr>
      <w:tr>
        <w:trPr>
          <w:trHeight w:val="196"/>
        </w:trPr>
        <w:tc>
          <w:tcPr>
            <w:tcW w:w="10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14A (File No. 001-32492) filed on March 15, 2018).</w:t>
              </w:r>
            </w:hyperlink>
          </w:p>
        </w:tc>
        <w:tc>
          <w:tcPr>
            <w:tcW w:w="6460" w:type="dxa"/>
            <w:vAlign w:val="bottom"/>
            <w:tcBorders>
              <w:top w:val="single" w:sz="8" w:color="0000EE"/>
            </w:tcBorders>
            <w:gridSpan w:val="28"/>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10.7*</w:t>
            </w:r>
          </w:p>
        </w:tc>
        <w:tc>
          <w:tcPr>
            <w:tcW w:w="10220" w:type="dxa"/>
            <w:vAlign w:val="bottom"/>
            <w:tcBorders>
              <w:bottom w:val="single" w:sz="8" w:color="0000EE"/>
            </w:tcBorders>
            <w:gridSpan w:val="33"/>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40"/>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the Registrant, Lazard Ltd and Kenneth M. Jacobs (incorporated by reference to Exhibit 10.7 to the Registrant’s Quarterly Report (File No.</w:t>
              </w:r>
            </w:hyperlink>
          </w:p>
        </w:tc>
      </w:tr>
      <w:tr>
        <w:trPr>
          <w:trHeight w:val="196"/>
        </w:trPr>
        <w:tc>
          <w:tcPr>
            <w:tcW w:w="10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333-126751) on Form 10-Q filed on April 27, 2016).</w:t>
              </w:r>
            </w:hyperlink>
          </w:p>
        </w:tc>
        <w:tc>
          <w:tcPr>
            <w:tcW w:w="6220" w:type="dxa"/>
            <w:vAlign w:val="bottom"/>
            <w:tcBorders>
              <w:top w:val="single" w:sz="8" w:color="0000EE"/>
            </w:tcBorders>
            <w:gridSpan w:val="19"/>
          </w:tcPr>
          <w:p>
            <w:pPr>
              <w:spacing w:after="0"/>
              <w:rPr>
                <w:sz w:val="17"/>
                <w:szCs w:val="17"/>
                <w:color w:val="auto"/>
              </w:rPr>
            </w:pPr>
          </w:p>
        </w:tc>
        <w:tc>
          <w:tcPr>
            <w:tcW w:w="360" w:type="dxa"/>
            <w:vAlign w:val="bottom"/>
            <w:gridSpan w:val="13"/>
          </w:tcPr>
          <w:p>
            <w:pPr>
              <w:spacing w:after="0"/>
              <w:rPr>
                <w:sz w:val="17"/>
                <w:szCs w:val="17"/>
                <w:color w:val="auto"/>
              </w:rPr>
            </w:pPr>
          </w:p>
        </w:tc>
      </w:tr>
      <w:tr>
        <w:trPr>
          <w:trHeight w:val="534"/>
        </w:trPr>
        <w:tc>
          <w:tcPr>
            <w:tcW w:w="1040" w:type="dxa"/>
            <w:vAlign w:val="bottom"/>
          </w:tcPr>
          <w:p>
            <w:pPr>
              <w:spacing w:after="0"/>
              <w:rPr>
                <w:sz w:val="24"/>
                <w:szCs w:val="24"/>
                <w:color w:val="auto"/>
              </w:rPr>
            </w:pPr>
          </w:p>
        </w:tc>
        <w:tc>
          <w:tcPr>
            <w:tcW w:w="4840" w:type="dxa"/>
            <w:vAlign w:val="bottom"/>
            <w:gridSpan w:val="14"/>
          </w:tcPr>
          <w:p>
            <w:pPr>
              <w:ind w:left="4580"/>
              <w:spacing w:after="0"/>
              <w:rPr>
                <w:sz w:val="20"/>
                <w:szCs w:val="20"/>
                <w:color w:val="auto"/>
              </w:rPr>
            </w:pPr>
            <w:r>
              <w:rPr>
                <w:rFonts w:ascii="Arial" w:cs="Arial" w:eastAsia="Arial" w:hAnsi="Arial"/>
                <w:sz w:val="18"/>
                <w:szCs w:val="18"/>
                <w:color w:val="auto"/>
              </w:rPr>
              <w:t>68</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040" w:type="dxa"/>
            <w:vAlign w:val="bottom"/>
          </w:tcPr>
          <w:p>
            <w:pPr>
              <w:ind w:left="140"/>
              <w:spacing w:after="0"/>
              <w:rPr>
                <w:sz w:val="20"/>
                <w:szCs w:val="20"/>
                <w:color w:val="auto"/>
              </w:rPr>
            </w:pPr>
            <w:r>
              <w:rPr>
                <w:rFonts w:ascii="Arial" w:cs="Arial" w:eastAsia="Arial" w:hAnsi="Arial"/>
                <w:sz w:val="18"/>
                <w:szCs w:val="18"/>
                <w:color w:val="auto"/>
              </w:rPr>
              <w:t>10.8*</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the Registrant, Lazard Ltd and Ashish Bhutani (incorporated by reference to Exhibit 10.8 to the Registrant’s Quarterly Report (File No. 333-</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10.9*</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the Registrant, Lazard Ltd and Matthieu Bucaille (incorporated by reference to Exhibit 10.9 to the Registrant’s Quarterly Report (File No 333-</w:t>
              </w:r>
            </w:hyperlink>
          </w:p>
        </w:tc>
      </w:tr>
      <w:tr>
        <w:trPr>
          <w:trHeight w:val="196"/>
        </w:trPr>
        <w:tc>
          <w:tcPr>
            <w:tcW w:w="1040" w:type="dxa"/>
            <w:vAlign w:val="bottom"/>
          </w:tcPr>
          <w:p>
            <w:pPr>
              <w:spacing w:after="0"/>
              <w:rPr>
                <w:sz w:val="17"/>
                <w:szCs w:val="17"/>
                <w:color w:val="auto"/>
              </w:rPr>
            </w:pPr>
          </w:p>
        </w:tc>
        <w:tc>
          <w:tcPr>
            <w:tcW w:w="102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126751) on Form 10-Q filed on April 27, 2016).</w:t>
              </w:r>
            </w:hyperlink>
          </w:p>
        </w:tc>
        <w:tc>
          <w:tcPr>
            <w:tcW w:w="14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10.10*</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the Registrant, Lazard Ltd and Scott D. Hoffman (incorporated by reference to Exhibit 10.10 to Registrant’s Quarterly Report (File No. 333-</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10.11*</w:t>
            </w:r>
          </w:p>
        </w:tc>
        <w:tc>
          <w:tcPr>
            <w:tcW w:w="10400" w:type="dxa"/>
            <w:vAlign w:val="bottom"/>
            <w:gridSpan w:val="31"/>
          </w:tcPr>
          <w:p>
            <w:pPr>
              <w:spacing w:after="0"/>
              <w:rPr>
                <w:rFonts w:ascii="Arial" w:cs="Arial" w:eastAsia="Arial" w:hAnsi="Arial"/>
                <w:sz w:val="18"/>
                <w:szCs w:val="18"/>
                <w:color w:val="0000EE"/>
                <w:w w:val="97"/>
              </w:rPr>
            </w:pPr>
            <w:hyperlink r:id="rId121">
              <w:r>
                <w:rPr>
                  <w:rFonts w:ascii="Arial" w:cs="Arial" w:eastAsia="Arial" w:hAnsi="Arial"/>
                  <w:sz w:val="18"/>
                  <w:szCs w:val="18"/>
                  <w:color w:val="0000EE"/>
                  <w:w w:val="97"/>
                </w:rPr>
                <w:t>Amendment, dated as of October 30, 2017, to Amended and Restated Agreement relating to Retention and Noncompetition and Other</w:t>
              </w:r>
            </w:hyperlink>
          </w:p>
        </w:tc>
      </w:tr>
      <w:tr>
        <w:trPr>
          <w:trHeight w:val="20"/>
        </w:trPr>
        <w:tc>
          <w:tcPr>
            <w:tcW w:w="10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Covenants, dated as of March 9, 2016, by and among Lazard Ltd, the Registrant and Scott D. Hoffman (incorporated by reference to Exhibit</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0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11</w:t>
              </w:r>
              <w:r>
                <w:rPr>
                  <w:rFonts w:ascii="Arial" w:cs="Arial" w:eastAsia="Arial" w:hAnsi="Arial"/>
                  <w:sz w:val="18"/>
                  <w:szCs w:val="18"/>
                  <w:color w:val="0000EE"/>
                  <w:w w:val="91"/>
                </w:rPr>
                <w:t xml:space="preserve"> to Registrant’s Quarterly Report (File No. 333-126751) on 10-Q filed on October 31, 2017).</w:t>
              </w:r>
            </w:hyperlink>
          </w:p>
        </w:tc>
        <w:tc>
          <w:tcPr>
            <w:tcW w:w="3320" w:type="dxa"/>
            <w:vAlign w:val="bottom"/>
            <w:gridSpan w:val="19"/>
          </w:tcPr>
          <w:p>
            <w:pPr>
              <w:spacing w:after="0"/>
              <w:rPr>
                <w:sz w:val="17"/>
                <w:szCs w:val="17"/>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10.12*</w:t>
            </w:r>
          </w:p>
        </w:tc>
        <w:tc>
          <w:tcPr>
            <w:tcW w:w="9860" w:type="dxa"/>
            <w:vAlign w:val="bottom"/>
            <w:tcBorders>
              <w:bottom w:val="single" w:sz="8" w:color="0000EE"/>
            </w:tcBorders>
            <w:gridSpan w:val="17"/>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Agreement relating to Retention and Noncompetition and Other Covenants, dated as of October 30, 2017, by and among Lazard Ltd, the</w:t>
              </w:r>
            </w:hyperlink>
          </w:p>
        </w:tc>
        <w:tc>
          <w:tcPr>
            <w:tcW w:w="54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Registrant and Evan L. Russo (incorporated by reference to Exhibit 10.12 to Registrant’s Quarterly Report (File No. 333-126751) on 10-Q filed</w:t>
              </w:r>
            </w:hyperlink>
          </w:p>
        </w:tc>
      </w:tr>
      <w:tr>
        <w:trPr>
          <w:trHeight w:val="196"/>
        </w:trPr>
        <w:tc>
          <w:tcPr>
            <w:tcW w:w="1040" w:type="dxa"/>
            <w:vAlign w:val="bottom"/>
          </w:tcPr>
          <w:p>
            <w:pPr>
              <w:spacing w:after="0"/>
              <w:rPr>
                <w:sz w:val="17"/>
                <w:szCs w:val="17"/>
                <w:color w:val="auto"/>
              </w:rPr>
            </w:pPr>
          </w:p>
        </w:tc>
        <w:tc>
          <w:tcPr>
            <w:tcW w:w="1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on October 31, 2017).</w:t>
              </w:r>
            </w:hyperlink>
          </w:p>
        </w:tc>
        <w:tc>
          <w:tcPr>
            <w:tcW w:w="8760" w:type="dxa"/>
            <w:vAlign w:val="bottom"/>
            <w:tcBorders>
              <w:top w:val="single" w:sz="8" w:color="0000EE"/>
            </w:tcBorders>
            <w:gridSpan w:val="29"/>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10.13*</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the Registrant, Lazard Ltd and Alexander F. Stern (incorporated by reference to Exhibit 10.11 to Registrant’s Quarterly Report (File No 333-</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10.14*</w:t>
            </w:r>
          </w:p>
        </w:tc>
        <w:tc>
          <w:tcPr>
            <w:tcW w:w="9940" w:type="dxa"/>
            <w:vAlign w:val="bottom"/>
            <w:tcBorders>
              <w:bottom w:val="single" w:sz="8" w:color="0000EE"/>
            </w:tcBorders>
            <w:gridSpan w:val="19"/>
          </w:tcPr>
          <w:p>
            <w:pPr>
              <w:spacing w:after="0"/>
              <w:rPr>
                <w:rFonts w:ascii="Arial" w:cs="Arial" w:eastAsia="Arial" w:hAnsi="Arial"/>
                <w:sz w:val="18"/>
                <w:szCs w:val="18"/>
                <w:color w:val="0000EE"/>
                <w:w w:val="92"/>
              </w:rPr>
            </w:pPr>
            <w:hyperlink r:id="rId124">
              <w:r>
                <w:rPr>
                  <w:rFonts w:ascii="Arial" w:cs="Arial" w:eastAsia="Arial" w:hAnsi="Arial"/>
                  <w:sz w:val="18"/>
                  <w:szCs w:val="18"/>
                  <w:color w:val="0000EE"/>
                  <w:w w:val="92"/>
                </w:rPr>
                <w:t>Form of Award Letter for Annual Grant of Deferred Stock Units to Non-Executive Directors (incorporated by reference to Exhibit 99.1 to</w:t>
              </w:r>
            </w:hyperlink>
          </w:p>
        </w:tc>
        <w:tc>
          <w:tcPr>
            <w:tcW w:w="46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Lazard Ltd’s Current Report on Form 8-K (File No. 001-32492) filed on September 8, 2005).</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10.15*</w:t>
            </w:r>
          </w:p>
        </w:tc>
        <w:tc>
          <w:tcPr>
            <w:tcW w:w="10400" w:type="dxa"/>
            <w:vAlign w:val="bottom"/>
            <w:gridSpan w:val="31"/>
          </w:tcPr>
          <w:p>
            <w:pPr>
              <w:spacing w:after="0"/>
              <w:rPr>
                <w:rFonts w:ascii="Arial" w:cs="Arial" w:eastAsia="Arial" w:hAnsi="Arial"/>
                <w:sz w:val="18"/>
                <w:szCs w:val="18"/>
                <w:color w:val="0000EE"/>
                <w:w w:val="99"/>
              </w:rPr>
            </w:pPr>
            <w:hyperlink r:id="rId125">
              <w:r>
                <w:rPr>
                  <w:rFonts w:ascii="Arial" w:cs="Arial" w:eastAsia="Arial" w:hAnsi="Arial"/>
                  <w:sz w:val="18"/>
                  <w:szCs w:val="18"/>
                  <w:color w:val="0000EE"/>
                  <w:w w:val="99"/>
                </w:rPr>
                <w:t>Form of Agreement evidencing a grant of Restricted Stock Units to Executive Officers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7"/>
              </w:rPr>
            </w:pPr>
            <w:hyperlink r:id="rId125">
              <w:r>
                <w:rPr>
                  <w:rFonts w:ascii="Arial" w:cs="Arial" w:eastAsia="Arial" w:hAnsi="Arial"/>
                  <w:sz w:val="18"/>
                  <w:szCs w:val="18"/>
                  <w:color w:val="0000EE"/>
                  <w:w w:val="97"/>
                </w:rPr>
                <w:t>(incorporated by reference to Exhibit 10.41 to Lazard 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10.16*</w:t>
            </w:r>
          </w:p>
        </w:tc>
        <w:tc>
          <w:tcPr>
            <w:tcW w:w="10100" w:type="dxa"/>
            <w:vAlign w:val="bottom"/>
            <w:tcBorders>
              <w:bottom w:val="single" w:sz="8" w:color="0000EE"/>
            </w:tcBorders>
            <w:gridSpan w:val="22"/>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Form of Agreement evidencing a grant of Deferred Cash Award to Executive Officers (incorporated by reference to Exhibit 10.42 to Lazard</w:t>
              </w:r>
            </w:hyperlink>
          </w:p>
        </w:tc>
        <w:tc>
          <w:tcPr>
            <w:tcW w:w="30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10.17*</w:t>
            </w:r>
          </w:p>
        </w:tc>
        <w:tc>
          <w:tcPr>
            <w:tcW w:w="10400" w:type="dxa"/>
            <w:vAlign w:val="bottom"/>
            <w:gridSpan w:val="31"/>
          </w:tcPr>
          <w:p>
            <w:pPr>
              <w:spacing w:after="0"/>
              <w:rPr>
                <w:rFonts w:ascii="Arial" w:cs="Arial" w:eastAsia="Arial" w:hAnsi="Arial"/>
                <w:sz w:val="18"/>
                <w:szCs w:val="18"/>
                <w:color w:val="0000EE"/>
                <w:w w:val="94"/>
              </w:rPr>
            </w:pPr>
            <w:hyperlink r:id="rId127">
              <w:r>
                <w:rPr>
                  <w:rFonts w:ascii="Arial" w:cs="Arial" w:eastAsia="Arial" w:hAnsi="Arial"/>
                  <w:sz w:val="18"/>
                  <w:szCs w:val="18"/>
                  <w:color w:val="0000EE"/>
                  <w:w w:val="94"/>
                </w:rPr>
                <w:t>Directors’ Fee Deferral Unit Plan (incorporated by reference to Exhibit 10.39 to Lazard Ltd’s Quarterly Report (File No.001-32492) on Form</w:t>
              </w:r>
            </w:hyperlink>
          </w:p>
        </w:tc>
      </w:tr>
      <w:tr>
        <w:trPr>
          <w:trHeight w:val="196"/>
        </w:trPr>
        <w:tc>
          <w:tcPr>
            <w:tcW w:w="1040" w:type="dxa"/>
            <w:vAlign w:val="bottom"/>
          </w:tcPr>
          <w:p>
            <w:pPr>
              <w:spacing w:after="0"/>
              <w:rPr>
                <w:sz w:val="17"/>
                <w:szCs w:val="17"/>
                <w:color w:val="auto"/>
              </w:rPr>
            </w:pPr>
          </w:p>
        </w:tc>
        <w:tc>
          <w:tcPr>
            <w:tcW w:w="101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10-Q filed on May 11, 2006).</w:t>
              </w:r>
            </w:hyperlink>
          </w:p>
        </w:tc>
        <w:tc>
          <w:tcPr>
            <w:tcW w:w="22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10.18</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Amended and Restated Credit Agreement, dated as of September 25, 2015, among the Registrant, the Banks from time to time parties thereto,</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5"/>
              </w:rPr>
            </w:pPr>
            <w:hyperlink r:id="rId128">
              <w:r>
                <w:rPr>
                  <w:rFonts w:ascii="Arial" w:cs="Arial" w:eastAsia="Arial" w:hAnsi="Arial"/>
                  <w:sz w:val="18"/>
                  <w:szCs w:val="18"/>
                  <w:color w:val="0000EE"/>
                  <w:w w:val="95"/>
                </w:rPr>
                <w:t>and Citibank, N.A., as Administrative Agent (incorporated by reference to Exhibit 10.25 to the Registrant’s Quarterly Report (File No. 333-</w:t>
              </w:r>
            </w:hyperlink>
          </w:p>
        </w:tc>
      </w:tr>
      <w:tr>
        <w:trPr>
          <w:trHeight w:val="196"/>
        </w:trPr>
        <w:tc>
          <w:tcPr>
            <w:tcW w:w="1040" w:type="dxa"/>
            <w:vAlign w:val="bottom"/>
          </w:tcPr>
          <w:p>
            <w:pPr>
              <w:spacing w:after="0"/>
              <w:rPr>
                <w:sz w:val="17"/>
                <w:szCs w:val="17"/>
                <w:color w:val="auto"/>
              </w:rPr>
            </w:pPr>
          </w:p>
        </w:tc>
        <w:tc>
          <w:tcPr>
            <w:tcW w:w="10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126751) on Form 10-Q filed on October 28, 2015).</w:t>
              </w:r>
            </w:hyperlink>
          </w:p>
        </w:tc>
        <w:tc>
          <w:tcPr>
            <w:tcW w:w="32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10.19*</w:t>
            </w:r>
          </w:p>
        </w:tc>
        <w:tc>
          <w:tcPr>
            <w:tcW w:w="10140" w:type="dxa"/>
            <w:vAlign w:val="bottom"/>
            <w:tcBorders>
              <w:bottom w:val="single" w:sz="8" w:color="0000EE"/>
            </w:tcBorders>
            <w:gridSpan w:val="24"/>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Form of Agreement evidencing a grant of Lazard Fund Interests to Named Executive Officers (incorporated by reference to Exhibit 10.54 to</w:t>
              </w:r>
            </w:hyperlink>
          </w:p>
        </w:tc>
        <w:tc>
          <w:tcPr>
            <w:tcW w:w="26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the Registrant’s Quarterly Report (File No. 333-126751) on Form 10-Q filed on May 1, 2013).</w:t>
              </w:r>
            </w:hyperlink>
          </w:p>
        </w:tc>
        <w:tc>
          <w:tcPr>
            <w:tcW w:w="3580" w:type="dxa"/>
            <w:vAlign w:val="bottom"/>
            <w:gridSpan w:val="20"/>
          </w:tcPr>
          <w:p>
            <w:pPr>
              <w:spacing w:after="0"/>
              <w:rPr>
                <w:sz w:val="17"/>
                <w:szCs w:val="17"/>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10.20*</w:t>
            </w:r>
          </w:p>
        </w:tc>
        <w:tc>
          <w:tcPr>
            <w:tcW w:w="10400" w:type="dxa"/>
            <w:vAlign w:val="bottom"/>
            <w:gridSpan w:val="31"/>
          </w:tcPr>
          <w:p>
            <w:pPr>
              <w:spacing w:after="0"/>
              <w:rPr>
                <w:rFonts w:ascii="Arial" w:cs="Arial" w:eastAsia="Arial" w:hAnsi="Arial"/>
                <w:sz w:val="18"/>
                <w:szCs w:val="18"/>
                <w:color w:val="0000EE"/>
                <w:w w:val="93"/>
              </w:rPr>
            </w:pPr>
            <w:hyperlink r:id="rId130">
              <w:r>
                <w:rPr>
                  <w:rFonts w:ascii="Arial" w:cs="Arial" w:eastAsia="Arial" w:hAnsi="Arial"/>
                  <w:sz w:val="18"/>
                  <w:szCs w:val="18"/>
                  <w:color w:val="0000EE"/>
                  <w:w w:val="93"/>
                </w:rPr>
                <w:t>Form of Agreement evidencing a February 20, 2014 grant of Performance-Based Stock Units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(incorporated by reference to Exhibit 10.54 to the Registrant’s Quarterly Report (File No. 333-126751)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10.21*</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Agreement between Lazard Ltd and Kenneth M. Jacobs, dated as of February 20, 2014, evidencing a grant of Performance-Based Stock Units</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under the 2008 Incentive Compensation Plan (incorporated by reference to Exhibit 10.55 to the Registrant’s Quarterly Report (File No. 333-</w:t>
              </w:r>
            </w:hyperlink>
          </w:p>
        </w:tc>
        <w:tc>
          <w:tcPr>
            <w:tcW w:w="28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10.22*</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Form of Agreement evidencing a grant of Restricted Stock under the 2008 Incentive Compensation Plan (incorporated by reference to Exhibit</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54</w:t>
              </w:r>
              <w:r>
                <w:rPr>
                  <w:rFonts w:ascii="Arial" w:cs="Arial" w:eastAsia="Arial" w:hAnsi="Arial"/>
                  <w:sz w:val="18"/>
                  <w:szCs w:val="18"/>
                  <w:color w:val="0000EE"/>
                </w:rPr>
                <w:t xml:space="preserve"> to the Registrant’s Quarterly Report (File No. 333-126751) on Form 10-Q filed on April 30, 2010).</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10.23*</w:t>
            </w:r>
          </w:p>
        </w:tc>
        <w:tc>
          <w:tcPr>
            <w:tcW w:w="9880" w:type="dxa"/>
            <w:vAlign w:val="bottom"/>
            <w:tcBorders>
              <w:bottom w:val="single" w:sz="8" w:color="0000EE"/>
            </w:tcBorders>
            <w:gridSpan w:val="18"/>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Form of Agreement evidencing a grant of Lazard Fund Interests (incorporated by reference to Exhibit 10.54 to the Registrant’s Quarterly</w:t>
              </w:r>
            </w:hyperlink>
          </w:p>
        </w:tc>
        <w:tc>
          <w:tcPr>
            <w:tcW w:w="52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Report (File No. 333-126751) on Form 10-Q filed on April 29, 2011).</w:t>
              </w:r>
            </w:hyperlink>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12.1</w:t>
            </w:r>
          </w:p>
        </w:tc>
        <w:tc>
          <w:tcPr>
            <w:tcW w:w="3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Computation of Ratio of Earnings to Fixed Charges.</w:t>
              </w:r>
            </w:hyperlink>
          </w:p>
        </w:tc>
        <w:tc>
          <w:tcPr>
            <w:tcW w:w="1260" w:type="dxa"/>
            <w:vAlign w:val="bottom"/>
            <w:tcBorders>
              <w:top w:val="single" w:sz="8" w:color="0000EE"/>
            </w:tcBorders>
          </w:tcPr>
          <w:p>
            <w:pPr>
              <w:spacing w:after="0"/>
              <w:rPr>
                <w:sz w:val="24"/>
                <w:szCs w:val="24"/>
                <w:color w:val="auto"/>
              </w:rPr>
            </w:pPr>
          </w:p>
        </w:tc>
        <w:tc>
          <w:tcPr>
            <w:tcW w:w="5360" w:type="dxa"/>
            <w:vAlign w:val="bottom"/>
            <w:gridSpan w:val="23"/>
          </w:tcPr>
          <w:p>
            <w:pPr>
              <w:spacing w:after="0"/>
              <w:rPr>
                <w:sz w:val="24"/>
                <w:szCs w:val="24"/>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Rule 13a-14(a) Certification of Kenneth M. Jacobs.</w:t>
              </w:r>
            </w:hyperlink>
          </w:p>
        </w:tc>
        <w:tc>
          <w:tcPr>
            <w:tcW w:w="6680" w:type="dxa"/>
            <w:vAlign w:val="bottom"/>
            <w:gridSpan w:val="25"/>
          </w:tcPr>
          <w:p>
            <w:pPr>
              <w:spacing w:after="0"/>
              <w:rPr>
                <w:sz w:val="24"/>
                <w:szCs w:val="24"/>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31.2</w:t>
            </w:r>
          </w:p>
        </w:tc>
        <w:tc>
          <w:tcPr>
            <w:tcW w:w="10400" w:type="dxa"/>
            <w:vAlign w:val="bottom"/>
            <w:gridSpan w:val="3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6720" w:type="dxa"/>
            <w:vAlign w:val="bottom"/>
            <w:gridSpan w:val="26"/>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32.1</w:t>
            </w:r>
          </w:p>
        </w:tc>
        <w:tc>
          <w:tcPr>
            <w:tcW w:w="36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Section 1350 Certification for Kenneth M. Jacobs.</w:t>
              </w:r>
            </w:hyperlink>
          </w:p>
        </w:tc>
        <w:tc>
          <w:tcPr>
            <w:tcW w:w="6720" w:type="dxa"/>
            <w:vAlign w:val="bottom"/>
            <w:gridSpan w:val="26"/>
          </w:tcPr>
          <w:p>
            <w:pPr>
              <w:spacing w:after="0"/>
              <w:rPr>
                <w:sz w:val="24"/>
                <w:szCs w:val="24"/>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32.2</w:t>
            </w:r>
          </w:p>
        </w:tc>
        <w:tc>
          <w:tcPr>
            <w:tcW w:w="10400" w:type="dxa"/>
            <w:vAlign w:val="bottom"/>
            <w:gridSpan w:val="31"/>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Section 1350 Certification for Evan L. Russo.</w:t>
              </w:r>
            </w:hyperlink>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33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7060" w:type="dxa"/>
            <w:vAlign w:val="bottom"/>
            <w:gridSpan w:val="28"/>
          </w:tcPr>
          <w:p>
            <w:pPr>
              <w:spacing w:after="0"/>
              <w:rPr>
                <w:sz w:val="24"/>
                <w:szCs w:val="24"/>
                <w:color w:val="auto"/>
              </w:rPr>
            </w:pPr>
          </w:p>
        </w:tc>
      </w:tr>
      <w:tr>
        <w:trPr>
          <w:trHeight w:val="513"/>
        </w:trPr>
        <w:tc>
          <w:tcPr>
            <w:tcW w:w="1040" w:type="dxa"/>
            <w:vAlign w:val="bottom"/>
          </w:tcPr>
          <w:p>
            <w:pPr>
              <w:spacing w:after="0"/>
              <w:rPr>
                <w:sz w:val="24"/>
                <w:szCs w:val="24"/>
                <w:color w:val="auto"/>
              </w:rPr>
            </w:pPr>
          </w:p>
        </w:tc>
        <w:tc>
          <w:tcPr>
            <w:tcW w:w="5040" w:type="dxa"/>
            <w:vAlign w:val="bottom"/>
            <w:gridSpan w:val="8"/>
          </w:tcPr>
          <w:p>
            <w:pPr>
              <w:ind w:left="4580"/>
              <w:spacing w:after="0"/>
              <w:rPr>
                <w:sz w:val="20"/>
                <w:szCs w:val="20"/>
                <w:color w:val="auto"/>
              </w:rPr>
            </w:pPr>
            <w:r>
              <w:rPr>
                <w:rFonts w:ascii="Arial" w:cs="Arial" w:eastAsia="Arial" w:hAnsi="Arial"/>
                <w:sz w:val="18"/>
                <w:szCs w:val="18"/>
                <w:color w:val="auto"/>
              </w:rPr>
              <w:t>69</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2090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5"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Evan L. Russo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45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Dominick Ragone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7" w:right="239" w:bottom="1440" w:gutter="0" w:footer="0" w:header="0"/>
        </w:sectPr>
      </w:pPr>
    </w:p>
    <w:bookmarkStart w:id="73" w:name="page74"/>
    <w:bookmarkEnd w:id="73"/>
    <w:p>
      <w:pPr>
        <w:ind w:left="1028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Nine Months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10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jc w:val="right"/>
              <w:ind w:right="332"/>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513,498</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633,753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521,993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530,845</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540,975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219,009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Add—Fixed charges</w:t>
            </w: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63,720</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81,391</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77,071</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78,826</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91,691</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before fixed charges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577,218</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715,144</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599,064</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609,671</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632,666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330,326</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44,211</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68,205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w:t>
            </w: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19,509</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24,137</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23,941</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23,486</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24,278</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63,720</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81,391</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77,071</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78,826</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91,691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(d)</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320" w:type="dxa"/>
            <w:vAlign w:val="bottom"/>
          </w:tcPr>
          <w:p>
            <w:pPr>
              <w:ind w:left="100"/>
              <w:spacing w:after="0"/>
              <w:rPr>
                <w:sz w:val="20"/>
                <w:szCs w:val="20"/>
                <w:color w:val="auto"/>
              </w:rPr>
            </w:pPr>
            <w:r>
              <w:rPr>
                <w:rFonts w:ascii="Arial" w:cs="Arial" w:eastAsia="Arial" w:hAnsi="Arial"/>
                <w:sz w:val="18"/>
                <w:szCs w:val="18"/>
                <w:color w:val="auto"/>
                <w:w w:val="90"/>
              </w:rPr>
              <w:t>(e)</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300" w:type="dxa"/>
            <w:vAlign w:val="bottom"/>
          </w:tcPr>
          <w:p>
            <w:pPr>
              <w:ind w:left="100"/>
              <w:spacing w:after="0"/>
              <w:rPr>
                <w:sz w:val="20"/>
                <w:szCs w:val="20"/>
                <w:color w:val="auto"/>
              </w:rPr>
            </w:pPr>
            <w:r>
              <w:rPr>
                <w:rFonts w:ascii="Arial" w:cs="Arial" w:eastAsia="Arial" w:hAnsi="Arial"/>
                <w:sz w:val="18"/>
                <w:szCs w:val="18"/>
                <w:color w:val="auto"/>
              </w:rPr>
              <w:t>(f)</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(g)</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(h)</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Notes (dollars in thousands):</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Operating income for the nine months ended September 30, 2018 is presented after giving effect to (i) $2,948 of acquisition-related benefits, (ii)</w:t>
      </w:r>
    </w:p>
    <w:p>
      <w:pPr>
        <w:spacing w:after="0" w:line="47" w:lineRule="exact"/>
        <w:rPr>
          <w:rFonts w:ascii="Arial" w:cs="Arial" w:eastAsia="Arial" w:hAnsi="Arial"/>
          <w:sz w:val="17"/>
          <w:szCs w:val="17"/>
          <w:color w:val="auto"/>
        </w:rPr>
      </w:pPr>
    </w:p>
    <w:p>
      <w:pPr>
        <w:ind w:left="520" w:right="20"/>
        <w:spacing w:after="0" w:line="259" w:lineRule="auto"/>
        <w:rPr>
          <w:rFonts w:ascii="Arial" w:cs="Arial" w:eastAsia="Arial" w:hAnsi="Arial"/>
          <w:sz w:val="17"/>
          <w:szCs w:val="17"/>
          <w:color w:val="auto"/>
        </w:rPr>
      </w:pPr>
      <w:r>
        <w:rPr>
          <w:rFonts w:ascii="Arial" w:cs="Arial" w:eastAsia="Arial" w:hAnsi="Arial"/>
          <w:sz w:val="18"/>
          <w:szCs w:val="18"/>
          <w:color w:val="auto"/>
        </w:rPr>
        <w:t>$20,489 of expenses associated with the ERP system implementation, (iii) $2,425 of expenses related to office space reorganization, (iv) a charge of $6,523 relating to the redemption of a portion of the 4.25% senior notes due November 2020 (the “2020 Notes”) and (v) $295 excess interest expense due to the period of time between the issuance of the 2028 Notes and the settlement of the redemption of the 2020 Notes. Excluding the impact of such items, the ratio of earnings to fixed charges would have been 9.61.</w:t>
      </w:r>
    </w:p>
    <w:p>
      <w:pPr>
        <w:spacing w:after="0" w:line="78" w:lineRule="exact"/>
        <w:rPr>
          <w:rFonts w:ascii="Arial" w:cs="Arial" w:eastAsia="Arial" w:hAnsi="Arial"/>
          <w:sz w:val="17"/>
          <w:szCs w:val="17"/>
          <w:color w:val="auto"/>
        </w:rPr>
      </w:pPr>
    </w:p>
    <w:p>
      <w:pPr>
        <w:ind w:left="520" w:right="40" w:hanging="512"/>
        <w:spacing w:after="0" w:line="264"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2017 is presented after giving effect to (i) $1,291 of acquisition-related costs, (ii) $25,308 of expenses associated with the ERP system implementation, and (iii) $11,354 of expenses related to office space reorganization. Excluding the impact of such items, the ratio of earnings to fixed charges would have been 9.24.</w:t>
      </w:r>
    </w:p>
    <w:p>
      <w:pPr>
        <w:spacing w:after="0" w:line="73" w:lineRule="exact"/>
        <w:rPr>
          <w:rFonts w:ascii="Arial" w:cs="Arial" w:eastAsia="Arial" w:hAnsi="Arial"/>
          <w:sz w:val="18"/>
          <w:szCs w:val="18"/>
          <w:color w:val="auto"/>
        </w:rPr>
      </w:pPr>
    </w:p>
    <w:p>
      <w:pPr>
        <w:ind w:left="520" w:right="40" w:hanging="512"/>
        <w:spacing w:after="0" w:line="297" w:lineRule="auto"/>
        <w:tabs>
          <w:tab w:leader="none" w:pos="5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2016 is presented after giving effect to (i) a charge of $3,148 associated with the redemption of the remaining portion of the 6.85% senior notes due June 2017 (the “2017 Notes”), (ii) $599 excess interest expense due to the period of time between the issuance of the 2027 Notes and the settlement of the redemption of the 2017 Notes, (iii) $30,991 of acquisition-related costs and (iv) $12,668 gain on the acquisition of MBA Lazard (which resulted from the increase in the fair value of the Company’s investment in MBA Lazard prior to the acquisition). Excluding the impact of such items, the ratio of earnings to fixed charges would have been 8.11.</w:t>
      </w:r>
    </w:p>
    <w:p>
      <w:pPr>
        <w:spacing w:after="0" w:line="50" w:lineRule="exact"/>
        <w:rPr>
          <w:rFonts w:ascii="Arial" w:cs="Arial" w:eastAsia="Arial" w:hAnsi="Arial"/>
          <w:sz w:val="16"/>
          <w:szCs w:val="16"/>
          <w:color w:val="auto"/>
        </w:rPr>
      </w:pPr>
    </w:p>
    <w:p>
      <w:pPr>
        <w:ind w:left="520" w:hanging="512"/>
        <w:spacing w:after="0"/>
        <w:tabs>
          <w:tab w:leader="none" w:pos="5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(i) a charge of $60,219 associated with the redemption of</w:t>
      </w:r>
    </w:p>
    <w:p>
      <w:pPr>
        <w:spacing w:after="0" w:line="46" w:lineRule="exact"/>
        <w:rPr>
          <w:rFonts w:ascii="Arial" w:cs="Arial" w:eastAsia="Arial" w:hAnsi="Arial"/>
          <w:sz w:val="16"/>
          <w:szCs w:val="16"/>
          <w:color w:val="auto"/>
        </w:rPr>
      </w:pPr>
    </w:p>
    <w:p>
      <w:pPr>
        <w:ind w:left="520" w:right="20"/>
        <w:spacing w:after="0" w:line="255" w:lineRule="auto"/>
        <w:rPr>
          <w:rFonts w:ascii="Arial" w:cs="Arial" w:eastAsia="Arial" w:hAnsi="Arial"/>
          <w:sz w:val="16"/>
          <w:szCs w:val="16"/>
          <w:color w:val="auto"/>
        </w:rPr>
      </w:pPr>
      <w:r>
        <w:rPr>
          <w:rFonts w:ascii="Arial" w:cs="Arial" w:eastAsia="Arial" w:hAnsi="Arial"/>
          <w:sz w:val="18"/>
          <w:szCs w:val="18"/>
          <w:color w:val="auto"/>
        </w:rPr>
        <w:t>$450 million of the 2017 Notes, (ii) $2,655 excess interest expense due to the period of time between the issuance of the 2025 Notes and the settlement of the redemption of the 2017 Notes, and (iii) $12,203 relating to a private equity revenue adjustment. Excluding the impact of such items, the ratio of earnings to fixed charges would have been 8.64.</w:t>
      </w:r>
    </w:p>
    <w:p>
      <w:pPr>
        <w:spacing w:after="0" w:line="82" w:lineRule="exact"/>
        <w:rPr>
          <w:rFonts w:ascii="Arial" w:cs="Arial" w:eastAsia="Arial" w:hAnsi="Arial"/>
          <w:sz w:val="16"/>
          <w:szCs w:val="16"/>
          <w:color w:val="auto"/>
        </w:rPr>
      </w:pPr>
    </w:p>
    <w:p>
      <w:pPr>
        <w:ind w:left="520" w:right="260" w:hanging="512"/>
        <w:spacing w:after="0" w:line="259"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7.125% senior notes due May 2015 and the issuance of the 2020 Notes and (iii) $12,203 relating to private equity incentive compensation. Excluding the impact of such items, the ratio of earnings to fixed charges would have been 4.14.</w:t>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2018 of Lazard Group LLC (the “Registrant”);</w:t>
      </w:r>
    </w:p>
    <w:p>
      <w:pPr>
        <w:spacing w:after="0" w:line="236" w:lineRule="exact"/>
        <w:rPr>
          <w:rFonts w:ascii="Arial" w:cs="Arial" w:eastAsia="Arial" w:hAnsi="Arial"/>
          <w:sz w:val="17"/>
          <w:szCs w:val="17"/>
          <w:color w:val="auto"/>
        </w:rPr>
      </w:pPr>
    </w:p>
    <w:p>
      <w:pPr>
        <w:ind w:right="240" w:firstLine="526"/>
        <w:spacing w:after="0" w:line="342" w:lineRule="auto"/>
        <w:tabs>
          <w:tab w:leader="none" w:pos="698"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2018 of Lazard Group LLC (the “Registrant”);</w:t>
      </w:r>
    </w:p>
    <w:p>
      <w:pPr>
        <w:spacing w:after="0" w:line="236" w:lineRule="exact"/>
        <w:rPr>
          <w:rFonts w:ascii="Arial" w:cs="Arial" w:eastAsia="Arial" w:hAnsi="Arial"/>
          <w:sz w:val="17"/>
          <w:szCs w:val="17"/>
          <w:color w:val="auto"/>
        </w:rPr>
      </w:pPr>
    </w:p>
    <w:p>
      <w:pPr>
        <w:ind w:right="240" w:firstLine="526"/>
        <w:spacing w:after="0" w:line="342" w:lineRule="auto"/>
        <w:tabs>
          <w:tab w:leader="none" w:pos="698"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decimal"/>
      <w:start w:val="2"/>
    </w:lvl>
  </w:abstractNum>
  <w:abstractNum w:abstractNumId="7">
    <w:nsid w:val="22221A70"/>
    <w:multiLevelType w:val="hybridMultilevel"/>
    <w:lvl w:ilvl="0">
      <w:lvlJc w:val="left"/>
      <w:lvlText w:val="%1."/>
      <w:numFmt w:val="decimal"/>
      <w:start w:val="3"/>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decimal"/>
      <w:start w:val="4"/>
    </w:lvl>
  </w:abstractNum>
  <w:abstractNum w:abstractNumId="10">
    <w:nsid w:val="614FD4A1"/>
    <w:multiLevelType w:val="hybridMultilevel"/>
    <w:lvl w:ilvl="0">
      <w:lvlJc w:val="left"/>
      <w:lvlText w:val="%1."/>
      <w:numFmt w:val="decimal"/>
      <w:start w:val="5"/>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1."/>
      <w:numFmt w:val="decimal"/>
      <w:start w:val="6"/>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decimal"/>
      <w:start w:val="7"/>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decimal"/>
      <w:start w:val="8"/>
    </w:lvl>
  </w:abstractNum>
  <w:abstractNum w:abstractNumId="19">
    <w:nsid w:val="2463B9EA"/>
    <w:multiLevelType w:val="hybridMultilevel"/>
    <w:lvl w:ilvl="0">
      <w:lvlJc w:val="left"/>
      <w:lvlText w:val="%1."/>
      <w:numFmt w:val="decimal"/>
      <w:start w:val="9"/>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decimal"/>
      <w:start w:val="10"/>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decimal"/>
      <w:start w:val="11"/>
    </w:lvl>
  </w:abstractNum>
  <w:abstractNum w:abstractNumId="24">
    <w:nsid w:val="153EA438"/>
    <w:multiLevelType w:val="hybridMultilevel"/>
    <w:lvl w:ilvl="0">
      <w:lvlJc w:val="left"/>
      <w:lvlText w:val="%1."/>
      <w:numFmt w:val="decimal"/>
      <w:start w:val="12"/>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decimal"/>
      <w:start w:val="13"/>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decimal"/>
      <w:start w:val="14"/>
    </w:lvl>
  </w:abstractNum>
  <w:abstractNum w:abstractNumId="29">
    <w:nsid w:val="1D4ED43B"/>
    <w:multiLevelType w:val="hybridMultilevel"/>
    <w:lvl w:ilvl="0">
      <w:lvlJc w:val="left"/>
      <w:lvlText w:val="%1."/>
      <w:numFmt w:val="decimal"/>
      <w:start w:val="15"/>
    </w:lvl>
  </w:abstractNum>
  <w:abstractNum w:abstractNumId="30">
    <w:nsid w:val="725A06FB"/>
    <w:multiLevelType w:val="hybridMultilevel"/>
    <w:lvl w:ilvl="0">
      <w:lvlJc w:val="left"/>
      <w:lvlText w:val="%1."/>
      <w:numFmt w:val="decimal"/>
      <w:start w:val="16"/>
    </w:lvl>
  </w:abstractNum>
  <w:abstractNum w:abstractNumId="31">
    <w:nsid w:val="2CD89A32"/>
    <w:multiLevelType w:val="hybridMultilevel"/>
    <w:lvl w:ilvl="0">
      <w:lvlJc w:val="left"/>
      <w:lvlText w:val="%1."/>
      <w:numFmt w:val="decimal"/>
      <w:start w:val="17"/>
    </w:lvl>
  </w:abstractNum>
  <w:abstractNum w:abstractNumId="32">
    <w:nsid w:val="57E4CCAF"/>
    <w:multiLevelType w:val="hybridMultilevel"/>
    <w:lvl w:ilvl="0">
      <w:lvlJc w:val="left"/>
      <w:lvlText w:val="%1."/>
      <w:numFmt w:val="decimal"/>
      <w:start w:val="18"/>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lvl w:ilvl="1">
      <w:lvlJc w:val="left"/>
      <w:lvlText w:val="(%2)"/>
      <w:numFmt w:val="lowerRoman"/>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Roman"/>
      <w:start w:val="2"/>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2"/>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2"/>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lowerLetter"/>
      <w:start w:val="1"/>
    </w:lvl>
    <w:lvl w:ilvl="1">
      <w:lvlJc w:val="left"/>
      <w:lvlText w:val="•"/>
      <w:numFmt w:val="bullet"/>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99" Type="http://schemas.openxmlformats.org/officeDocument/2006/relationships/hyperlink" Target="http://www.sec.gov/Archives/edgar/data/1326141/000119312505145683/dex31.htm" TargetMode="External"/><Relationship Id="rId100" Type="http://schemas.openxmlformats.org/officeDocument/2006/relationships/hyperlink" Target="http://www.sec.gov/Archives/edgar/data/1326141/000119312505145683/dex32.htm" TargetMode="External"/><Relationship Id="rId101" Type="http://schemas.openxmlformats.org/officeDocument/2006/relationships/hyperlink" Target="http://www.sec.gov/Archives/edgar/data/1326141/000119312515355050/d40575dex33.htm" TargetMode="External"/><Relationship Id="rId102" Type="http://schemas.openxmlformats.org/officeDocument/2006/relationships/hyperlink" Target="http://www.sec.gov/Archives/edgar/data/1326141/000156459016026508/lzd-ex34_617.htm" TargetMode="External"/><Relationship Id="rId103" Type="http://schemas.openxmlformats.org/officeDocument/2006/relationships/hyperlink" Target="http://www.sec.gov/Archives/edgar/data/1326141/000119312505145683/dex41.htm" TargetMode="External"/><Relationship Id="rId104" Type="http://schemas.openxmlformats.org/officeDocument/2006/relationships/hyperlink" Target="http://www.sec.gov/Archives/edgar/data/1326141/000119312507140250/dex41.htm" TargetMode="External"/><Relationship Id="rId105" Type="http://schemas.openxmlformats.org/officeDocument/2006/relationships/hyperlink" Target="http://www.sec.gov/Archives/edgar/data/1326141/000119312513442331/d627938dex41.htm" TargetMode="External"/><Relationship Id="rId106" Type="http://schemas.openxmlformats.org/officeDocument/2006/relationships/hyperlink" Target="http://www.sec.gov/Archives/edgar/data/1326141/000119312515050372/d871109dex41.htm" TargetMode="External"/><Relationship Id="rId107" Type="http://schemas.openxmlformats.org/officeDocument/2006/relationships/hyperlink" Target="http://www.sec.gov/Archives/edgar/data/1326141/000119312516760474/d275674dex41.htm" TargetMode="External"/><Relationship Id="rId108" Type="http://schemas.openxmlformats.org/officeDocument/2006/relationships/hyperlink" Target="http://www.sec.gov/Archives/edgar/data/1311370/000119312518277695/d614135dex41.htm" TargetMode="External"/><Relationship Id="rId109" Type="http://schemas.openxmlformats.org/officeDocument/2006/relationships/hyperlink" Target="http://www.sec.gov/Archives/edgar/data/1311370/000119312505025486/dex1019.htm" TargetMode="External"/><Relationship Id="rId110" Type="http://schemas.openxmlformats.org/officeDocument/2006/relationships/hyperlink" Target="http://www.sec.gov/Archives/edgar/data/1326141/000119312511117049/dex1015.htm" TargetMode="External"/><Relationship Id="rId111" Type="http://schemas.openxmlformats.org/officeDocument/2006/relationships/hyperlink" Target="http://www.sec.gov/Archives/edgar/data/1311370/000119312505091140/dex1021.htm" TargetMode="External"/><Relationship Id="rId112" Type="http://schemas.openxmlformats.org/officeDocument/2006/relationships/hyperlink" Target="http://www.sec.gov/Archives/edgar/data/1311370/000119312508063107/ddef14a.htm" TargetMode="External"/><Relationship Id="rId113" Type="http://schemas.openxmlformats.org/officeDocument/2006/relationships/hyperlink" Target="http://www.sec.gov/Archives/edgar/data/1311370/000119312516500308/d128121ddef14a.htm" TargetMode="External"/><Relationship Id="rId114" Type="http://schemas.openxmlformats.org/officeDocument/2006/relationships/hyperlink" Target="http://www.sec.gov/Archives/edgar/data/1311370/000119312518082725/d525181ddef14a.htm" TargetMode="External"/><Relationship Id="rId115" Type="http://schemas.openxmlformats.org/officeDocument/2006/relationships/hyperlink" Target="http://www.sec.gov/Archives/edgar/data/1326141/000119312516556968/d177065dex107.htm" TargetMode="External"/><Relationship Id="rId118" Type="http://schemas.openxmlformats.org/officeDocument/2006/relationships/hyperlink" Target="http://www.sec.gov/Archives/edgar/data/1326141/000119312516556968/d177065dex108.htm" TargetMode="External"/><Relationship Id="rId119" Type="http://schemas.openxmlformats.org/officeDocument/2006/relationships/hyperlink" Target="http://www.sec.gov/Archives/edgar/data/1326141/000119312516556968/d177065dex109.htm" TargetMode="External"/><Relationship Id="rId120" Type="http://schemas.openxmlformats.org/officeDocument/2006/relationships/hyperlink" Target="http://www.sec.gov/Archives/edgar/data/1326141/000119312516556968/d177065dex1010.htm" TargetMode="External"/><Relationship Id="rId121" Type="http://schemas.openxmlformats.org/officeDocument/2006/relationships/hyperlink" Target="http://www.sec.gov/Archives/edgar/data/1326141/000156459017020406/lzd-ex1011_801.htm" TargetMode="External"/><Relationship Id="rId122" Type="http://schemas.openxmlformats.org/officeDocument/2006/relationships/hyperlink" Target="http://www.sec.gov/Archives/edgar/data/1326141/000156459017020406/lzd-ex1012_802.htm" TargetMode="External"/><Relationship Id="rId123" Type="http://schemas.openxmlformats.org/officeDocument/2006/relationships/hyperlink" Target="http://www.sec.gov/Archives/edgar/data/1326141/000119312516556968/d177065dex1011.htm" TargetMode="External"/><Relationship Id="rId124" Type="http://schemas.openxmlformats.org/officeDocument/2006/relationships/hyperlink" Target="http://www.sec.gov/Archives/edgar/data/1311370/000089882205001180/sept9_exhibit.txt" TargetMode="External"/><Relationship Id="rId125" Type="http://schemas.openxmlformats.org/officeDocument/2006/relationships/hyperlink" Target="http://www.sec.gov/Archives/edgar/data/1311370/000119312509041325/dex1041.htm" TargetMode="External"/><Relationship Id="rId126" Type="http://schemas.openxmlformats.org/officeDocument/2006/relationships/hyperlink" Target="http://www.sec.gov/Archives/edgar/data/1311370/000119312509041325/dex1042.htm" TargetMode="External"/><Relationship Id="rId127" Type="http://schemas.openxmlformats.org/officeDocument/2006/relationships/hyperlink" Target="http://www.sec.gov/Archives/edgar/data/1311370/000119312506109044/dex1039.htm" TargetMode="External"/><Relationship Id="rId128" Type="http://schemas.openxmlformats.org/officeDocument/2006/relationships/hyperlink" Target="http://www.sec.gov/Archives/edgar/data/1326141/000119312515355050/d40575dex1025.htm" TargetMode="External"/><Relationship Id="rId129" Type="http://schemas.openxmlformats.org/officeDocument/2006/relationships/hyperlink" Target="http://www.sec.gov/Archives/edgar/data/1326141/000119312513188145/d507153dex1054.htm" TargetMode="External"/><Relationship Id="rId130" Type="http://schemas.openxmlformats.org/officeDocument/2006/relationships/hyperlink" Target="http://www.sec.gov/Archives/edgar/data/1326141/000119312514185018/d700862dex1054.htm" TargetMode="External"/><Relationship Id="rId131" Type="http://schemas.openxmlformats.org/officeDocument/2006/relationships/hyperlink" Target="http://www.sec.gov/Archives/edgar/data/1326141/000119312514185018/d700862dex1055.htm" TargetMode="External"/><Relationship Id="rId132" Type="http://schemas.openxmlformats.org/officeDocument/2006/relationships/hyperlink" Target="http://www.sec.gov/Archives/edgar/data/1326141/000119312510102282/dex1054.htm" TargetMode="External"/><Relationship Id="rId133" Type="http://schemas.openxmlformats.org/officeDocument/2006/relationships/hyperlink" Target="http://www.sec.gov/Archives/edgar/data/1326141/000119312511117049/dex10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2019-12-28T18:39:14Z</dcterms:created>
  <dcterms:modified xsi:type="dcterms:W3CDTF">2019-12-28T18:39:14Z</dcterms:modified>
</cp:coreProperties>
</file>