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3200"/>
          </w:cols>
          <w:pgMar w:left="240" w:top="571" w:right="25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60"/>
          </w:cols>
          <w:pgMar w:left="240" w:top="571"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400"/>
          </w:cols>
          <w:pgMar w:left="240" w:top="571" w:right="259" w:bottom="1440" w:gutter="0" w:footer="0" w:header="0"/>
          <w:type w:val="continuous"/>
        </w:sectPr>
      </w:pP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60"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October 19, 2018, there were 129,766,091 shares of the Registrant’s Class A common stock outstanding (including 11,694,113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September 30, 2018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2018 and December 31, 2017</w:t>
              </w:r>
            </w:hyperlink>
          </w:p>
        </w:tc>
        <w:tc>
          <w:tcPr>
            <w:tcW w:w="27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2018 and 2017</w:t>
              </w:r>
            </w:hyperlink>
          </w:p>
        </w:tc>
        <w:tc>
          <w:tcPr>
            <w:tcW w:w="122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10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2018 and 2017</w:t>
              </w:r>
            </w:hyperlink>
          </w:p>
        </w:tc>
        <w:tc>
          <w:tcPr>
            <w:tcW w:w="3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83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2018 and 2017</w:t>
              </w:r>
            </w:hyperlink>
          </w:p>
        </w:tc>
        <w:tc>
          <w:tcPr>
            <w:tcW w:w="238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Condensed Consolidated Statements of Changes in Stockholders’ Equity for the nine month periods ended September 30,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8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8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1,132,395</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1,483,836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1,015,872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$34,524 and $23,746</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September 30, 2018 and December 31, 2017,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546,808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640,787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571,616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$331,937 and $317,827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September 30, 2018 and December 31, 2017,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214,279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205,301</w:t>
            </w:r>
          </w:p>
        </w:tc>
        <w:tc>
          <w:tcPr>
            <w:tcW w:w="120" w:type="dxa"/>
            <w:vAlign w:val="bottom"/>
          </w:tcPr>
          <w:p>
            <w:pPr>
              <w:spacing w:after="0"/>
              <w:rPr>
                <w:sz w:val="20"/>
                <w:szCs w:val="20"/>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$65,576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$63,099 at September 30, 2018 and December 31, 2017,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379,241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650,260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228,144</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4,944,778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1,056,342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489,090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593,781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1,433,702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310,275</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573,588</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3,823,193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3,669,772</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4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Arial" w:cs="Arial" w:eastAsia="Arial" w:hAnsi="Arial"/>
                <w:sz w:val="18"/>
                <w:szCs w:val="18"/>
                <w:color w:val="auto"/>
              </w:rPr>
              <w:t>129,766,091 shares issued at September 30, 2018 and December 31, 2017,</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788,140</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1,140,610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1,080,413</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(260,365)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(232,518)</w:t>
            </w:r>
          </w:p>
        </w:tc>
      </w:tr>
      <w:tr>
        <w:trPr>
          <w:trHeight w:val="223"/>
        </w:trPr>
        <w:tc>
          <w:tcPr>
            <w:tcW w:w="6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1,583,392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1,637,333</w:t>
            </w:r>
          </w:p>
        </w:tc>
        <w:tc>
          <w:tcPr>
            <w:tcW w:w="120" w:type="dxa"/>
            <w:vAlign w:val="bottom"/>
          </w:tcPr>
          <w:p>
            <w:pPr>
              <w:spacing w:after="0"/>
              <w:rPr>
                <w:sz w:val="19"/>
                <w:szCs w:val="19"/>
                <w:color w:val="auto"/>
              </w:rPr>
            </w:pPr>
          </w:p>
        </w:tc>
      </w:tr>
      <w:tr>
        <w:trPr>
          <w:trHeight w:val="215"/>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(11,293,254 and 10,747,142</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at September 30, 2018 and December 31, 2017, respectively)</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(516,267)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(437,530)</w:t>
            </w: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1,199,803</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1,258,905</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4,944,778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2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309,690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305,530</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1,139,860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1,050,721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638,131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2,180,533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2,005,497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624,859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2,139,117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1,965,503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343,987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361,787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1,165,193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480,647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109,210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119,456,516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121,243,598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119,897,626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122,142,303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129,859,728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132,393,664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130,750,392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132,407,551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FF0FC"/>
          </w:tcPr>
          <w:p>
            <w:pPr>
              <w:ind w:left="260"/>
              <w:spacing w:after="0" w:line="192" w:lineRule="exact"/>
              <w:rPr>
                <w:sz w:val="20"/>
                <w:szCs w:val="20"/>
                <w:color w:val="auto"/>
              </w:rPr>
            </w:pPr>
            <w:r>
              <w:rPr>
                <w:rFonts w:ascii="Arial" w:cs="Arial" w:eastAsia="Arial" w:hAnsi="Arial"/>
                <w:sz w:val="18"/>
                <w:szCs w:val="18"/>
                <w:b w:val="1"/>
                <w:bCs w:val="1"/>
                <w:color w:val="auto"/>
              </w:rPr>
              <w:t>DIVIDENDS DECLARED PER SHARE OF</w:t>
            </w: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COMMON STOCK</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108,725</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111,470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418,765</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342,801</w:t>
            </w:r>
          </w:p>
        </w:tc>
        <w:tc>
          <w:tcPr>
            <w:tcW w:w="100" w:type="dxa"/>
            <w:vAlign w:val="bottom"/>
            <w:shd w:val="clear" w:color="auto" w:fill="CFF0FC"/>
          </w:tcPr>
          <w:p>
            <w:pPr>
              <w:spacing w:after="0"/>
              <w:rPr>
                <w:sz w:val="19"/>
                <w:szCs w:val="19"/>
                <w:color w:val="auto"/>
              </w:rPr>
            </w:pPr>
          </w:p>
        </w:tc>
      </w:tr>
      <w:tr>
        <w:trPr>
          <w:trHeight w:val="205"/>
        </w:trPr>
        <w:tc>
          <w:tcPr>
            <w:tcW w:w="55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(8,676)</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(34,783)</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62,847</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$214</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$(1,197) for the three months ended</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September 30, 2018 and 2017, respectively, and $618</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$(3,673) for the nine months ended September 30, 2018</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2017, respectively)</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(4,715)</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(13,819)</w:t>
            </w:r>
          </w:p>
        </w:tc>
      </w:tr>
      <w:tr>
        <w:trPr>
          <w:trHeight w:val="215"/>
        </w:trPr>
        <w:tc>
          <w:tcPr>
            <w:tcW w:w="552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640"/>
              <w:spacing w:after="0"/>
              <w:rPr>
                <w:sz w:val="20"/>
                <w:szCs w:val="20"/>
                <w:color w:val="auto"/>
              </w:rPr>
            </w:pPr>
            <w:r>
              <w:rPr>
                <w:rFonts w:ascii="Arial" w:cs="Arial" w:eastAsia="Arial" w:hAnsi="Arial"/>
                <w:sz w:val="18"/>
                <w:szCs w:val="18"/>
                <w:color w:val="auto"/>
              </w:rPr>
              <w:t>tax expense of $264 and $204 for the three months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640"/>
              <w:spacing w:after="0"/>
              <w:rPr>
                <w:sz w:val="20"/>
                <w:szCs w:val="20"/>
                <w:color w:val="auto"/>
              </w:rPr>
            </w:pPr>
            <w:r>
              <w:rPr>
                <w:rFonts w:ascii="Arial" w:cs="Arial" w:eastAsia="Arial" w:hAnsi="Arial"/>
                <w:sz w:val="18"/>
                <w:szCs w:val="18"/>
                <w:color w:val="auto"/>
              </w:rPr>
              <w:t>ended September 30, 2018 and 2017, respectively,</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640"/>
              <w:spacing w:after="0"/>
              <w:rPr>
                <w:sz w:val="20"/>
                <w:szCs w:val="20"/>
                <w:color w:val="auto"/>
              </w:rPr>
            </w:pPr>
            <w:r>
              <w:rPr>
                <w:rFonts w:ascii="Arial" w:cs="Arial" w:eastAsia="Arial" w:hAnsi="Arial"/>
                <w:sz w:val="18"/>
                <w:szCs w:val="18"/>
                <w:color w:val="auto"/>
              </w:rPr>
              <w:t>and $948 and $676 for the 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September 30, 2018 and 2017, respectively)</w:t>
            </w:r>
          </w:p>
        </w:tc>
        <w:tc>
          <w:tcPr>
            <w:tcW w:w="5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tcPr>
          <w:p>
            <w:pPr>
              <w:spacing w:after="0"/>
              <w:rPr>
                <w:sz w:val="20"/>
                <w:szCs w:val="20"/>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(27,846)</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52,551</w:t>
            </w:r>
          </w:p>
        </w:tc>
        <w:tc>
          <w:tcPr>
            <w:tcW w:w="10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390,919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395,352</w:t>
            </w:r>
          </w:p>
        </w:tc>
        <w:tc>
          <w:tcPr>
            <w:tcW w:w="100" w:type="dxa"/>
            <w:vAlign w:val="bottom"/>
          </w:tcPr>
          <w:p>
            <w:pPr>
              <w:spacing w:after="0"/>
              <w:rPr>
                <w:sz w:val="19"/>
                <w:szCs w:val="19"/>
                <w:color w:val="auto"/>
              </w:rPr>
            </w:pPr>
          </w:p>
        </w:tc>
      </w:tr>
      <w:tr>
        <w:trPr>
          <w:trHeight w:val="211"/>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FF0FC"/>
          </w:tcPr>
          <w:p>
            <w:pPr>
              <w:spacing w:after="0"/>
              <w:rPr>
                <w:sz w:val="20"/>
                <w:szCs w:val="20"/>
                <w:color w:val="auto"/>
              </w:rPr>
            </w:pPr>
          </w:p>
        </w:tc>
      </w:tr>
      <w:tr>
        <w:trPr>
          <w:trHeight w:val="205"/>
        </w:trPr>
        <w:tc>
          <w:tcPr>
            <w:tcW w:w="552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100,208</w:t>
            </w:r>
          </w:p>
        </w:tc>
        <w:tc>
          <w:tcPr>
            <w:tcW w:w="24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125,322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385,882</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389,690</w:t>
            </w:r>
          </w:p>
        </w:tc>
        <w:tc>
          <w:tcPr>
            <w:tcW w:w="10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gridSpan w:val="6"/>
          </w:tcPr>
          <w:p>
            <w:pPr>
              <w:jc w:val="right"/>
              <w:ind w:right="13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September 30,</w:t>
            </w: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89"/>
              <w:spacing w:after="0" w:line="143" w:lineRule="exact"/>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8"/>
              <w:spacing w:after="0" w:line="14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tcPr>
          <w:p>
            <w:pPr>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418,765</w:t>
            </w:r>
          </w:p>
        </w:tc>
        <w:tc>
          <w:tcPr>
            <w:tcW w:w="280" w:type="dxa"/>
            <w:vAlign w:val="bottom"/>
          </w:tcPr>
          <w:p>
            <w:pPr>
              <w:spacing w:after="0"/>
              <w:rPr>
                <w:sz w:val="14"/>
                <w:szCs w:val="14"/>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342,801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8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to net cash provided by (used in)</w:t>
            </w: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Depreciation and amortization of property</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25,303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23,209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deferred expenses and share-based incentive compensation</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294,380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285,162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Amortization and other acquisition-related (benefits) costs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(13,468)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tax provision</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6,523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operating assets: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Receivables-net</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(82,161)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112,499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Investments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(184,542)</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(144,592)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(71,053)</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operating liabilities: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Accrued compensation and benefits and other liabilities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(56,035)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(70,819)</w:t>
            </w:r>
          </w:p>
        </w:tc>
        <w:tc>
          <w:tcPr>
            <w:tcW w:w="0" w:type="dxa"/>
            <w:vAlign w:val="bottom"/>
          </w:tcPr>
          <w:p>
            <w:pPr>
              <w:spacing w:after="0"/>
              <w:rPr>
                <w:sz w:val="1"/>
                <w:szCs w:val="1"/>
                <w:color w:val="auto"/>
              </w:rPr>
            </w:pPr>
          </w:p>
        </w:tc>
      </w:tr>
      <w:tr>
        <w:trPr>
          <w:trHeight w:val="156"/>
        </w:trPr>
        <w:tc>
          <w:tcPr>
            <w:tcW w:w="68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291,460</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705,428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property</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(39,343)</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162"/>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Disposals of property</w:t>
            </w:r>
          </w:p>
        </w:tc>
        <w:tc>
          <w:tcPr>
            <w:tcW w:w="10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(37,978)</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(15,180)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Customer deposits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79,960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149,506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Contributions from noncontrolling interests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Issuance of senior debt, net of expenses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490,970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for:</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Senior debt</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(255,543)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Capital lease obligations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(57)</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Distributions to noncontrolling interests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(10,232)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(3,059)</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Payments under tax receivable agreement</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(31,897)</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Purchase of Class A common stock</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(306,591)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(252,538)</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Class A common stock dividends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(307,850)</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(292,293)</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Settlement of vested share-based incentive compensation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(109,485)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(67,384)</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financing activities</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(5,509)</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(10,073)</w:t>
            </w: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(455,681)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(483,959)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EFFECT OF EXCHANGE RATE CHANGES ON CASH AND CASH EQUIVALENTS AND</w:t>
            </w: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RESTRICTED CASH</w:t>
            </w: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(66,355)</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line="133" w:lineRule="exact"/>
              <w:rPr>
                <w:sz w:val="20"/>
                <w:szCs w:val="20"/>
                <w:color w:val="auto"/>
              </w:rPr>
            </w:pPr>
            <w:r>
              <w:rPr>
                <w:rFonts w:ascii="Arial" w:cs="Arial" w:eastAsia="Arial" w:hAnsi="Arial"/>
                <w:sz w:val="14"/>
                <w:szCs w:val="14"/>
                <w:b w:val="1"/>
                <w:bCs w:val="1"/>
                <w:color w:val="auto"/>
              </w:rPr>
              <w:t>NET (DECREASE) INCREASE IN CASH AND CASH EQUIVALENTS AND</w:t>
            </w:r>
          </w:p>
        </w:tc>
        <w:tc>
          <w:tcPr>
            <w:tcW w:w="1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4"/>
                <w:szCs w:val="14"/>
                <w:b w:val="1"/>
                <w:bCs w:val="1"/>
                <w:color w:val="auto"/>
              </w:rPr>
              <w:t>RESTRICTED CASH</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(268,554)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334,380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AND RESTRICTED CASH—January 1</w:t>
            </w:r>
          </w:p>
        </w:tc>
        <w:tc>
          <w:tcPr>
            <w:tcW w:w="10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2,454,806</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1,607,483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AND RESTRICTED CASH—September 30</w:t>
            </w:r>
          </w:p>
        </w:tc>
        <w:tc>
          <w:tcPr>
            <w:tcW w:w="10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2,186,252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1,941,863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WITHIN THE CONDENSED CONSOLIDATED STATEMENTS OF FINANCIAL</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800" w:type="dxa"/>
            <w:vAlign w:val="bottom"/>
          </w:tcPr>
          <w:p>
            <w:pPr>
              <w:ind w:left="120"/>
              <w:spacing w:after="0"/>
              <w:rPr>
                <w:sz w:val="20"/>
                <w:szCs w:val="20"/>
                <w:color w:val="auto"/>
              </w:rPr>
            </w:pPr>
            <w:r>
              <w:rPr>
                <w:rFonts w:ascii="Arial" w:cs="Arial" w:eastAsia="Arial" w:hAnsi="Arial"/>
                <w:sz w:val="14"/>
                <w:szCs w:val="14"/>
                <w:b w:val="1"/>
                <w:bCs w:val="1"/>
                <w:color w:val="auto"/>
              </w:rPr>
              <w:t>CONDITION:</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8"/>
        </w:trPr>
        <w:tc>
          <w:tcPr>
            <w:tcW w:w="6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2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1,132,395</w:t>
            </w:r>
          </w:p>
        </w:tc>
        <w:tc>
          <w:tcPr>
            <w:tcW w:w="2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1,483,836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260"/>
              <w:spacing w:after="0"/>
              <w:rPr>
                <w:sz w:val="20"/>
                <w:szCs w:val="20"/>
                <w:color w:val="auto"/>
              </w:rPr>
            </w:pPr>
            <w:r>
              <w:rPr>
                <w:rFonts w:ascii="Arial" w:cs="Arial" w:eastAsia="Arial" w:hAnsi="Arial"/>
                <w:sz w:val="14"/>
                <w:szCs w:val="14"/>
                <w:color w:val="auto"/>
              </w:rPr>
              <w:t>Deposits with banks and short-term investments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1,015,872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935,431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deposited with clearing organizations and other segregated cash</w:t>
            </w:r>
          </w:p>
        </w:tc>
        <w:tc>
          <w:tcPr>
            <w:tcW w:w="10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37,985</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TOTAL CASH AND CASH EQUIVALENTS AND RESTRICTED CASH</w:t>
            </w:r>
          </w:p>
        </w:tc>
        <w:tc>
          <w:tcPr>
            <w:tcW w:w="10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2,186,252</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2,454,806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8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Additional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19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Paid-In-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Stockholders’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Noncontrolling</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20" w:type="dxa"/>
            <w:vAlign w:val="bottom"/>
          </w:tcPr>
          <w:p>
            <w:pPr>
              <w:spacing w:after="0"/>
              <w:rPr>
                <w:sz w:val="13"/>
                <w:szCs w:val="13"/>
                <w:color w:val="auto"/>
              </w:rPr>
            </w:pPr>
          </w:p>
        </w:tc>
        <w:tc>
          <w:tcPr>
            <w:tcW w:w="920" w:type="dxa"/>
            <w:vAlign w:val="bottom"/>
            <w:tcBorders>
              <w:top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3"/>
                <w:szCs w:val="13"/>
                <w:color w:val="auto"/>
              </w:rPr>
            </w:pPr>
          </w:p>
        </w:tc>
        <w:tc>
          <w:tcPr>
            <w:tcW w:w="8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8"/>
              </w:rPr>
              <w:t>Equity</w:t>
            </w:r>
          </w:p>
        </w:tc>
      </w:tr>
      <w:tr>
        <w:trPr>
          <w:trHeight w:val="210"/>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7"/>
              </w:rPr>
              <w:t>Balance - January 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688,231</w:t>
            </w: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(314,222)</w:t>
            </w: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7,628,786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(273,506)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$ 1,235,987</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57,826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$ 1,293,813</w:t>
            </w:r>
          </w:p>
        </w:tc>
        <w:tc>
          <w:tcPr>
            <w:tcW w:w="60" w:type="dxa"/>
            <w:vAlign w:val="bottom"/>
            <w:tcBorders>
              <w:top w:val="single" w:sz="8" w:color="CFF0FC"/>
            </w:tcBorders>
            <w:shd w:val="clear" w:color="auto" w:fill="CFF0FC"/>
          </w:tcPr>
          <w:p>
            <w:pPr>
              <w:spacing w:after="0"/>
              <w:rPr>
                <w:sz w:val="18"/>
                <w:szCs w:val="18"/>
                <w:color w:val="auto"/>
              </w:rPr>
            </w:pPr>
          </w:p>
        </w:tc>
      </w:tr>
      <w:tr>
        <w:trPr>
          <w:trHeight w:val="206"/>
        </w:trPr>
        <w:tc>
          <w:tcPr>
            <w:tcW w:w="1920" w:type="dxa"/>
            <w:vAlign w:val="bottom"/>
          </w:tcPr>
          <w:p>
            <w:pPr>
              <w:spacing w:after="0"/>
              <w:rPr>
                <w:sz w:val="20"/>
                <w:szCs w:val="20"/>
                <w:color w:val="auto"/>
              </w:rPr>
            </w:pPr>
            <w:r>
              <w:rPr>
                <w:rFonts w:ascii="Arial" w:cs="Arial" w:eastAsia="Arial" w:hAnsi="Arial"/>
                <w:sz w:val="16"/>
                <w:szCs w:val="16"/>
                <w:color w:val="auto"/>
              </w:rPr>
              <w:t>Adjustment for the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6"/>
                <w:szCs w:val="16"/>
                <w:color w:val="auto"/>
              </w:rPr>
              <w:t>cumulative effect on prior</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ind w:left="120"/>
              <w:spacing w:after="0"/>
              <w:rPr>
                <w:sz w:val="20"/>
                <w:szCs w:val="20"/>
                <w:color w:val="auto"/>
              </w:rPr>
            </w:pPr>
            <w:r>
              <w:rPr>
                <w:rFonts w:ascii="Arial" w:cs="Arial" w:eastAsia="Arial" w:hAnsi="Arial"/>
                <w:sz w:val="16"/>
                <w:szCs w:val="16"/>
                <w:color w:val="auto"/>
              </w:rPr>
              <w:t>years from the adoption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6"/>
                <w:szCs w:val="16"/>
                <w:color w:val="auto"/>
              </w:rPr>
              <w:t>of new accounting</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ind w:left="120"/>
              <w:spacing w:after="0"/>
              <w:rPr>
                <w:sz w:val="20"/>
                <w:szCs w:val="20"/>
                <w:color w:val="auto"/>
              </w:rPr>
            </w:pPr>
            <w:r>
              <w:rPr>
                <w:rFonts w:ascii="Arial" w:cs="Arial" w:eastAsia="Arial" w:hAnsi="Arial"/>
                <w:sz w:val="16"/>
                <w:szCs w:val="16"/>
                <w:color w:val="auto"/>
                <w:w w:val="95"/>
              </w:rPr>
              <w:t>guidance related to share-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6"/>
                <w:szCs w:val="16"/>
                <w:color w:val="auto"/>
              </w:rPr>
              <w:t>based incentive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60" w:type="dxa"/>
            <w:vAlign w:val="bottom"/>
          </w:tcPr>
          <w:p>
            <w:pPr>
              <w:spacing w:after="0"/>
              <w:rPr>
                <w:sz w:val="18"/>
                <w:szCs w:val="18"/>
                <w:color w:val="auto"/>
              </w:rPr>
            </w:pPr>
          </w:p>
        </w:tc>
      </w:tr>
      <w:tr>
        <w:trPr>
          <w:trHeight w:val="203"/>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adjusted -</w:t>
            </w: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January 1, 2017</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129,766,091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688,231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1,215,730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(314,222)</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7,628,786</w:t>
            </w: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1,317,531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57,826</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1,375,357</w:t>
            </w:r>
          </w:p>
        </w:tc>
        <w:tc>
          <w:tcPr>
            <w:tcW w:w="60" w:type="dxa"/>
            <w:vAlign w:val="bottom"/>
            <w:shd w:val="clear" w:color="auto" w:fill="CFF0FC"/>
          </w:tcPr>
          <w:p>
            <w:pPr>
              <w:spacing w:after="0"/>
              <w:rPr>
                <w:sz w:val="18"/>
                <w:szCs w:val="18"/>
                <w:color w:val="auto"/>
              </w:rPr>
            </w:pPr>
          </w:p>
        </w:tc>
      </w:tr>
      <w:tr>
        <w:trPr>
          <w:trHeight w:val="213"/>
        </w:trPr>
        <w:tc>
          <w:tcPr>
            <w:tcW w:w="192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337,141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337,141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5,660</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342,801</w:t>
            </w:r>
          </w:p>
        </w:tc>
        <w:tc>
          <w:tcPr>
            <w:tcW w:w="60" w:type="dxa"/>
            <w:vAlign w:val="bottom"/>
            <w:shd w:val="clear" w:color="auto" w:fill="CFF0FC"/>
          </w:tcPr>
          <w:p>
            <w:pPr>
              <w:spacing w:after="0"/>
              <w:rPr>
                <w:sz w:val="19"/>
                <w:szCs w:val="19"/>
                <w:color w:val="auto"/>
              </w:rPr>
            </w:pPr>
          </w:p>
        </w:tc>
      </w:tr>
      <w:tr>
        <w:trPr>
          <w:trHeight w:val="206"/>
        </w:trPr>
        <w:tc>
          <w:tcPr>
            <w:tcW w:w="192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ind w:left="140"/>
              <w:spacing w:after="0"/>
              <w:rPr>
                <w:sz w:val="20"/>
                <w:szCs w:val="20"/>
                <w:color w:val="auto"/>
              </w:rPr>
            </w:pPr>
            <w:r>
              <w:rPr>
                <w:rFonts w:ascii="Arial" w:cs="Arial" w:eastAsia="Arial" w:hAnsi="Arial"/>
                <w:sz w:val="16"/>
                <w:szCs w:val="16"/>
                <w:color w:val="auto"/>
              </w:rPr>
              <w:t>income - net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20" w:type="dxa"/>
            <w:vAlign w:val="bottom"/>
          </w:tcPr>
          <w:p>
            <w:pPr>
              <w:ind w:left="260"/>
              <w:spacing w:after="0"/>
              <w:rPr>
                <w:sz w:val="20"/>
                <w:szCs w:val="20"/>
                <w:color w:val="auto"/>
              </w:rPr>
            </w:pPr>
            <w:r>
              <w:rPr>
                <w:rFonts w:ascii="Arial" w:cs="Arial" w:eastAsia="Arial" w:hAnsi="Arial"/>
                <w:sz w:val="16"/>
                <w:szCs w:val="16"/>
                <w:color w:val="auto"/>
              </w:rPr>
              <w:t>of tax</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52,549</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52,549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52,551</w:t>
            </w:r>
          </w:p>
        </w:tc>
        <w:tc>
          <w:tcPr>
            <w:tcW w:w="60" w:type="dxa"/>
            <w:vAlign w:val="bottom"/>
          </w:tcPr>
          <w:p>
            <w:pPr>
              <w:spacing w:after="0"/>
              <w:rPr>
                <w:sz w:val="18"/>
                <w:szCs w:val="18"/>
                <w:color w:val="auto"/>
              </w:rPr>
            </w:pPr>
          </w:p>
        </w:tc>
      </w:tr>
      <w:tr>
        <w:trPr>
          <w:trHeight w:val="209"/>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60" w:type="dxa"/>
            <w:vAlign w:val="bottom"/>
            <w:shd w:val="clear" w:color="auto" w:fill="CFF0FC"/>
          </w:tcPr>
          <w:p>
            <w:pPr>
              <w:spacing w:after="0"/>
              <w:rPr>
                <w:sz w:val="18"/>
                <w:szCs w:val="18"/>
                <w:color w:val="auto"/>
              </w:rPr>
            </w:pPr>
          </w:p>
        </w:tc>
      </w:tr>
      <w:tr>
        <w:trPr>
          <w:trHeight w:val="213"/>
        </w:trPr>
        <w:tc>
          <w:tcPr>
            <w:tcW w:w="1920" w:type="dxa"/>
            <w:vAlign w:val="bottom"/>
          </w:tcPr>
          <w:p>
            <w:pPr>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36,482</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(41,479)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(4,997)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(4,997)</w:t>
            </w:r>
          </w:p>
        </w:tc>
      </w:tr>
      <w:tr>
        <w:trPr>
          <w:trHeight w:val="209"/>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(292,293)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(292,293)</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(292,293)</w:t>
            </w:r>
          </w:p>
        </w:tc>
      </w:tr>
      <w:tr>
        <w:trPr>
          <w:trHeight w:val="206"/>
        </w:trPr>
        <w:tc>
          <w:tcPr>
            <w:tcW w:w="1920" w:type="dxa"/>
            <w:vAlign w:val="bottom"/>
          </w:tcPr>
          <w:p>
            <w:pPr>
              <w:spacing w:after="0"/>
              <w:rPr>
                <w:sz w:val="20"/>
                <w:szCs w:val="20"/>
                <w:color w:val="auto"/>
              </w:rPr>
            </w:pPr>
            <w:r>
              <w:rPr>
                <w:rFonts w:ascii="Arial" w:cs="Arial" w:eastAsia="Arial" w:hAnsi="Arial"/>
                <w:sz w:val="16"/>
                <w:szCs w:val="16"/>
                <w:color w:val="auto"/>
              </w:rPr>
              <w:t>Purchase of Class 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20" w:type="dxa"/>
            <w:vAlign w:val="bottom"/>
          </w:tcPr>
          <w:p>
            <w:pPr>
              <w:spacing w:after="0"/>
              <w:rPr>
                <w:sz w:val="20"/>
                <w:szCs w:val="20"/>
                <w:color w:val="auto"/>
              </w:rPr>
            </w:pPr>
            <w:r>
              <w:rPr>
                <w:rFonts w:ascii="Arial" w:cs="Arial" w:eastAsia="Arial" w:hAnsi="Arial"/>
                <w:sz w:val="16"/>
                <w:szCs w:val="16"/>
                <w:color w:val="auto"/>
              </w:rPr>
              <w:t>common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5,838,520</w:t>
            </w:r>
          </w:p>
        </w:tc>
        <w:tc>
          <w:tcPr>
            <w:tcW w:w="1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(252,538)</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(252,538)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(252,538)</w:t>
            </w:r>
          </w:p>
        </w:tc>
      </w:tr>
      <w:tr>
        <w:trPr>
          <w:trHeight w:val="209"/>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6"/>
              </w:rPr>
              <w:t>compensation and related</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$4,819</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6"/>
              </w:rPr>
              <w:t>(212,271)</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(3,772,169)</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140,068</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(72,203)</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(72,203)</w:t>
            </w:r>
          </w:p>
        </w:tc>
      </w:tr>
      <w:tr>
        <w:trPr>
          <w:trHeight w:val="206"/>
        </w:trPr>
        <w:tc>
          <w:tcPr>
            <w:tcW w:w="192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1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20" w:type="dxa"/>
            <w:vAlign w:val="bottom"/>
            <w:shd w:val="clear" w:color="auto" w:fill="CFF0FC"/>
          </w:tcPr>
          <w:p>
            <w:pPr>
              <w:ind w:left="380"/>
              <w:spacing w:after="0"/>
              <w:rPr>
                <w:sz w:val="20"/>
                <w:szCs w:val="20"/>
                <w:color w:val="auto"/>
              </w:rPr>
            </w:pPr>
            <w:r>
              <w:rPr>
                <w:rFonts w:ascii="Arial" w:cs="Arial" w:eastAsia="Arial" w:hAnsi="Arial"/>
                <w:sz w:val="16"/>
                <w:szCs w:val="16"/>
                <w:color w:val="auto"/>
                <w:w w:val="95"/>
              </w:rPr>
              <w:t>and related tax benefit</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 $832</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(472)</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(47,474)</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1,437</w:t>
            </w:r>
          </w:p>
        </w:tc>
        <w:tc>
          <w:tcPr>
            <w:tcW w:w="60" w:type="dxa"/>
            <w:vAlign w:val="bottom"/>
            <w:shd w:val="clear" w:color="auto" w:fill="CFF0FC"/>
          </w:tcPr>
          <w:p>
            <w:pPr>
              <w:spacing w:after="0"/>
              <w:rPr>
                <w:sz w:val="18"/>
                <w:szCs w:val="18"/>
                <w:color w:val="auto"/>
              </w:rPr>
            </w:pPr>
          </w:p>
        </w:tc>
      </w:tr>
      <w:tr>
        <w:trPr>
          <w:trHeight w:val="206"/>
        </w:trPr>
        <w:tc>
          <w:tcPr>
            <w:tcW w:w="192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2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2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18"/>
                <w:szCs w:val="18"/>
                <w:color w:val="auto"/>
              </w:rPr>
            </w:pPr>
          </w:p>
        </w:tc>
      </w:tr>
      <w:tr>
        <w:trPr>
          <w:trHeight w:val="209"/>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w w:val="97"/>
              </w:rPr>
              <w:t>noncontrolling interests, net</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(3,059)</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(3,059)</w:t>
            </w:r>
          </w:p>
        </w:tc>
      </w:tr>
      <w:tr>
        <w:trPr>
          <w:trHeight w:val="213"/>
        </w:trPr>
        <w:tc>
          <w:tcPr>
            <w:tcW w:w="192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60" w:type="dxa"/>
            <w:vAlign w:val="bottom"/>
          </w:tcPr>
          <w:p>
            <w:pPr>
              <w:spacing w:after="0"/>
              <w:rPr>
                <w:sz w:val="18"/>
                <w:szCs w:val="18"/>
                <w:color w:val="auto"/>
              </w:rPr>
            </w:pPr>
          </w:p>
        </w:tc>
      </w:tr>
      <w:tr>
        <w:trPr>
          <w:trHeight w:val="19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September 30,</w:t>
            </w: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3"/>
        </w:trPr>
        <w:tc>
          <w:tcPr>
            <w:tcW w:w="19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2017</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3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732,981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$ 1,219,303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(261,673)</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9,647,663</w:t>
            </w: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95"/>
              </w:rPr>
              <w:t>$ (384,067)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$ 1,307,842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60,633</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$ 1,368,475</w:t>
            </w:r>
          </w:p>
        </w:tc>
        <w:tc>
          <w:tcPr>
            <w:tcW w:w="60" w:type="dxa"/>
            <w:vAlign w:val="bottom"/>
            <w:shd w:val="clear" w:color="auto" w:fill="CFF0FC"/>
          </w:tcPr>
          <w:p>
            <w:pPr>
              <w:spacing w:after="0"/>
              <w:rPr>
                <w:sz w:val="18"/>
                <w:szCs w:val="18"/>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788,140</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$ 1,080,413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(232,518)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10,747,142</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(437,530)</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59,102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$ 1,258,905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413,729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5,036</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418,765</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loss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(27,847)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(27,847)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(27,846)</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38,923</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(44,432)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(5,509)</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(307,850)</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(307,850)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(307,850)</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w w:val="93"/>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5,797,789</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(306,591)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(306,591)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(306,591)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$7,745</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(345,023)</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(5,249,819)</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227,793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(117,230)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(117,230)</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(1,858)</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equivalents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Distributions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(9,679)</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(9,679)</w:t>
            </w:r>
          </w:p>
        </w:tc>
      </w:tr>
      <w:tr>
        <w:trPr>
          <w:trHeight w:val="199"/>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September 30,</w:t>
            </w: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2018</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701,849</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$ 1,140,610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(260,365)</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11,293,254</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90"/>
              </w:rPr>
              <w:t>$ (516,267)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$ 1,067,125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54,460</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$ 1,121,585</w:t>
            </w:r>
          </w:p>
        </w:tc>
        <w:tc>
          <w:tcPr>
            <w:tcW w:w="100" w:type="dxa"/>
            <w:vAlign w:val="bottom"/>
            <w:shd w:val="clear" w:color="auto" w:fill="CFF0FC"/>
          </w:tcPr>
          <w:p>
            <w:pPr>
              <w:spacing w:after="0"/>
              <w:rPr>
                <w:sz w:val="18"/>
                <w:szCs w:val="18"/>
                <w:color w:val="auto"/>
              </w:rPr>
            </w:pPr>
          </w:p>
        </w:tc>
      </w:tr>
      <w:tr>
        <w:trPr>
          <w:trHeight w:val="20"/>
        </w:trPr>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September 30, 2018 and December 31, 2017.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jc w:val="both"/>
        <w:ind w:left="900" w:right="6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2018 are not indicative of the results to be expected for any future interim or annual period.</w:t>
      </w:r>
    </w:p>
    <w:p>
      <w:pPr>
        <w:spacing w:after="0" w:line="17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including the potential requirement under the new guidance to recognize certain transaction completion fees in periods prior to the periods in which the applicable transactions close. The Company’s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78"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three month and nine month periods ended September 30, 2018, the presentation of such costs on a gross basis resulted in an increase to net revenue of $24,392 and $72,006, respectively, primarily comprised of increases to asset management fees and investment banking and other advisory fees. In addition, there was a corresponding increase to operating expenses of $24,392 and $72,006, respectively, primarily comprised of an increase to distribution costs presented within fund administration and outsourced services and an increase to reimbursable deal costs presented within marketing and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development. These amounts would have been presented on a net basis prior to the adoption of the new guidance, and there was no material impact to net income as a result of the gross basis of presentation under the new guidance.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organizations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32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FASB issued updated guidance for leases. The guidance requires a lessee to (i) recognize a right-of-use asset and a</w:t>
      </w:r>
      <w:r>
        <w:rPr>
          <w:rFonts w:ascii="Arial" w:cs="Arial" w:eastAsia="Arial" w:hAnsi="Arial"/>
          <w:sz w:val="17"/>
          <w:szCs w:val="17"/>
          <w:i w:val="1"/>
          <w:iCs w:val="1"/>
          <w:color w:val="auto"/>
        </w:rPr>
        <w:t xml:space="preserve"> </w:t>
      </w:r>
      <w:r>
        <w:rPr>
          <w:rFonts w:ascii="Arial" w:cs="Arial" w:eastAsia="Arial" w:hAnsi="Arial"/>
          <w:sz w:val="17"/>
          <w:szCs w:val="17"/>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Currently, the Company plans to adopt the new guidance as of the effective date, January 1, 2019, and is considering the practical expedients available. The new guidance is to be applied on a modified retrospective basis.</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continues to evaluate the new guidance, and is in the process of evaluating its leasing activities and contracts, as well as processes and internal controls over financial reporting relating to its leasing activities. See Note 11 for further information on the Company's commitments under lease agreements. The population of contracts potentially subject to recognition in the statement of financial condition and their initial measurement remains under evaluation.</w:t>
      </w:r>
    </w:p>
    <w:p>
      <w:pPr>
        <w:spacing w:after="0" w:line="18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In June 2018, the FASB issued updated guidance to simplify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with early adoption permitted. Upon adoption, the new guidance would be applied on a modified retrospective basis. The Company is currently evaluating the new guidance.</w:t>
      </w:r>
    </w:p>
    <w:p>
      <w:pPr>
        <w:spacing w:after="0" w:line="165"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i w:val="1"/>
          <w:iCs w:val="1"/>
          <w:color w:val="auto"/>
        </w:rPr>
        <w:t>Fair Value Measurement: Changes to the Disclosure Requirements for Fair Value Measurement</w:t>
      </w:r>
      <w:r>
        <w:rPr>
          <w:rFonts w:ascii="Arial" w:cs="Arial" w:eastAsia="Arial" w:hAnsi="Arial"/>
          <w:sz w:val="17"/>
          <w:szCs w:val="17"/>
          <w:color w:val="auto"/>
        </w:rPr>
        <w:t>—In August 2018, the FASB issued updated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The Company is currently evaluating the new guidance.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i w:val="1"/>
          <w:iCs w:val="1"/>
          <w:color w:val="auto"/>
        </w:rPr>
        <w:t>Compensation–Retirement Benefits: Changes to the Disclosure Requirements for Defined Benefit Plans</w:t>
      </w:r>
      <w:r>
        <w:rPr>
          <w:rFonts w:ascii="Arial" w:cs="Arial" w:eastAsia="Arial" w:hAnsi="Arial"/>
          <w:sz w:val="17"/>
          <w:szCs w:val="17"/>
          <w:color w:val="auto"/>
        </w:rPr>
        <w:t>—In August 2018, the FASB issued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The Company is currently evaluating the new guidance.</w:t>
      </w:r>
    </w:p>
    <w:p>
      <w:pPr>
        <w:spacing w:after="0" w:line="15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Receivables relating to asset management and incentive fees are reported in “fees receivable” on the consolidated statements of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September 30, 2018 (d)</w:t>
            </w:r>
          </w:p>
        </w:tc>
        <w:tc>
          <w:tcPr>
            <w:tcW w:w="2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September 30, 2018 (d)</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Financial Advisory (a)</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310,418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1,141,628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323,283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1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1,032,111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right="120" w:hanging="372"/>
        <w:spacing w:after="0" w:line="26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5" w:lineRule="exact"/>
        <w:rPr>
          <w:rFonts w:ascii="Arial" w:cs="Arial" w:eastAsia="Arial" w:hAnsi="Arial"/>
          <w:sz w:val="17"/>
          <w:szCs w:val="17"/>
          <w:color w:val="auto"/>
        </w:rPr>
      </w:pPr>
    </w:p>
    <w:p>
      <w:pPr>
        <w:ind w:left="380" w:hanging="372"/>
        <w:spacing w:after="0" w:line="25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8" w:lineRule="exact"/>
        <w:rPr>
          <w:rFonts w:ascii="Arial" w:cs="Arial" w:eastAsia="Arial" w:hAnsi="Arial"/>
          <w:sz w:val="18"/>
          <w:szCs w:val="18"/>
          <w:color w:val="auto"/>
        </w:rPr>
      </w:pPr>
    </w:p>
    <w:p>
      <w:pPr>
        <w:ind w:left="380" w:right="36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7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in the allowance for doubtful accounts for the three month and nine month periods ended September 30, 2018 and 2017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34,956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25,094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18,584</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(1,920)</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(2,383)</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(7,328)</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(7,506)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34,524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27,464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September 30, 2018 and December 31, 2017, the Company had receivables past due or deemed uncollectible of $38,098 and $34,865, respectively.</w:t>
      </w:r>
    </w:p>
    <w:p>
      <w:pPr>
        <w:spacing w:after="0" w:line="248"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Of the Company’s fee receivables at September 30, 2018 and December 31, 2017, $77,540 and $80,536,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$563,247 and $491,080 at September 30, 2018 and December 31, 2017,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2018 and December 31,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89,476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609,076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940" w:hanging="372"/>
        <w:spacing w:after="0" w:line="30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Interests in alternative investment funds, debt funds and equity funds include investments with fair values of $9,979, $59,282 and $149,813, respectively, at September 30, 2018 and $11,213, $48,391 and $131,893, respectively, at December 31, 2017, held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181"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three month and nine month periods ended September 30, 2018 and 2017,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1,972</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6,949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The following tables present, as of September 30,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546,799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616,566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jc w:val="center"/>
              <w:ind w:left="679"/>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79"/>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2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(1,669)</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(249)</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right="140" w:hanging="372"/>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nine month periods ended September 30, 2018 and the three month and nine month periods ended September 30, 2017 include net unrealized gains of $0, $61, $130 and $2, respectively. Earnings recorded in “amortization and other acquisition-related (benefits) costs” for the contingent consideration liability for the three month and nine month periods ended September 30, 2018 and the three month and nine month periods ended September 30, 2017 include unrealized (gains) losses of $(6,707), $(16,020), $(612) and $2,568, respectively.</w:t>
      </w:r>
    </w:p>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2018 and 2017.</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8,632</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36%</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49%</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8,632</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(47%), quarterly (31%) and annually (4%)</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$15,257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2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Investments Not Redeemable</w:t>
            </w: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8"/>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$7,847.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September 30,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4,709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2,434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80" w:hanging="372"/>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$3,401 and $937 as of September 30, 2018, respectively, and $469 and $11,321 as of December 31, 2017, respectively, for contracts with the same counterparty under legally enforceable master netting agreements. Such amounts are recorded “net” in “other assets”, with receivables for net cash collateral under such contracts of $2,316 and $17,616 as of September 30, 2018 and December 31, 2017, respectively.</w:t>
      </w:r>
    </w:p>
    <w:p>
      <w:pPr>
        <w:spacing w:after="0" w:line="200"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2018 and 2017,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(4,875)</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(17,981)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(12,872)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2018 and December 31, 2017, property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331,937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317,827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214,279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22</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374,994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379,241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2018 and December 31, 2017, goodwill of $310,453 and $320,751,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2018 and 2017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69,823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65,576</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nine month periods ended September 30, 2018 was $856 and $2,552, respectively, and for the three month and nine month periods ended September 30, 2017 was $784 and $2,435,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040" w:hanging="4464"/>
        <w:spacing w:after="0" w:line="543" w:lineRule="auto"/>
        <w:tabs>
          <w:tab w:leader="none" w:pos="15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38% of intangible asset amortization is attributable to a noncontrolling interest.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396,994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296,686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Senior Notes (b)</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491,000</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1,433,702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6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Lazard Group’s 3.625% senior notes due March 1, 2027 (the “2027 Notes”) and Lazard Group’s 4.50% senior notes due September 19, 2028 (the “2028 Notes”) are 4.44%, 3.87%, 3.76% and 4.68%, respectively.</w:t>
      </w:r>
    </w:p>
    <w:p>
      <w:pPr>
        <w:spacing w:after="0" w:line="5" w:lineRule="exact"/>
        <w:rPr>
          <w:rFonts w:ascii="Arial" w:cs="Arial" w:eastAsia="Arial" w:hAnsi="Arial"/>
          <w:sz w:val="18"/>
          <w:szCs w:val="18"/>
          <w:color w:val="auto"/>
        </w:rPr>
      </w:pPr>
    </w:p>
    <w:p>
      <w:pPr>
        <w:ind w:left="380" w:right="160" w:hanging="372"/>
        <w:spacing w:after="0" w:line="297"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September 2018, Lazard Group completed an offering of $500,000 aggregate principal amount of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 which, including the recognition of unamortized issuance costs, resulted in a loss on debt extinguishment of $6,523. Such loss on debt extinguishment was recorded in “operating expenses—other” on the condensed consolidated statement of operations for the three month and nine month periods ended September 30, 2018.</w:t>
      </w:r>
    </w:p>
    <w:p>
      <w:pPr>
        <w:spacing w:after="0" w:line="17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2018 and December 31, 2017,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2018, the Company was in compliance with such provisions. All of the Company’s senior debt obligations are unsecured.</w:t>
      </w:r>
    </w:p>
    <w:p>
      <w:pPr>
        <w:spacing w:after="0" w:line="14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As of September 30, 2018, the Company had approximately $169,000 in unused lines of credit available to it, including the credit facility provided under the Amended and Restated Credit Agreement and unused lines of credit available to LFB of approximately $17,000 (at September 30, 2018 exchange rates).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senior debt at September 30, 2018 and December 31, 2017 is carried at historical amounts of $1,433,702 and $1,190,383, respectively. At those dates, the fair value of such senior debt was approximately $1,407,000 and $1,230,000, respectively. The fair value of the Company’s senior debt is based on market quotations. The Company’s senior debt would be categorized within Level 2 of the hierarchy of fair value measurements if carried at fair value.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—The Company has various leases and other contractual commitments arising in the ordinary course of business. At September 30,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minimum rental commitments under non-cancelable operating leases, net of sublease income, are approximately as follows: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(October 1 through December 31)</w:t>
            </w:r>
          </w:p>
        </w:tc>
        <w:tc>
          <w:tcPr>
            <w:tcW w:w="28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893,383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23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3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 August 2018, the Company entered into a lease agreement for additional office facilities. Operating lease commitments in the table above include the impact of the new lease agreement.</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2018, LFB had $4,961 of such indemnifications and held $4,961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the remaining consideration consists of (i) 60,817 shares of Class A common stock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non-compete provisions, and non-contingent interests exchangeable into 202,984 shares of Class A common stock, and (ii) up to 810,742 additional shares of Class A common stock that are subject to certain performance thresholds, as well as applicable related dividend equivalent amounts. As of September 30, 2018, none of the contingent shares had been earned.</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2018, LFB and LFNY had no such underwriting commitments.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2018 and since 2015,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5,838,520</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2018</w:t>
            </w:r>
          </w:p>
        </w:tc>
        <w:tc>
          <w:tcPr>
            <w:tcW w:w="4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5,797,789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During the nine month periods ended September 30,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nine month periods ended September 30, 2018 and 2017, the Company purchased shares of Class A common stock from certain of our executive officers. The aggregate value of all such purchases during the nine month periods ended September 30, 2018 and 2017 was approximately $16,400 and $14,700, respectively.</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September 30, 2018, a total of $241,793 of share repurchase authorization remained available under the Company’s share repurchase program, which will expire on December 31, 2020.</w:t>
      </w:r>
    </w:p>
    <w:p>
      <w:pPr>
        <w:spacing w:after="0" w:line="170" w:lineRule="exact"/>
        <w:rPr>
          <w:sz w:val="20"/>
          <w:szCs w:val="20"/>
          <w:color w:val="auto"/>
        </w:rPr>
      </w:pPr>
    </w:p>
    <w:p>
      <w:pPr>
        <w:ind w:right="620" w:firstLine="518"/>
        <w:spacing w:after="0" w:line="264" w:lineRule="auto"/>
        <w:rPr>
          <w:sz w:val="20"/>
          <w:szCs w:val="20"/>
          <w:color w:val="auto"/>
        </w:rPr>
      </w:pPr>
      <w:r>
        <w:rPr>
          <w:rFonts w:ascii="Arial" w:cs="Arial" w:eastAsia="Arial" w:hAnsi="Arial"/>
          <w:sz w:val="18"/>
          <w:szCs w:val="18"/>
          <w:color w:val="auto"/>
        </w:rPr>
        <w:t>In addition, on October 24, 2018, the Board of Directors of Lazard authorized the repurchase of up to $300,000 of additional shares of Class A common stock, which authorization will expire on December 31, 2020, bringing the total share repurchase authorization as of October 24, 2018 to approximately $524,000.</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nine month period ended September 30, 2018,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September 30, 2018 and December 31, 2017, no shares of Series A or Series B preferred stock were outstanding.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and activity during the three month and nine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(109,642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(143,859</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(253,501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(7,813)</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(34,783)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(30,634)</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(27,846)</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(112,105</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(165,682</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(13,819)</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49,028</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52,551</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adjustments for items reclassified out of AOCI, by component, for the three month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1,213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2018 and 2017 and noncontrolling interests as of September 30, 2018 and December 31, 2017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120" w:type="dxa"/>
            <w:vAlign w:val="bottom"/>
            <w:gridSpan w:val="5"/>
          </w:tcPr>
          <w:p>
            <w:pPr>
              <w:jc w:val="center"/>
              <w:ind w:left="32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right"/>
              <w:ind w:right="5"/>
              <w:spacing w:after="0" w:line="147"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left="339"/>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1,651</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2,260</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5,034</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1,651</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2,260</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5,036</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right"/>
              <w:ind w:right="29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53,902</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558</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54,460</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59,102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October 24, 2018</w:t>
      </w:r>
      <w:r>
        <w:rPr>
          <w:rFonts w:ascii="Arial" w:cs="Arial" w:eastAsia="Arial" w:hAnsi="Arial"/>
          <w:sz w:val="18"/>
          <w:szCs w:val="18"/>
          <w:color w:val="auto"/>
        </w:rPr>
        <w:t>—On October 24, 2018, the Board of Directors of Lazard declared a quarterly dividend of $0.44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Class A common stock, payable on November 16, 2018, to stockholders of record on November 5,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nine month periods ended September 30,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166"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and nine month periods ended September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38,121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39,898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154,643</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150,193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30,507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220,648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2018 and 2017,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746,324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866,914</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38,923</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36,482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30,463 and 31,280 DSUs granted during the nine month periods ended September 30,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8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2018 and 2017, 9,837 and 10,541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746,324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4,096,939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(130,138)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(5,603,901)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11,282,746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866,914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5,294,156</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41,821</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(162,320)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(3,977,477)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12,852,497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275,081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nine month periods ended September 30, 2018 and 2017, the Company satisfied its minimum statutory tax withholding requirements in lieu of delivering 1,640,513 and 1,282,843 shares of Class A common stock during such respective nine month periods. Accordingly, 3,963,388 and 2,694,634 shares of Class A common stock held by the Company were delivered during the nine month periods ended September 30, 2018 and 2017, respectively.</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September 30, 2018, estimated unrecognized RSU compensation expense was approximately $166,534, with such expense expected to be recognized over a weighted average period of approximately 0.8 years subsequent to September 30, 2018.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(30,950)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(869,312)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1,567,885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(65,086)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(483,811)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1,947,531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2018 and 2017, the Company satisfied its minimum statutory tax withholding requirements in lieu of delivering 290,321 and 147,775 shares of Class A common stock during such respective nine month periods. Accordingly, 578,991 and 336,036 shares of Class A common stock held by the Company were delivered during the nine month periods ended September 30, 2018 and 2017,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September 30, 2018, estimated unrecognized restricted stock expense was approximately $24,463, with such expense to be recognized over a weighted average period of approximately 0.8 years subsequent to September 30, 2018.</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20" w:hanging="51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nine month periods ended September 30, 2018 and 2017, the Company satisfied its minimum statutory tax withholding requirements in lieu of delivering 91,962 and 127,530 shares of Class A common stock during such respective nine month periods. Accordingly, 707,440 and 698,035 shares of Class A common stock held by the Company were delivered during the nine month periods ended September 30, 2018 and 2017, respectively.</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2018, the total estimated unrecognized compensation expense was approximately $9,487, and the Company expects to amortize such expense over a weighted-average period of approximately 0.8 years subsequent to September 30,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(85,335)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(68,145)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(52,702)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2018.</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2018 and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75,235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nine month periods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(7,315)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(6,295)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9"/>
                <w:szCs w:val="19"/>
                <w:color w:val="auto"/>
              </w:rPr>
            </w:pP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(22,681)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(18,855)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in the year ended December 31, 2017. See also Note 17 for the impact of the Tax Act on the tax receivable agreement obligation.</w:t>
      </w:r>
    </w:p>
    <w:p>
      <w:pPr>
        <w:spacing w:after="0" w:line="18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those earnings. The Company also conducts operations outside the U.S. through foreign corporate subsidiaries, and the Company recorded a provisional amount of deferred tax expense in the year ended December 31, 2017 related to the one-time repatriation tax on the foreign earnings of those corporate subsidiaries.</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We expect to complete our analysis of the provisional items, including the one-time repatriation tax, in the fourth quarter of 2018.</w:t>
      </w:r>
    </w:p>
    <w:p>
      <w:pPr>
        <w:spacing w:after="0" w:line="19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Company recorded income tax provisions of $29,956 and $105,684 for the three month and nine month periods ended September 30, 2018, respectively, and $32,742 and $124,109 for the three month and nine month periods ended September 30, 2017, respectively, representing effective tax rates of 21.6%, 20.2%, 22.7% and 26.6%, respectively. The difference between the U.S. federal statutory rate of 21.0% and 35.0% for 2018 and 2017, respectively, and the effective tax rates reflected above principally relates to (i) taxes payable to foreign jurisdictions that are not offset against U.S. income taxes,</w:t>
      </w:r>
    </w:p>
    <w:p>
      <w:pPr>
        <w:spacing w:after="0" w:line="2" w:lineRule="exact"/>
        <w:rPr>
          <w:sz w:val="20"/>
          <w:szCs w:val="20"/>
          <w:color w:val="auto"/>
        </w:rPr>
      </w:pPr>
    </w:p>
    <w:p>
      <w:pPr>
        <w:ind w:right="240"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source income (loss) not subject to U.S. income taxes (including interest on intercompany financings), (iii) change in the U.S. federal valuation allowance affecting the provision for income taxes, (iv) excess net tax benefit for share-based incentive compensation, and (v) U.S. state and local taxes, which are incremental to the U.S. federal statutory tax rate.</w:t>
      </w:r>
    </w:p>
    <w:p>
      <w:pPr>
        <w:spacing w:after="0" w:line="19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$32,287 and $9,053 from the vesting of share-based incentive compensation in the provision for income taxes in the condensed consolidated statements of operations for the nine month periods ended September 30, 2018 and 2017, respectively.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38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2018 and 2017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2018 and 2017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109,210</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413,729</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119,197,949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120,987,607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119,647,775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121,868,223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258,567</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255,991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249,851</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274,080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119,456,516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121,243,598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119,897,626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122,142,303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issuable from share-based</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 compensation</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10,403,212</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11,150,066</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10,852,766</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10,265,248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129,859,728</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132,393,664</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130,750,392</w:t>
            </w:r>
          </w:p>
        </w:tc>
        <w:tc>
          <w:tcPr>
            <w:tcW w:w="26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132,407,551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$158,425 and $510,414 for the three month and nine month periods ended September 30, 2018, respectively, and $163,767 and $471,727 for the three month and nine month periods ended September 30, 2017, respectively, and are included in “asset management fees” on the condensed consolidated statements of operations. Of such amounts, $69,430 and $69,107 remained as receivables at September 30, 2018 and December 31, 2017, respectively, and are included in “fees receivable” on the condensed consolidated statements of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60" w:firstLine="8"/>
        <w:spacing w:after="0" w:line="252"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As described in Note 15,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September 30, 2018 and December 31, 2017 was $277,163 and $310,275, respectively, and is recorded in “tax receivable agreement obligation” on the condensed consolidated statements of financial condition. The balance at September 30, 2018 reflects payments made under the Amended and Restated Tax Receivable Agreement in the nine months ended September 30, 2018 of $33,112.</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1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2018, LFNY’s regulatory net capital was $71,698, which exceeded the minimum requirement by $69,461. LFNY’s aggregate indebtedness to net capital ratio was 0.47:1 as of September 30, 2018.</w:t>
      </w:r>
    </w:p>
    <w:p>
      <w:pPr>
        <w:spacing w:after="0" w:line="193"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2018, the aggregate regulatory net capital of the U.K. Subsidiaries was $165,474, which exceeded the minimum requirement by $145,285.</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September 30, 2018, the consolidated regulatory net capital of CFLF was $129,777, which exceeded the minimum requirement set for regulatory capital levels by $69,918.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2018, the regulatory net capital of the combined European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regulated group was $197,797, which exceeded the minimum requirement set for regulatory capital levels by $94,827.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4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2018, for those subsidiaries with regulatory capital requirements, their aggregate net capital was $148,447, which exceeded the minimum required capital by $120,949.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2018, each of these subsidiaries individually was in compliance with its regulatory capital requirements.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2018 and 2017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0" w:name="page41"/>
    <w:bookmarkEnd w:id="4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1,141,628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1,052,584</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250,651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245,465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893,524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821,935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60,425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248,104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230,649</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325,240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320,487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1,032,111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913,728</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217,233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670,794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621,885</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103,254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361,317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291,843</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17,949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50,350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(19,467)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(84,972)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(55,582)</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626,481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624,859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2,139,117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1,965,503</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480,647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1,614,668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1,498,593</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524,449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466,910</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3"/>
                <w:szCs w:val="13"/>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876,289</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843,142</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696,400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3,372,089</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3,329,137</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4,944,778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“third quarter,” “first nine months” or “the period” refer to, as the context requires, the three month and nine month periods ended September 30, 2018 and September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2" w:name="page43"/>
    <w:bookmarkEnd w:id="42"/>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 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Equity market indices for developed markets at September 30, 2018 generally increased as compared to such indices at September 30, 2017. Emerging markets equity indices at September 30, 2018 generally decreased as compared to such indices at December 31, 2017. In the global M&amp;A markets during the first nine months of 2018, the number of all completed M&amp;A transactions decreased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increased. Additionally, with respect to announced M&amp;A transactions, the number of all transactions decreased in the first nine months of 2018 as compared to 2017, while the number of announced transactions with values greater than $500 million increased in the first nine months of 2018 as compared to 2017. During the first nine months of 2018, global restructuring activity, as measured by the number of corporate defaults, decreased as compared to the first nine months of 2017.</w:t>
      </w:r>
    </w:p>
    <w:p>
      <w:pPr>
        <w:spacing w:after="0" w:line="179"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The U.S. economy remains healthy. The European economy’s growth rate has slowed, but it is still growing. Emerging markets as a group have experienced significant capital markets volatility. Borrowing costs remain low for companies with strong credit ratings, but interest rates have recently risen.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and we believe our Financial Advisory business is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from defined benefit and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developed economies because of their sheer scope and size. Over the longer term, and depending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20"/>
        <w:spacing w:after="0" w:line="255" w:lineRule="auto"/>
        <w:rPr>
          <w:sz w:val="20"/>
          <w:szCs w:val="20"/>
          <w:color w:val="auto"/>
        </w:rPr>
      </w:pPr>
      <w:r>
        <w:rPr>
          <w:rFonts w:ascii="Arial" w:cs="Arial" w:eastAsia="Arial" w:hAnsi="Arial"/>
          <w:sz w:val="18"/>
          <w:szCs w:val="18"/>
          <w:color w:val="auto"/>
        </w:rPr>
        <w:t>upon local market conditions, we would expect an increasing share of our AUM to come from the developing economies in Asia and the Middle East,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number of all completed transactions, including completed transactions with values greater than $500 million, decreased in the first nine months of 2018 as compared to 2017. With respect to announced M&amp;A transactions, the value of all transactions, including the value of announced transactions involving values greater than $500 million, increased in the first nine months of 2018 as compared to 2017. Additionally, with respect to announced M&amp;A transactions, the number of all transactions decreased in the first nine months of 2018 as compared to 2017, while the number of announced transactions with values greater than $500 million increased in the first nine months of 2018 as compared to 2017.</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959</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2,783</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6,478</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10,495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24,343</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31,051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2,099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324</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922</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2,494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10,396</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25,359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30,922</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1,820</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5, 2018.</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Global restructuring activity during the first nine months of 2018, as measured by the number of corporate defaults, decreased as compared to the first nine months of 2017. The number of defaulting issuers decreased to 56 in the first nine months of 2018, according to Moody’s Investors Service, Inc., as compared to 71 in the first nine months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percentage change in major equity market indices at September 30, 2018, as compared to such indices at June 30, 2018, December 31, 2017, and at September 30,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Percentage Changes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2018 vs.</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0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060" w:type="dxa"/>
            <w:vAlign w:val="bottom"/>
          </w:tcPr>
          <w:p>
            <w:pPr>
              <w:jc w:val="right"/>
              <w:ind w:right="16"/>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8%</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September 30, 2018 decreased 4% versus AUM at December 31, 2017, primarily due to foreign exchange depreciation, net outflows and market depreciation. Average AUM for the three month period ended September 30, 2018 was 3% higher than the average AUM for the three month period ended September 30, 2017. Average AUM for the first nine months of 2018 increased 12% as compared to the first nine months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120"/>
        <w:spacing w:after="0" w:line="297" w:lineRule="auto"/>
        <w:rPr>
          <w:sz w:val="20"/>
          <w:szCs w:val="20"/>
          <w:color w:val="auto"/>
        </w:rPr>
      </w:pPr>
      <w:r>
        <w:rPr>
          <w:rFonts w:ascii="Arial" w:cs="Arial" w:eastAsia="Arial" w:hAnsi="Arial"/>
          <w:sz w:val="16"/>
          <w:szCs w:val="16"/>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68% of Lazard’s consolidated total assets as of September 30,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8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0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80" w:hanging="386"/>
        <w:spacing w:after="0" w:line="264"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60" w:hanging="386"/>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55.6% and 55.8%,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2018, non-compensation expense included expenses related to a partial redemption of the Company’s 4.25% senior notes due 2020 (the “2020 Notes”) (see Note 10 of Notes to Condensed Consolidated Financial Statements).</w:t>
      </w:r>
    </w:p>
    <w:p>
      <w:pPr>
        <w:spacing w:after="0" w:line="193"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120"/>
        <w:spacing w:after="0" w:line="264" w:lineRule="auto"/>
        <w:rPr>
          <w:sz w:val="20"/>
          <w:szCs w:val="20"/>
          <w:color w:val="auto"/>
        </w:rPr>
      </w:pPr>
      <w:r>
        <w:rPr>
          <w:rFonts w:ascii="Arial" w:cs="Arial" w:eastAsia="Arial" w:hAnsi="Arial"/>
          <w:sz w:val="18"/>
          <w:szCs w:val="18"/>
          <w:color w:val="auto"/>
        </w:rPr>
        <w:t>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 and tax receivable agreement obligation.</w:t>
      </w:r>
    </w:p>
    <w:p>
      <w:pPr>
        <w:spacing w:after="0" w:line="181"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See “Critical Accounting Policies and Estimates—Income Taxes” below and Notes 15 and 17 of Notes to Condensed Consolidated Financial Statements for additional information regarding income taxes, the impact of the Tax Act on us, our deferred tax assets and the tax receivable agreement obligation.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September 30, 2018 was negatively impacted, and net revenue for the nine month period ended September 30, 2018 was positively impacted, by exchange rate movements, in each case in comparison to the relevant prior year period. The majority of the impact to net revenue, in both periods, was offset by the impact of the exchange rate movements on our operating expenses during the periods denominated in currencies other than the U.S. Dollar.</w:t>
      </w:r>
    </w:p>
    <w:p>
      <w:pPr>
        <w:spacing w:after="0" w:line="188" w:lineRule="exact"/>
        <w:rPr>
          <w:sz w:val="20"/>
          <w:szCs w:val="20"/>
          <w:color w:val="auto"/>
        </w:rPr>
      </w:pPr>
    </w:p>
    <w:p>
      <w:pPr>
        <w:ind w:right="400" w:firstLine="471"/>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626,481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624,859</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2,139,117</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1,965,503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343,987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1,165,193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1,138,200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149,664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118,688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462,943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355,390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(5,851)</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(13,468)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480,647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1,614,668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1,498,593</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466,910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342,801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109,210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337,141</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tcPr>
          <w:p>
            <w:pPr>
              <w:spacing w:after="0"/>
              <w:rPr>
                <w:sz w:val="24"/>
                <w:szCs w:val="24"/>
                <w:color w:val="auto"/>
              </w:rPr>
            </w:pP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47</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9" w:name="page50"/>
    <w:bookmarkEnd w:id="49"/>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626,481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624,859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2,139,117</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1,965,503</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37,477</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(90,112)</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(4,512)</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(5,039)</w:t>
            </w:r>
          </w:p>
        </w:tc>
        <w:tc>
          <w:tcPr>
            <w:tcW w:w="4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(13,079)</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(4,875)</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(17,981)</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605,610</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627,325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2,070,247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1,971,920</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ind w:left="380" w:right="40" w:hanging="372"/>
        <w:spacing w:after="0" w:line="25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65"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343,987</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361,787</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1,165,193</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1,138,200</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(6,084)</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(3,647)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(17,981)</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337,930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354,439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1,155,198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1,114,135</w:t>
            </w:r>
          </w:p>
        </w:tc>
        <w:tc>
          <w:tcPr>
            <w:tcW w:w="180" w:type="dxa"/>
            <w:vAlign w:val="bottom"/>
            <w:tcBorders>
              <w:bottom w:val="single" w:sz="8" w:color="CFF0FC"/>
            </w:tcBorders>
          </w:tcPr>
          <w:p>
            <w:pPr>
              <w:spacing w:after="0"/>
              <w:rPr>
                <w:sz w:val="22"/>
                <w:szCs w:val="22"/>
                <w:color w:val="auto"/>
              </w:rPr>
            </w:pPr>
          </w:p>
        </w:tc>
      </w:tr>
      <w:tr>
        <w:trPr>
          <w:trHeight w:val="196"/>
        </w:trPr>
        <w:tc>
          <w:tcPr>
            <w:tcW w:w="57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 a % of operating</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149,664</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118,688</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462,943</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355,390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(7,659)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(20,489)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(25,880)</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(90,112)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(6,523)</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109,330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334,088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00" w:hanging="372"/>
        <w:spacing w:after="0" w:line="265"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4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2018, charges pertaining to the partial redemption of the Company’s 2020 Notes are excluded because of the non-operating nature of such transaction. See “—Liquidity and Capital Resources—Financing Activities” below.</w:t>
      </w:r>
    </w:p>
    <w:p>
      <w:pPr>
        <w:ind w:left="380" w:hanging="372"/>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605,610</w:t>
            </w:r>
          </w:p>
        </w:tc>
        <w:tc>
          <w:tcPr>
            <w:tcW w:w="100" w:type="dxa"/>
            <w:vAlign w:val="bottom"/>
          </w:tcPr>
          <w:p>
            <w:pPr>
              <w:spacing w:after="0"/>
              <w:rPr>
                <w:sz w:val="19"/>
                <w:szCs w:val="19"/>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627,325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2,070,247</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1,971,920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(337,930)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(354,439)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(1,155,198)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(1,114,135)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(109,330)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(110,507)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(341,892)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(334,088)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158,350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162,379</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573,157</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523,697</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(a)</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1" w:name="page52"/>
    <w:bookmarkEnd w:id="51"/>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Reduction in 2018 relates to a realignment of certain headcount from Corporate to the Financial Advisory and Asset Management segments.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18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$107 million, as compared to net income of $109 million in the 2017 period.</w:t>
      </w:r>
    </w:p>
    <w:p>
      <w:pPr>
        <w:spacing w:after="0" w:line="23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Net revenue increased $2 million, with operating revenue decreasing $22 million, or 3%, as compared to the 2017 period. Net revenue in the 2018 period reflects the adoption of new revenue recognition guidance (see Note 2 of Notes to Condensed Consolidated Financial Statements). Fee revenue from investment banking and other advisory activities increased $4 million, or 1%, as compared to the 2017 period. Asset management fees, including incentive fees, increased $11 million, or 4%, as compared to the 2017 period. In the aggregate, interest income, other revenue and interest expense decreased $13 million, or 77%, as compared to the 2017 period, primarily due to lower income attributable to investments.</w:t>
      </w:r>
    </w:p>
    <w:p>
      <w:pPr>
        <w:spacing w:after="0" w:line="17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Compensation and benefits expense decreased $18 million, or 5%, as compared to the 2017 period, primarily associated with decreased operating revenue.</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$338 million, a decrease of $17 million, or 5%, as compared to $354 million in the 2017 period. The ratio of adjusted compensation and benefits expense to operating revenue was 55.8% for the 2018 period, as compared to 56.5% for the 2017 period and 55.8% for full-year 2017.</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Non-compensation expense increased $31 million, or 26%, as compared to the 2017 period, primarily due to the impact of the new revenue recognition guidance discussed above and a charge relating to the redemption of a portion of the 2020 Notes in 2018. Adjusted non-compensation expense, which excludes such items, as well as costs related to the ERP system implementation, office space reorganization and noncontrolling interests, decreased $1 million, or 1%, as compared to the 2017 period. The ratio of adjusted non-compensation expense to operating revenue was 18.1% for the 2018 period, as compared to 17.6% for the 2017 period.</w:t>
      </w:r>
    </w:p>
    <w:p>
      <w:pPr>
        <w:spacing w:after="0" w:line="18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$6 million in the 2018 period, as compared to costs of $0.2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$6 million, or 4%, as compared to the 2017 period.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Earnings from operations decreased $4 million, or 2%, as compared to the 2017 period, and, as a percentage of operating revenue, was 26.1%, as compared to 25.9% in the 2017 period.</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21.6%, as compared to 22.7% for the 2017 period. The decrease in the effective tax rate is primarily due to the impact of various provisions under the Tax Act.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2017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$414 million, as compared to net income of $337 million in the 2017 period.</w:t>
      </w:r>
    </w:p>
    <w:p>
      <w:pPr>
        <w:spacing w:after="0" w:line="23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Net revenue increased $174 million, or 9%, with operating revenue increasing $98 million, or 5%, as compared to the 2017 period. Net revenue in the 2018 period reflects the adoption of new revenue recognition guidance (see Note 2 of Notes to Condensed Consolidated Financial Statements). Fee revenue from investment banking and other advisory activities increased $89 million, or 8%, as compared to the 2017 period, primarily due to an increase in M&amp;A Advisory revenue, partially offset by a decrease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2" w:name="page53"/>
    <w:bookmarkEnd w:id="52"/>
    <w:p>
      <w:pPr>
        <w:ind w:right="80"/>
        <w:spacing w:after="0" w:line="259" w:lineRule="auto"/>
        <w:rPr>
          <w:sz w:val="20"/>
          <w:szCs w:val="20"/>
          <w:color w:val="auto"/>
        </w:rPr>
      </w:pPr>
      <w:r>
        <w:rPr>
          <w:rFonts w:ascii="Arial" w:cs="Arial" w:eastAsia="Arial" w:hAnsi="Arial"/>
          <w:sz w:val="18"/>
          <w:szCs w:val="18"/>
          <w:color w:val="auto"/>
        </w:rPr>
        <w:t>Restructuring revenue. Asset management fees, including incentive fees, increased $118 million, or 14%, as compared to the 2017 period, primarily due to an increase in average AUM, as well as the impact of the new revenue recognition guidance discussed above. In the aggregate, interest income, other revenue and interest expense decreased $33 million, or 73%, as compared to the 2017 period, primarily due to lower income attributable to investments held in connection with LFI.</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$27 million, or 2%, as compared to the 2017 period, primarily associated with increased operating revenue.</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$1,155 million, an increase of $41 million, or 4%, as compared to $1,114 million in the 2017 period. The ratio of adjusted compensation and benefits expense to operating revenue was 55.8% for the 2018 period, as compared to 56.5% for the 2017 period and 55.8% for full-year 2017.</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Non-compensation expense increased $108 million, or 30%, as compared to the 2017 period, primarily due to the impact of the new revenue recognition guidance discussed above, expenses associated with the ERP system implementation and a charge relating to the redemption of a portion of the 2020 Notes in 2018. Adjusted non-compensation expense, which excludes such items, as well as costs related to office space reorganization and noncontrolling interests, increased $8 million, or 2%, as compared to the 2017 period. The ratio of adjusted non-compensation expense to operating revenue was 16.5% for the 2018 period, as compared to 16.9% in the 2017 period.</w:t>
      </w:r>
    </w:p>
    <w:p>
      <w:pPr>
        <w:spacing w:after="0" w:line="18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$13 million in the 2018 period, as compared to costs of $5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$58 million, or 12%, as compared to the 2017 period.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Earnings from operations increased $49 million, or 9%, as compared to the 2017 period, and, as a percentage of operating revenue, was 27.7%, as compared to 26.6% in the 2017 period.</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20.2%, as compared to 26.6% for the 2017 period. The decrease in the effective tax rate is primarily due to (i) an increase in excess net tax benefits related to share-based incentive compensation and (ii) the impact of various provisions under the Tax Act.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310,418</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1,141,628</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1,052,584</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250,651</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245,465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893,524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821,935</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60,425</w:t>
            </w:r>
          </w:p>
        </w:tc>
        <w:tc>
          <w:tcPr>
            <w:tcW w:w="2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248,104</w:t>
            </w: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230,649</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77</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FF0FC"/>
          </w:tcPr>
          <w:p>
            <w:pPr>
              <w:spacing w:after="0"/>
              <w:rPr>
                <w:sz w:val="19"/>
                <w:szCs w:val="19"/>
                <w:color w:val="auto"/>
              </w:rPr>
            </w:pPr>
          </w:p>
        </w:tc>
      </w:tr>
      <w:tr>
        <w:trPr>
          <w:trHeight w:val="215"/>
        </w:trPr>
        <w:tc>
          <w:tcPr>
            <w:tcW w:w="654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5"/>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18</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17</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5,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Financial Advisory net revenue increased $5 million, or 1%, as compared to the 2017 period. Clients which in the aggregate represented a significant portion of our Financial Advisory revenue in the 2018 period included Accruent, CDH Investments, Cirsa, Claire’s Stores, Daily Mail &amp; General Trust, Dalmore Capital and Equitix, Quality Care Properties, Servier and Sky.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increased $5 million, or 2%, as compared to the 2017 period.</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Financial Advisory operating income of $60 million was substantially unchanged as compared to the 2017 period and, as a percentage of net revenue, was 19.3%, as compared to 19.8%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Financial Advisory net revenue increased $89 million, or 8%, as compared to the 2017 period. The increase in Financial Advisory revenue was primarily a result of an increase in the number of transactions involving fees greater than $5 million, as compared to the 2017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4" w:name="page55"/>
    <w:bookmarkEnd w:id="54"/>
    <w:p>
      <w:pPr>
        <w:ind w:right="600" w:firstLine="518"/>
        <w:spacing w:after="0" w:line="277" w:lineRule="auto"/>
        <w:rPr>
          <w:sz w:val="20"/>
          <w:szCs w:val="20"/>
          <w:color w:val="auto"/>
        </w:rPr>
      </w:pPr>
      <w:r>
        <w:rPr>
          <w:rFonts w:ascii="Arial" w:cs="Arial" w:eastAsia="Arial" w:hAnsi="Arial"/>
          <w:sz w:val="18"/>
          <w:szCs w:val="18"/>
          <w:color w:val="auto"/>
        </w:rPr>
        <w:t>Operating expenses increased 72 million, or 9%, as compared to the 2017 period, primarily due to an increase in compensation associated with increased operating revenue.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Financial Advisory operating income was $248 million, an increase of $17 million, or 8%, as compared to operating income of $231 million in the 2017 period and, as a percentage of net revenue, was 21.7%, as compared to 21.9%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45,449</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240,087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Total AUM at September 30, 2018 was $240 billion, a decrease of $9 billion, or 4%, as compared to total AUM of $249 billion at December 31, 2017, primarily due to foreign exchange depreciation, net outflows and market depreciation. Average AUM for the three month and nine month periods ended September 30, 2018 increased 3% and 12%, respectively, as compared to the three month and nine month periods ended September 30, 2017, respectively.</w:t>
      </w:r>
    </w:p>
    <w:p>
      <w:pPr>
        <w:spacing w:after="0" w:line="14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of September 30, 2018, approximately 87%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2017. As of September 30, 2018, approximately 13% of our AUM was managed on behalf of individual client relationships, which are principally with family offices and individuals, compared to 12% at December 31, 2017.</w:t>
      </w:r>
    </w:p>
    <w:p>
      <w:pPr>
        <w:spacing w:after="0" w:line="17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September 30, 2018, AUM with foreign currency exposure represented approximately 70%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2018 and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20" w:hanging="372"/>
        <w:spacing w:after="0" w:line="259"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and Local platforms. Outflows in the Equity asset class were primarily attributable to the Emerging Markets, Multi-Regional and Global platforms and outflows in the Fixed Income asset class were primarily attributable to the Emerging Markets and Local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59"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Global and Local platforms. Outflows in the Equity asset class were primarily attributable to the Multi-Regional, Emerging Markets and Global equity platforms, and outflows in the Fixed Income asset class were primarily attributable to the Emerging Markets, Global and Multi-Regional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2"/>
              </w:rPr>
              <w:t>Nine Months Ended September 30, 2017</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(25,505)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54</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6" w:name="page57"/>
    <w:bookmarkEnd w:id="56"/>
    <w:p>
      <w:pPr>
        <w:ind w:right="560" w:firstLine="518"/>
        <w:spacing w:after="0" w:line="277" w:lineRule="auto"/>
        <w:rPr>
          <w:sz w:val="20"/>
          <w:szCs w:val="20"/>
          <w:color w:val="auto"/>
        </w:rPr>
      </w:pPr>
      <w:r>
        <w:rPr>
          <w:rFonts w:ascii="Arial" w:cs="Arial" w:eastAsia="Arial" w:hAnsi="Arial"/>
          <w:sz w:val="18"/>
          <w:szCs w:val="18"/>
          <w:color w:val="auto"/>
        </w:rPr>
        <w:t>As of October 19, 2018, AUM was $229.7 billion, a $10.4 billion decrease since September 30, 2018. The decrease in AUM was due to market depreciation of $9.7 billion, foreign exchange depreciation of $0.6 billion and net outflows of $0.1 billion.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2018 and 2017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195,131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206,629</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183,630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239,897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246,920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320,487</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1,032,111</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913,728</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217,233</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621,885</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113,676</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361,317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291,843</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Asset Management net revenue increased $5 million, or 1%, as compared to the 2017 period. Management fees and other revenue was $323 million, an increase of $6 million, or 2%, as compared to $317 million in the 2017 period, primarily due to the impact of the new revenue recognition guidance discussed above, partially offset by a change in the mix of average AUM. Incentive fees were $2 million, a decrease of $1 million as compared to $3 million in the 2017 period.</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Operating expenses decreased $6 million, or 3%, as compared to the 2017 period, primarily due to a decrease in compensation and benefits expense, partially offset by the impact of the new revenue recognition guidance.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$114 million, an increase of $10 million, or 10%, as compared to operating income of $103 million in the 2017 period and, as a percentage of net revenue, was 35.0%, as compared to 32.2%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Asset Management net revenue increased $118 million, or 13%, as compared to the 2017 period. Management fees and other revenue was $1,012 million, an increase of $125 million, or 14%, as compared to $887 million in the 2017 period, primarily due to an increase in average AUM, as well as the impact of the new revenue recognition guidance discussed above. Incentive fees were $20 million, a decrease of $7 million as compared to $27 million in the 2017 period.</w:t>
      </w:r>
    </w:p>
    <w:p>
      <w:pPr>
        <w:spacing w:after="0" w:line="18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Operating expenses increased $49 million, or 8%, as compared to the 2017 period, primarily due to the impact of the new revenue recognition guidance.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$361 million, an increase of $69 million, or 24%, as compared to operating income of $292 million in the 2017 period and, as a percentage of net revenue, was 35.0%, as compared to 31.9%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(13,316)</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(13,000)</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(38,514)</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(19,467)</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decreased $8 million as compared to the 2017 period, primarily due to lower income in the 2018 period attributable to investments.</w:t>
      </w:r>
    </w:p>
    <w:p>
      <w:pPr>
        <w:spacing w:after="0" w:line="24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Operating expenses increased $8 million as compared to the 2017 period, primarily due to a charge of $7 million relating to the redemption of a portion of the 2020 Notes in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$3 million, or 7%,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$36 million as compared to the 2017 period, primarily due to lower income in the 2018 period attributable to investments held in connection with LFI.</w:t>
      </w:r>
    </w:p>
    <w:p>
      <w:pPr>
        <w:spacing w:after="0" w:line="170"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Operating expenses decreased $4 million as compared to the 2017 period, primarily due to a decrease in compensation and benefits expense, including a decrease in charges pertaining to LFI, partially offset by a charge of $7 million relating to the redemption of a portion of the 2020 Notes in 2018.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2018 by Lazard Group’s issuance of $500 million aggregate principal amount of its 4.50% senior notes maturing in 2028 (the “2028 Notes”) and the redemption of a portion of the 2020 Notes.</w:t>
      </w:r>
    </w:p>
    <w:p>
      <w:pPr>
        <w:spacing w:after="0" w:line="7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2018 and February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10"/>
          </w:tcPr>
          <w:p>
            <w:pPr>
              <w:jc w:val="center"/>
              <w:ind w:right="130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gridSpan w:val="9"/>
          </w:tcPr>
          <w:p>
            <w:pPr>
              <w:jc w:val="center"/>
              <w:ind w:right="12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5"/>
              </w:rPr>
              <w:t>(468)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(456)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(484)</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(66)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0"/>
              </w:rPr>
              <w:t>(269)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2,455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7"/>
          </w:tcPr>
          <w:p>
            <w:pPr>
              <w:jc w:val="center"/>
              <w:ind w:left="338"/>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left="49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5"/>
          </w:tcPr>
          <w:p>
            <w:pPr>
              <w:jc w:val="center"/>
              <w:ind w:left="49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13"/>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60" w:type="dxa"/>
            <w:vAlign w:val="bottom"/>
            <w:gridSpan w:val="3"/>
          </w:tcPr>
          <w:p>
            <w:pPr>
              <w:ind w:left="5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80" w:hanging="372"/>
        <w:spacing w:after="0" w:line="281"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vested restricted stock awards and vested PRSUs, Class A common stock dividends, changes in customer deposits, distributions to noncontrolling interest holders and activity relating to borrowings (including in 2018, the redemption of a portion of the 2020 Notes and issuance of the 2028 Notes).</w:t>
      </w:r>
    </w:p>
    <w:p>
      <w:pPr>
        <w:spacing w:after="0" w:line="2" w:lineRule="exact"/>
        <w:rPr>
          <w:rFonts w:ascii="Arial" w:cs="Arial" w:eastAsia="Arial" w:hAnsi="Arial"/>
          <w:sz w:val="16"/>
          <w:szCs w:val="16"/>
          <w:color w:val="auto"/>
        </w:rPr>
      </w:pPr>
    </w:p>
    <w:p>
      <w:pPr>
        <w:ind w:left="380" w:right="120" w:hanging="372"/>
        <w:spacing w:after="0" w:line="261"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nine months of 2018, as reflected on the condensed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September 30, 2018, Lazard had approximately $1,132 million of cash, with such amount including approximately $605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2018, Lazard had approximately $169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September 30, 2018 exchange rates).</w:t>
      </w:r>
    </w:p>
    <w:p>
      <w:pPr>
        <w:spacing w:after="0" w:line="187"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table below sets forth our corporate indebtedness as of September 30, 2018 and December 31, 2017. The agreements with respect to this indebtedness are discussed in more detail in our condensed consolidated financial statements and related notes included elsewhere in this Form 10-Q and in our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2018, Lazard Group was in compliance with such ratios, with its Consolidated Leverage Ratio being 1.32 to 1.00 and its Consolidated Interest Coverage Ratio being 21.20 to 1.00. In any event, no amounts were outstanding under the Amended and Restated Credit Agreement as of September 30, 2018.</w:t>
      </w:r>
    </w:p>
    <w:p>
      <w:pPr>
        <w:spacing w:after="0" w:line="19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At September 30, 2018, total stockholders’ equity was $1,122 million, as compared to $1,259 million at December 31, 2017, including $1,067 million and $1,200 million attributable to Lazard Ltd on the respective dates. The net activity in stockholders’ equity during the nine month period ended September 30, 2018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2018</w:t>
            </w:r>
          </w:p>
        </w:tc>
        <w:tc>
          <w:tcPr>
            <w:tcW w:w="286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Distributions to noncontrolling interests, net</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 net</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Stockholders’ Equity - September 30, 2018</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3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5,838,520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5,797,789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620" w:firstLine="518"/>
        <w:spacing w:after="0" w:line="277" w:lineRule="auto"/>
        <w:rPr>
          <w:sz w:val="20"/>
          <w:szCs w:val="20"/>
          <w:color w:val="auto"/>
        </w:rPr>
      </w:pPr>
      <w:r>
        <w:rPr>
          <w:rFonts w:ascii="Arial" w:cs="Arial" w:eastAsia="Arial" w:hAnsi="Arial"/>
          <w:sz w:val="18"/>
          <w:szCs w:val="18"/>
          <w:color w:val="auto"/>
        </w:rPr>
        <w:t>As of September 30, 2018, a total of $242 million of share repurchase authorization remained available under the Company’s share repurchase program, which will expire on December 31, 2020.</w:t>
      </w:r>
    </w:p>
    <w:p>
      <w:pPr>
        <w:spacing w:after="0" w:line="17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addition, on October 24, 2018, the Board of Directors of Lazard authorized the repurchase of up to $300 million of additional shares of Class A common stock, which authorization will expire on December 31, 2020, bringing the total share repurchase authorization as of October 24, 2018 to approximately $524 million.</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nine month period ended September 30, 2018,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1,890,792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$28,796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 (b)</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893,383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172,991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(c)</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2,792,807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151,577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535,679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232,342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right="160" w:hanging="372"/>
        <w:spacing w:after="0" w:line="312"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September 2018, Lazard Group completed an offering of $500,000 aggregate principal amount of the 2028 Notes. Interest on the 2028 Notes is payable semi-annually on March 19 and September 19 of each year, beginning March 19, 2019. Lazard Group used a portion of the net proceeds of the 2028 Notes to redeem or otherwise retire $250,000 of the 2020 Notes. See Note 10 of Notes to Condensed Consolidated Financial Statements.</w:t>
      </w:r>
    </w:p>
    <w:p>
      <w:pPr>
        <w:spacing w:after="0" w:line="38" w:lineRule="exact"/>
        <w:rPr>
          <w:rFonts w:ascii="Arial" w:cs="Arial" w:eastAsia="Arial" w:hAnsi="Arial"/>
          <w:sz w:val="16"/>
          <w:szCs w:val="16"/>
          <w:color w:val="auto"/>
        </w:rPr>
      </w:pPr>
    </w:p>
    <w:p>
      <w:pPr>
        <w:ind w:left="380" w:right="100" w:hanging="372"/>
        <w:spacing w:after="0" w:line="277"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August 2018, the Company entered into a lease agreement for additional office facilities. Operating lease commitments in the table above include the impact of the new lease agreement. See Note 11 of Notes to Condensed Consolidated Financial Statements.</w:t>
      </w:r>
    </w:p>
    <w:p>
      <w:pPr>
        <w:spacing w:after="0" w:line="62"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$15,257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160" w:hanging="372"/>
        <w:spacing w:after="0" w:line="255"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September 30, 2018, a tax receivable agreement obligation of $277,163 was recorded on the condensed consolidated statements of financial condition. See “Critical Accounting Policies and Estimates—Income Taxes” below. See also Notes 11, 13, 14, 15 and 17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$790.7 million, with such amount partially offset by a valuation allowance of approximately $61.5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$61.5 million of deferred tax assets held by these entities as of December 31, 2017.</w:t>
      </w:r>
    </w:p>
    <w:p>
      <w:pPr>
        <w:spacing w:after="0" w:line="158"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$32.3 million and $9.1 million from the vesting of share-based incentive compensation in the provision for income taxes in the condensed consolidated statements of operations for the nine month periods ended September 30, 2018 and 2017, respectively.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6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Lazard is a holding company that is treated as a publicly traded partnership for U.S. tax purposes, and our U.S. and certain foreign subsidiaries will be impacted by the Tax Act. While the Tax Act is currently expected to be moderately positive for us,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5" w:name="page66"/>
    <w:bookmarkEnd w:id="65"/>
    <w:p>
      <w:pPr>
        <w:ind w:right="40"/>
        <w:spacing w:after="0" w:line="308" w:lineRule="auto"/>
        <w:rPr>
          <w:sz w:val="20"/>
          <w:szCs w:val="20"/>
          <w:color w:val="auto"/>
        </w:rPr>
      </w:pPr>
      <w:r>
        <w:rPr>
          <w:rFonts w:ascii="Arial" w:cs="Arial" w:eastAsia="Arial" w:hAnsi="Arial"/>
          <w:sz w:val="17"/>
          <w:szCs w:val="17"/>
          <w:color w:val="auto"/>
        </w:rPr>
        <w:t>reduced corporate tax rate required us to remeasure our deferred tax assets and the liability associated with our tax receivable agreement. See Notes 15 and 17 of Notes to Condensed Consolidated Financial Statements for additional information regarding the impact of the Tax Act on us.</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17 of Notes to Condensed Consolidated Financial Statements for additional information regarding the Amended and Restated Tax Receivable Agreement.</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September 30, 2018 and December 31, 2017 was $277 million and $310 million, respectively, which includes the impact of the Tax Act as of both periods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87,383</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104,286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375,146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Add: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September 30, 2018 and December 31, 2017,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$28 million and $36 million as of September 30, 2018 and December 31, 2017, respectively.</w:t>
      </w:r>
    </w:p>
    <w:p>
      <w:pPr>
        <w:spacing w:after="0" w:line="15" w:lineRule="exact"/>
        <w:rPr>
          <w:rFonts w:ascii="Arial" w:cs="Arial" w:eastAsia="Arial" w:hAnsi="Arial"/>
          <w:sz w:val="16"/>
          <w:szCs w:val="16"/>
          <w:color w:val="auto"/>
        </w:rPr>
      </w:pPr>
    </w:p>
    <w:p>
      <w:pPr>
        <w:ind w:left="380" w:right="400" w:hanging="372"/>
        <w:spacing w:after="0" w:line="27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September 30, 2018, includes investment in U.S. Treasury securities of approximately $199 million with original maturities of greater than three months and less than one year.</w:t>
      </w:r>
    </w:p>
    <w:p>
      <w:pPr>
        <w:spacing w:after="0" w:line="62" w:lineRule="exact"/>
        <w:rPr>
          <w:rFonts w:ascii="Arial" w:cs="Arial" w:eastAsia="Arial" w:hAnsi="Arial"/>
          <w:sz w:val="18"/>
          <w:szCs w:val="18"/>
          <w:color w:val="auto"/>
        </w:rPr>
      </w:pPr>
    </w:p>
    <w:p>
      <w:pPr>
        <w:jc w:val="both"/>
        <w:ind w:left="380" w:right="12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$53 million in five entities as of September 30, 2018, as compared to $53 million in two entities as of December 31, 2017.</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At September 30, 2018 and December 31, 2017, total investments with a fair value of $609 million and $427 million, respectively, included $61 million and $80 million, respectively, or 10%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40" w:firstLine="518"/>
        <w:spacing w:after="0" w:line="264" w:lineRule="auto"/>
        <w:rPr>
          <w:sz w:val="20"/>
          <w:szCs w:val="20"/>
          <w:color w:val="auto"/>
        </w:rPr>
      </w:pPr>
      <w:r>
        <w:rPr>
          <w:rFonts w:ascii="Arial" w:cs="Arial" w:eastAsia="Arial" w:hAnsi="Arial"/>
          <w:sz w:val="18"/>
          <w:szCs w:val="18"/>
          <w:color w:val="auto"/>
        </w:rPr>
        <w:t>As of September 30, 2018 and December 31, 2017, the Company held seed investments of approximately $104 million and $135 million, respectively. Seed investments held in entities in which the Company maintained a controlling interest were $30 million in eight entities as of September 30, 2018, as compared to $28 million in eight entities as of December 31, 2017.</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of September 30, 2018 and December 31, 2017, the Company did not consolidate or deconsolidate any seed investment entities or LFI investment entities. As such, 100% of the recorded balance of seed investments and LFI investments as of September 30, 2018 and December 31, 2017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2018 and December 31, 2017, the Company’s exposure to equity market price risk in its investment portfolio, which primarily relates to investments in equity securities, equity funds and hedge funds, was approximately $98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$0.7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 million in the carrying value of such investments as of September 30, 2018 and December 31, 2017, respectively, including the effect of the hedging transactions.</w:t>
      </w:r>
    </w:p>
    <w:p>
      <w:pPr>
        <w:spacing w:after="0" w:line="18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Interest Rate/Credit Spread Risk—At September 30, 2018 and December 31, 2017, the Company’s exposure to interest rate and credit spread risk in its investment portfolio related to investments in debt securities or funds which invest primarily in debt securities was $245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$1.4 million and $1.3 million in the carrying value of such investments as of September 30, 2018 and December 31, 2017, respectively, including the effect of the hedging transactions.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2018 and December 31, 2017, the Company’s exposure to foreign exchange rate risk in its investment portfolio, which primarily relates to investments in foreign currency denominated equity and debt securities, was $45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$0.0 million and $1.7 million in the carrying value of such investments as of September 30, 2018 and December 31, 2017, respectively, including the effect of the hedging transactions.</w:t>
      </w:r>
    </w:p>
    <w:p>
      <w:pPr>
        <w:spacing w:after="0" w:line="193"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2018 and December 31, 2017, the Company’s exposure to changes in fair value of such investments was approximately $44 million and $57 million, respectively. The Company estimates that a hypothetical 10% adverse change in fair value would result in a decrease of approximately $4.4 million and $5.7 million in the carrying value of such investments as of September 30, 2018 and December 31, 2017,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2018, total receivables amounted to $641 million, net of an allowance for doubtful accounts of $35 million. As of that date, Financial Advisory and Asset Management fees, and customers and other receivables comprised 85% and 15% of total receivables, respectively. At December 31, 2017, total receivables amounted to $572 million, net of an allowance for doubtful accounts of $24 million. As of that date, Financial Advisory and Asset Management fees, and customers and other receivables comprised 85% and 15% of total receivables, respectively. At September 30, 2018 and December 31, 2017, the Company had receivables past due or deemed uncollectible of approximately $38 million and $35 million, respectively. See also “Critical Accounting Policies and Estimates—Revenue Recognition” above and Note 4 of Notes to Condensed Consolidated Financial Statements for additional information regarding receivables.</w:t>
      </w:r>
    </w:p>
    <w:p>
      <w:pPr>
        <w:spacing w:after="0" w:line="182" w:lineRule="exact"/>
        <w:rPr>
          <w:sz w:val="20"/>
          <w:szCs w:val="20"/>
          <w:color w:val="auto"/>
        </w:rPr>
      </w:pPr>
    </w:p>
    <w:p>
      <w:pPr>
        <w:jc w:val="both"/>
        <w:ind w:right="86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both September 30, 2018 and December 31, 2017, customer receivables included $61 million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$7 million and $4 million at September 30, 2018 and December 31, 2017, respectively, and derivative liabilities, excluding the derivative liability arising from the Company’s obligation pertaining to LFI and other similar deferred compensation arrangements, amounted to $3 million and $16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$204 million and $182 million at September 30,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2018, Lazard estimates that its annual operating income relating to cash and cash equivalents would increase by approximately $11 million in the event interest rates were to increase by 1% and decrease by approximately $11 million if rates were to decrease by 1%.</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September 30, 2018, the Company’s cash and cash equivalents totaled approximately $1,132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0" w:name="page71"/>
    <w:bookmarkEnd w:id="70"/>
    <w:p>
      <w:pPr>
        <w:ind w:right="140"/>
        <w:spacing w:after="0" w:line="264" w:lineRule="auto"/>
        <w:rPr>
          <w:sz w:val="20"/>
          <w:szCs w:val="20"/>
          <w:color w:val="auto"/>
        </w:rPr>
      </w:pPr>
      <w:r>
        <w:rPr>
          <w:rFonts w:ascii="Arial" w:cs="Arial" w:eastAsia="Arial" w:hAnsi="Arial"/>
          <w:sz w:val="18"/>
          <w:szCs w:val="18"/>
          <w:color w:val="auto"/>
        </w:rPr>
        <w:t>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third quarter of 2018.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July 1 – July 31, 2018</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425,263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425,263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302.9</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August 1 – August 31, 2018</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257.3</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1 – September 30, 2018</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241.8</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1,650,263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1,650,263</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241.8</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5,489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20" w:hanging="372"/>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nine months ended September 30, 2018 and since 2015, the Board of Directors of Lazard authorized the repurchase of Class A common stock as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w:t>
            </w: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Repurchase</w:t>
            </w: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Expiration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Authorization</w:t>
            </w:r>
          </w:p>
        </w:tc>
        <w:tc>
          <w:tcPr>
            <w:tcW w:w="2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9"/>
              </w:rPr>
              <w:t>December 31, 2016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January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April 2016</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November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October 2017</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April 2018</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21"/>
                <w:szCs w:val="21"/>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2020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2" w:name="page73"/>
    <w:bookmarkEnd w:id="72"/>
    <w:p>
      <w:pPr>
        <w:jc w:val="both"/>
        <w:ind w:left="380" w:right="420"/>
        <w:spacing w:after="0" w:line="264" w:lineRule="auto"/>
        <w:rPr>
          <w:sz w:val="20"/>
          <w:szCs w:val="20"/>
          <w:color w:val="auto"/>
        </w:rPr>
      </w:pPr>
      <w:r>
        <w:rPr>
          <w:rFonts w:ascii="Arial" w:cs="Arial" w:eastAsia="Arial" w:hAnsi="Arial"/>
          <w:sz w:val="18"/>
          <w:szCs w:val="18"/>
          <w:color w:val="auto"/>
        </w:rPr>
        <w:t>In addition, on October 24, 2018, the Board of Directors of Lazard authorized the repurchase of up to $300 million of additional shares of Class A common stock, which authorization will expire on December 31, 2020, bringing the total share repurchase authorization as of October 24, 2018 to approximately $524 million.</w:t>
      </w:r>
    </w:p>
    <w:p>
      <w:pPr>
        <w:spacing w:after="0" w:line="181"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58" w:lineRule="exact"/>
        <w:rPr>
          <w:sz w:val="20"/>
          <w:szCs w:val="20"/>
          <w:color w:val="auto"/>
        </w:rPr>
      </w:pPr>
    </w:p>
    <w:p>
      <w:pPr>
        <w:ind w:left="380" w:right="20" w:hanging="372"/>
        <w:spacing w:after="0" w:line="25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September 30, 2018, the Company satisfied such obligations in lieu of issuing (i) 4,999 shares of Class A common stock upon the vesting or settlement of 61,268 RSUs and PRSUs and (ii) 490 shares of Class A common stock upon the vesting of 21,125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gridSpan w:val="32"/>
          </w:tcPr>
          <w:p>
            <w:pPr>
              <w:ind w:left="4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40"/>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400" w:type="dxa"/>
            <w:vAlign w:val="bottom"/>
            <w:gridSpan w:val="40"/>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10"/>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400" w:type="dxa"/>
            <w:vAlign w:val="bottom"/>
            <w:gridSpan w:val="40"/>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Statement (File No. 333-121407) on Form S-1/A filed on March 21, 2005).</w:t>
              </w:r>
            </w:hyperlink>
          </w:p>
        </w:tc>
        <w:tc>
          <w:tcPr>
            <w:tcW w:w="420" w:type="dxa"/>
            <w:vAlign w:val="bottom"/>
            <w:gridSpan w:val="1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33"/>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400" w:type="dxa"/>
            <w:vAlign w:val="bottom"/>
            <w:gridSpan w:val="40"/>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7"/>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2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60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Quarterly Report (File No. 001-32492) on Form 10-Q filed on April 30, 2010).</w:t>
              </w:r>
            </w:hyperlink>
          </w:p>
        </w:tc>
        <w:tc>
          <w:tcPr>
            <w:tcW w:w="4700" w:type="dxa"/>
            <w:vAlign w:val="bottom"/>
            <w:gridSpan w:val="2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160" w:type="dxa"/>
            <w:vAlign w:val="bottom"/>
            <w:tcBorders>
              <w:bottom w:val="single" w:sz="8" w:color="0000EE"/>
            </w:tcBorders>
            <w:gridSpan w:val="32"/>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(File No. 333-121407) on Form S-1/A filed on April 11,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35"/>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60" w:type="dxa"/>
            <w:vAlign w:val="bottom"/>
            <w:tcBorders>
              <w:bottom w:val="single" w:sz="8" w:color="0000EE"/>
            </w:tcBorders>
            <w:gridSpan w:val="3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Fourth Supplemental Indenture, dated as of June 21, 2007, between Lazard Group LLC and The Bank of New York, as trustee (incorporated by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5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reference to Exhibit 4.1 to the Registrant’s Current Report on Form 8-K (File No. 001-32492) filed on June 22, 2007).</w:t>
              </w:r>
            </w:hyperlink>
          </w:p>
        </w:tc>
        <w:tc>
          <w:tcPr>
            <w:tcW w:w="1820" w:type="dxa"/>
            <w:vAlign w:val="bottom"/>
            <w:gridSpan w:val="2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400" w:type="dxa"/>
            <w:vAlign w:val="bottom"/>
            <w:gridSpan w:val="40"/>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Fifth Supplemental Indenture, dated as of November 14, 2013,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4.1 to the Registrant’s Current Report on Form 8-K (File No. 001-32492) filed on November 14, 2013).</w:t>
              </w:r>
            </w:hyperlink>
          </w:p>
        </w:tc>
        <w:tc>
          <w:tcPr>
            <w:tcW w:w="200" w:type="dxa"/>
            <w:vAlign w:val="bottom"/>
            <w:gridSpan w:val="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400" w:type="dxa"/>
            <w:vAlign w:val="bottom"/>
            <w:gridSpan w:val="40"/>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120" w:type="dxa"/>
            <w:vAlign w:val="bottom"/>
            <w:tcBorders>
              <w:bottom w:val="single" w:sz="8" w:color="0000EE"/>
            </w:tcBorders>
            <w:gridSpan w:val="30"/>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(incorporated by reference to Exhibit 4.1 of the Registrant’s Current Report on Form 8-K (File No. 001-32492) filed on November 7, 2016).</w:t>
              </w:r>
            </w:hyperlink>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100" w:type="dxa"/>
            <w:vAlign w:val="bottom"/>
            <w:tcBorders>
              <w:top w:val="single" w:sz="8" w:color="0000EE"/>
            </w:tcBorders>
            <w:gridSpan w:val="29"/>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Eighth Supplemental Indenture, dated as of September 19, 2018, between Lazard Group LLC and the Bank of New York Mellon, as trustee</w:t>
              </w:r>
            </w:hyperlink>
          </w:p>
        </w:tc>
        <w:tc>
          <w:tcPr>
            <w:tcW w:w="30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(incorporated by reference to Exhibit 4.1 to the Registrant’s Current Report on Form 8-K (File No. 001-32492) filed on September 19, 2018.</w:t>
              </w:r>
            </w:hyperlink>
          </w:p>
        </w:tc>
        <w:tc>
          <w:tcPr>
            <w:tcW w:w="260" w:type="dxa"/>
            <w:vAlign w:val="bottom"/>
            <w:gridSpan w:val="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4.8</w:t>
            </w:r>
          </w:p>
        </w:tc>
        <w:tc>
          <w:tcPr>
            <w:tcW w:w="104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2">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13">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14">
              <w:r>
                <w:rPr>
                  <w:rFonts w:ascii="Arial" w:cs="Arial" w:eastAsia="Arial" w:hAnsi="Arial"/>
                  <w:sz w:val="18"/>
                  <w:szCs w:val="18"/>
                  <w:color w:val="0000EE"/>
                </w:rPr>
                <w:t>4.5</w:t>
              </w:r>
            </w:hyperlink>
            <w:r>
              <w:rPr>
                <w:rFonts w:ascii="Arial" w:cs="Arial" w:eastAsia="Arial" w:hAnsi="Arial"/>
                <w:sz w:val="18"/>
                <w:szCs w:val="18"/>
                <w:color w:val="auto"/>
              </w:rPr>
              <w:t xml:space="preserve">, </w:t>
            </w:r>
            <w:hyperlink r:id="rId115">
              <w:r>
                <w:rPr>
                  <w:rFonts w:ascii="Arial" w:cs="Arial" w:eastAsia="Arial" w:hAnsi="Arial"/>
                  <w:sz w:val="18"/>
                  <w:szCs w:val="18"/>
                  <w:color w:val="0000EE"/>
                </w:rPr>
                <w:t>4.6</w:t>
              </w:r>
              <w:r>
                <w:rPr>
                  <w:rFonts w:ascii="Arial" w:cs="Arial" w:eastAsia="Arial" w:hAnsi="Arial"/>
                  <w:sz w:val="18"/>
                  <w:szCs w:val="18"/>
                  <w:color w:val="auto"/>
                </w:rPr>
                <w:t xml:space="preserve"> </w:t>
              </w:r>
            </w:hyperlink>
            <w:r>
              <w:rPr>
                <w:rFonts w:ascii="Arial" w:cs="Arial" w:eastAsia="Arial" w:hAnsi="Arial"/>
                <w:sz w:val="18"/>
                <w:szCs w:val="18"/>
                <w:color w:val="auto"/>
              </w:rPr>
              <w:t>and 4.7</w:t>
            </w:r>
            <w:hyperlink r:id="rId116">
              <w:r>
                <w:rPr>
                  <w:rFonts w:ascii="Arial" w:cs="Arial" w:eastAsia="Arial" w:hAnsi="Arial"/>
                  <w:sz w:val="18"/>
                  <w:szCs w:val="18"/>
                  <w:color w:val="0000EE"/>
                </w:rPr>
                <w:t>).</w:t>
              </w:r>
            </w:hyperlink>
          </w:p>
        </w:tc>
      </w:tr>
      <w:tr>
        <w:trPr>
          <w:trHeight w:val="20"/>
        </w:trPr>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60" w:type="dxa"/>
            <w:vAlign w:val="bottom"/>
            <w:tcBorders>
              <w:bottom w:val="single" w:sz="8" w:color="0000EE"/>
            </w:tcBorders>
            <w:gridSpan w:val="38"/>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Operating Agreement of Lazard Group LLC, dated as of October 26, 2015 (incorporated by reference to Exhibit 10.1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Registrant’s Quarterly Report (File No. 001-32492) on Form 10-Q filed on October 28, 2015).</w:t>
              </w:r>
            </w:hyperlink>
          </w:p>
        </w:tc>
        <w:tc>
          <w:tcPr>
            <w:tcW w:w="3600" w:type="dxa"/>
            <w:vAlign w:val="bottom"/>
            <w:gridSpan w:val="2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400" w:type="dxa"/>
            <w:vAlign w:val="bottom"/>
            <w:gridSpan w:val="40"/>
          </w:tcPr>
          <w:p>
            <w:pPr>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Amendment No.1 to Amended and Restated Operating Agreement of Lazard Group LLC, dated as of October 27, 2016 (incorporated by</w:t>
              </w:r>
            </w:hyperlink>
          </w:p>
        </w:tc>
      </w:tr>
      <w:tr>
        <w:trPr>
          <w:trHeight w:val="196"/>
        </w:trPr>
        <w:tc>
          <w:tcPr>
            <w:tcW w:w="10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reference to Exhibit 10.2 to Registrant’s Quarterly Report (File No. 001-32492) on Form 10-Q filed on October 28, 2016).</w:t>
              </w:r>
            </w:hyperlink>
          </w:p>
        </w:tc>
        <w:tc>
          <w:tcPr>
            <w:tcW w:w="1060" w:type="dxa"/>
            <w:vAlign w:val="bottom"/>
            <w:tcBorders>
              <w:top w:val="single" w:sz="8" w:color="0000EE"/>
            </w:tcBorders>
            <w:gridSpan w:val="3"/>
          </w:tcPr>
          <w:p>
            <w:pPr>
              <w:spacing w:after="0"/>
              <w:rPr>
                <w:sz w:val="17"/>
                <w:szCs w:val="17"/>
                <w:color w:val="auto"/>
              </w:rPr>
            </w:pPr>
          </w:p>
        </w:tc>
        <w:tc>
          <w:tcPr>
            <w:tcW w:w="520" w:type="dxa"/>
            <w:vAlign w:val="bottom"/>
            <w:gridSpan w:val="18"/>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60" w:type="dxa"/>
            <w:vAlign w:val="bottom"/>
            <w:tcBorders>
              <w:bottom w:val="single" w:sz="8" w:color="0000EE"/>
            </w:tcBorders>
            <w:gridSpan w:val="38"/>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(incorporated by reference to Exhibit 10.2 to the Registrant’s Quarterly Report (File No. 001-32492) on Form 10-Q filed on October 28, 2015).</w:t>
              </w:r>
            </w:hyperlink>
          </w:p>
        </w:tc>
      </w:tr>
      <w:tr>
        <w:trPr>
          <w:trHeight w:val="20"/>
        </w:trPr>
        <w:tc>
          <w:tcPr>
            <w:tcW w:w="1040" w:type="dxa"/>
            <w:vAlign w:val="bottom"/>
          </w:tcPr>
          <w:p>
            <w:pPr>
              <w:spacing w:after="0" w:line="20" w:lineRule="exact"/>
              <w:rPr>
                <w:sz w:val="1"/>
                <w:szCs w:val="1"/>
                <w:color w:val="auto"/>
              </w:rPr>
            </w:pPr>
          </w:p>
        </w:tc>
        <w:tc>
          <w:tcPr>
            <w:tcW w:w="8060" w:type="dxa"/>
            <w:vAlign w:val="bottom"/>
            <w:gridSpan w:val="1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3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8060" w:type="dxa"/>
            <w:vAlign w:val="bottom"/>
            <w:gridSpan w:val="1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0380" w:type="dxa"/>
            <w:vAlign w:val="bottom"/>
            <w:tcBorders>
              <w:bottom w:val="single" w:sz="8" w:color="0000EE"/>
            </w:tcBorders>
            <w:gridSpan w:val="39"/>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Exhibit 10.16 to the Registrant’s Quarterly Report (File No. 001-32492) on Form 10-Q filed on April 29, 2011).</w:t>
              </w:r>
            </w:hyperlink>
          </w:p>
        </w:tc>
      </w:tr>
      <w:tr>
        <w:trPr>
          <w:trHeight w:val="534"/>
        </w:trPr>
        <w:tc>
          <w:tcPr>
            <w:tcW w:w="1040" w:type="dxa"/>
            <w:vAlign w:val="bottom"/>
          </w:tcPr>
          <w:p>
            <w:pPr>
              <w:spacing w:after="0"/>
              <w:rPr>
                <w:sz w:val="24"/>
                <w:szCs w:val="24"/>
                <w:color w:val="auto"/>
              </w:rPr>
            </w:pPr>
          </w:p>
        </w:tc>
        <w:tc>
          <w:tcPr>
            <w:tcW w:w="4820" w:type="dxa"/>
            <w:vAlign w:val="bottom"/>
            <w:tcBorders>
              <w:top w:val="single" w:sz="8" w:color="0000EE"/>
            </w:tcBorders>
            <w:gridSpan w:val="10"/>
          </w:tcPr>
          <w:p>
            <w:pPr>
              <w:ind w:left="4580"/>
              <w:spacing w:after="0"/>
              <w:rPr>
                <w:sz w:val="20"/>
                <w:szCs w:val="20"/>
                <w:color w:val="auto"/>
              </w:rPr>
            </w:pPr>
            <w:r>
              <w:rPr>
                <w:rFonts w:ascii="Arial" w:cs="Arial" w:eastAsia="Arial" w:hAnsi="Arial"/>
                <w:sz w:val="18"/>
                <w:szCs w:val="18"/>
                <w:color w:val="auto"/>
              </w:rPr>
              <w:t>72</w:t>
            </w: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4" w:name="page75"/>
    <w:bookmarkEnd w:id="74"/>
    <w:p>
      <w:pPr>
        <w:ind w:left="940" w:right="212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4">
        <w:r>
          <w:rPr>
            <w:rFonts w:ascii="Arial" w:cs="Arial" w:eastAsia="Arial" w:hAnsi="Arial"/>
            <w:sz w:val="18"/>
            <w:szCs w:val="18"/>
            <w:u w:val="single" w:color="auto"/>
            <w:color w:val="0000EE"/>
          </w:rPr>
          <w:t>Lazard Ltd 2005 Equity Incentive Plan (incorporated by reference to Exhibit 10.21 to the Registrant’s Registration</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Statement (File No. 333-121407) on Form S-1/A filed on May 2, 2005).</w:t>
        </w:r>
      </w:hyperlink>
    </w:p>
    <w:p>
      <w:pPr>
        <w:spacing w:after="0" w:line="35"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25">
        <w:r>
          <w:rPr>
            <w:rFonts w:ascii="Arial" w:cs="Arial" w:eastAsia="Arial" w:hAnsi="Arial"/>
            <w:sz w:val="18"/>
            <w:szCs w:val="18"/>
            <w:u w:val="single" w:color="auto"/>
            <w:color w:val="0000EE"/>
          </w:rPr>
          <w:t>Lazard Ltd 2008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Schedule 14A (File No. 001-32492) filed on March 24, 2008).</w:t>
        </w:r>
      </w:hyperlink>
    </w:p>
    <w:p>
      <w:pPr>
        <w:spacing w:after="0" w:line="35" w:lineRule="exact"/>
        <w:rPr>
          <w:sz w:val="20"/>
          <w:szCs w:val="20"/>
          <w:color w:val="auto"/>
        </w:rPr>
      </w:pPr>
    </w:p>
    <w:p>
      <w:pPr>
        <w:ind w:left="940" w:right="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6">
        <w:r>
          <w:rPr>
            <w:rFonts w:ascii="Arial" w:cs="Arial" w:eastAsia="Arial" w:hAnsi="Arial"/>
            <w:sz w:val="18"/>
            <w:szCs w:val="18"/>
            <w:u w:val="single" w:color="auto"/>
            <w:color w:val="0000EE"/>
          </w:rPr>
          <w:t>Lazard Ltd 2016 French Sub-plan (incorporated by reference to Annex B to the Registrant’s Definitive Proxy Statement on Schedule 14A (File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 001-32492) filed on March 10, 2016).</w:t>
        </w:r>
      </w:hyperlink>
    </w:p>
    <w:p>
      <w:pPr>
        <w:spacing w:after="0" w:line="35"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7">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ind w:left="940" w:right="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8">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 Registrant, Lazard Group LLC and Kenneth M. Jacobs (incorporated by reference to Exhibit 10.9 to the Registrant’s Quarterly Report (File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1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9">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 Registrant, Lazard Group LLC and Ashish Bhutani (incorporated by reference to Exhibit 10.10 to the Registrant’s Quarterly Report (File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0">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the Registrant, Lazard Group LLC and Matthieu Bucaille (incorporated by reference to Exhibit 10.11 to the Registrant’s Quarterly Report (File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1">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the Registrant, Lazard Group LLC and Scott D. Hoffman (incorporated by reference to Exhibit 10.12 to the Registrant’s Quarterly Report (File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240" w:hanging="949"/>
        <w:spacing w:after="0" w:line="286"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32">
        <w:r>
          <w:rPr>
            <w:rFonts w:ascii="Arial" w:cs="Arial" w:eastAsia="Arial" w:hAnsi="Arial"/>
            <w:sz w:val="17"/>
            <w:szCs w:val="17"/>
            <w:u w:val="single" w:color="auto"/>
            <w:color w:val="0000EE"/>
          </w:rPr>
          <w:t>Amendment, dated as of October 30, 2017, to Amended and Restated Agreement relating to Retention and Noncompetition and Other</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Covenants, dated as of March 9, 2016, by and among the Registrant, Lazard Group LLC and Scott D. Hoffman (incorporated by reference to</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Exhibit 10.14 to the Registrant’s Quarterly Report (File No. 001-324927) on Form 10-Q filed October 31, 2017).</w:t>
        </w:r>
      </w:hyperlink>
    </w:p>
    <w:p>
      <w:pPr>
        <w:spacing w:after="0" w:line="30" w:lineRule="exact"/>
        <w:rPr>
          <w:rFonts w:ascii="Arial" w:cs="Arial" w:eastAsia="Arial" w:hAnsi="Arial"/>
          <w:sz w:val="17"/>
          <w:szCs w:val="17"/>
          <w:u w:val="single" w:color="auto"/>
          <w:color w:val="0000EE"/>
        </w:rPr>
      </w:pPr>
    </w:p>
    <w:p>
      <w:pPr>
        <w:jc w:val="both"/>
        <w:ind w:left="9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3">
        <w:r>
          <w:rPr>
            <w:rFonts w:ascii="Arial" w:cs="Arial" w:eastAsia="Arial" w:hAnsi="Arial"/>
            <w:sz w:val="18"/>
            <w:szCs w:val="18"/>
            <w:u w:val="single" w:color="auto"/>
            <w:color w:val="0000EE"/>
          </w:rPr>
          <w:t>Agreement relating to Retention and Noncompetition and Other Covenants, dated as of October 30, 2017, by and among the Registrant, Lazard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Group LLC and Evan L. Russo (incorporated by reference to Exhibit 10.15 to the Registrant’s Quarterly Report (File No. 001-324927) on Form</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10-Q filed October 31, 2017).</w:t>
        </w:r>
      </w:hyperlink>
    </w:p>
    <w:p>
      <w:pPr>
        <w:spacing w:after="0" w:line="46" w:lineRule="exact"/>
        <w:rPr>
          <w:rFonts w:ascii="Arial" w:cs="Arial" w:eastAsia="Arial" w:hAnsi="Arial"/>
          <w:sz w:val="18"/>
          <w:szCs w:val="18"/>
          <w:u w:val="single" w:color="auto"/>
          <w:color w:val="0000EE"/>
        </w:rPr>
      </w:pPr>
    </w:p>
    <w:p>
      <w:pPr>
        <w:ind w:left="940" w:right="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4">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the Registrant, Lazard Group LLC and Alexander F. Stern (incorporated by reference to Exhibit 10.13 to the Registrant’s Quarterly Report (File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1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5">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40" w:right="32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6">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7">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40" w:right="3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8">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40" w:right="3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9">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No. 001-32492) on Form 10-Q filed on October 28, 2015).</w:t>
        </w:r>
      </w:hyperlink>
    </w:p>
    <w:p>
      <w:pPr>
        <w:spacing w:after="0" w:line="46" w:lineRule="exact"/>
        <w:rPr>
          <w:rFonts w:ascii="Arial" w:cs="Arial" w:eastAsia="Arial" w:hAnsi="Arial"/>
          <w:sz w:val="18"/>
          <w:szCs w:val="18"/>
          <w:u w:val="single" w:color="auto"/>
          <w:color w:val="0000EE"/>
        </w:rPr>
      </w:pPr>
    </w:p>
    <w:p>
      <w:pPr>
        <w:ind w:left="940" w:right="2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40">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40" w:right="36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41">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40" w:right="4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2">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(File No. 001-32492) on Form 10-Q filed on May 6, 2014).</w:t>
        </w:r>
      </w:hyperlink>
    </w:p>
    <w:p>
      <w:pPr>
        <w:spacing w:after="0" w:line="262" w:lineRule="exact"/>
        <w:rPr>
          <w:rFonts w:ascii="Arial" w:cs="Arial" w:eastAsia="Arial" w:hAnsi="Arial"/>
          <w:sz w:val="18"/>
          <w:szCs w:val="18"/>
          <w:u w:val="single" w:color="auto"/>
          <w:color w:val="0000EE"/>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10.25*</w:t>
            </w:r>
          </w:p>
        </w:tc>
        <w:tc>
          <w:tcPr>
            <w:tcW w:w="10240" w:type="dxa"/>
            <w:vAlign w:val="bottom"/>
            <w:tcBorders>
              <w:bottom w:val="single" w:sz="8" w:color="0000EE"/>
            </w:tcBorders>
            <w:gridSpan w:val="9"/>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r>
      <w:tr>
        <w:trPr>
          <w:trHeight w:val="196"/>
        </w:trPr>
        <w:tc>
          <w:tcPr>
            <w:tcW w:w="104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55</w:t>
              </w:r>
              <w:r>
                <w:rPr>
                  <w:rFonts w:ascii="Arial" w:cs="Arial" w:eastAsia="Arial" w:hAnsi="Arial"/>
                  <w:sz w:val="18"/>
                  <w:szCs w:val="18"/>
                  <w:color w:val="0000EE"/>
                  <w:w w:val="92"/>
                </w:rPr>
                <w:t xml:space="preserve"> to the Registrant’s Quarterly Report (File No. 001-32492) on Form 10-Q filed on April 30, 2010).</w:t>
              </w:r>
            </w:hyperlink>
          </w:p>
        </w:tc>
        <w:tc>
          <w:tcPr>
            <w:tcW w:w="2740" w:type="dxa"/>
            <w:vAlign w:val="bottom"/>
            <w:gridSpan w:val="2"/>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10.26*</w:t>
            </w:r>
          </w:p>
        </w:tc>
        <w:tc>
          <w:tcPr>
            <w:tcW w:w="9880" w:type="dxa"/>
            <w:vAlign w:val="bottom"/>
            <w:tcBorders>
              <w:bottom w:val="single" w:sz="8" w:color="0000EE"/>
            </w:tcBorders>
            <w:gridSpan w:val="8"/>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Form of Agreement evidencing a grant of Lazard Fund Interests (incorporated by reference to Exhibit 10.55 to the Registrant’s Quarterly</w:t>
              </w:r>
            </w:hyperlink>
          </w:p>
        </w:tc>
        <w:tc>
          <w:tcPr>
            <w:tcW w:w="3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9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Report (File No. 001-32492) on Form 10-Q filed on April 29, 2011).</w:t>
              </w:r>
            </w:hyperlink>
          </w:p>
        </w:tc>
        <w:tc>
          <w:tcPr>
            <w:tcW w:w="5280" w:type="dxa"/>
            <w:vAlign w:val="bottom"/>
            <w:gridSpan w:val="3"/>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12.1</w:t>
            </w:r>
          </w:p>
        </w:tc>
        <w:tc>
          <w:tcPr>
            <w:tcW w:w="3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Computation of Ratio of Earnings to Fixed Charges.</w:t>
              </w:r>
            </w:hyperlink>
          </w:p>
        </w:tc>
        <w:tc>
          <w:tcPr>
            <w:tcW w:w="6460" w:type="dxa"/>
            <w:vAlign w:val="bottom"/>
            <w:gridSpan w:val="4"/>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Rule 13a-14(a) Certification of Kenneth M. Jacobs.</w:t>
              </w:r>
            </w:hyperlink>
          </w:p>
        </w:tc>
        <w:tc>
          <w:tcPr>
            <w:tcW w:w="6520" w:type="dxa"/>
            <w:vAlign w:val="bottom"/>
            <w:gridSpan w:val="5"/>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24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Section 1350 Certification for Kenneth M. Jacobs.</w:t>
              </w:r>
            </w:hyperlink>
          </w:p>
        </w:tc>
        <w:tc>
          <w:tcPr>
            <w:tcW w:w="6600" w:type="dxa"/>
            <w:vAlign w:val="bottom"/>
            <w:gridSpan w:val="6"/>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24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940" w:type="dxa"/>
            <w:vAlign w:val="bottom"/>
            <w:gridSpan w:val="8"/>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24" w:right="3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Nine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jc w:val="right"/>
              <w:ind w:right="50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524,449</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825,446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517,461</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519,465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216,807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60,986</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585,435</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903,162</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591,115</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605,531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320,475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19,570</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3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9"/>
              </w:rPr>
              <w:t>(d)</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(f)</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w w:val="99"/>
              </w:rPr>
              <w:t>(g)</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196"/>
        </w:trPr>
        <w:tc>
          <w:tcPr>
            <w:tcW w:w="45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before fixed charges to total fixed charges</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20" w:hanging="512"/>
        <w:spacing w:after="0" w:line="265"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for the nine months ended September 30, 2018 is presented after giving effect to (i) $16,020 of acquisition-related benefits, (ii) $20,489 of expenses associated with the ERP system implementation, (iii) $2,425 of expenses related to office space reorganization, (iv) a charge of $6,523 relating to the redemption of a portion of the 4.25% senior notes due November 2020 (the “2020 Notes”) and (v) $295 excess interest expense due to the period of time between the issuance of the 2028 Notes and the settlement of the redemption of the 2020 Notes. Excluding the impact of such items, the ratio of earnings to fixed charges would have been 9.96.</w:t>
      </w:r>
    </w:p>
    <w:p>
      <w:pPr>
        <w:spacing w:after="0" w:line="72" w:lineRule="exact"/>
        <w:rPr>
          <w:rFonts w:ascii="Arial" w:cs="Arial" w:eastAsia="Arial" w:hAnsi="Arial"/>
          <w:sz w:val="18"/>
          <w:szCs w:val="18"/>
          <w:color w:val="auto"/>
        </w:rPr>
      </w:pPr>
    </w:p>
    <w:p>
      <w:pPr>
        <w:ind w:left="520" w:right="40" w:hanging="512"/>
        <w:spacing w:after="0" w:line="312"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2017 is presented after giving effect to (i) $6,582 of acquisition-related costs, (ii) $25,308 of expenses associated with the ERP system implementation, (iii) $11,354 of expenses related to office space reorganization and (iv) $202,546 relating to the benefit pursuant to the tax receivable agreement. Excluding the impact of such items, the ratio of earnings to fixed charges would have been 9.56.</w:t>
      </w:r>
    </w:p>
    <w:p>
      <w:pPr>
        <w:spacing w:after="0" w:line="38" w:lineRule="exact"/>
        <w:rPr>
          <w:rFonts w:ascii="Arial" w:cs="Arial" w:eastAsia="Arial" w:hAnsi="Arial"/>
          <w:sz w:val="16"/>
          <w:szCs w:val="16"/>
          <w:color w:val="auto"/>
        </w:rPr>
      </w:pPr>
    </w:p>
    <w:p>
      <w:pPr>
        <w:ind w:left="520" w:right="40" w:hanging="512"/>
        <w:spacing w:after="0" w:line="297"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(i) a charge of $3,148 associated with the redemption of the remaining portion of the 6.85% senior notes due June 2017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items, the ratio of earnings to fixed charges would have been 8.43.</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(i) a charge of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512" w:hanging="512"/>
        <w:spacing w:after="0" w:line="259" w:lineRule="auto"/>
        <w:tabs>
          <w:tab w:leader="none" w:pos="5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items, the ratio of earnings to fixed charges would have been 4.35.</w:t>
      </w:r>
    </w:p>
    <w:p>
      <w:pPr>
        <w:sectPr>
          <w:pgSz w:w="11900" w:h="16838" w:orient="portrait"/>
          <w:cols w:equalWidth="0" w:num="1">
            <w:col w:w="11152"/>
          </w:cols>
          <w:pgMar w:left="248" w:top="125" w:right="4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decimal"/>
      <w:start w:val="3"/>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4"/>
    </w:lvl>
  </w:abstractNum>
  <w:abstractNum w:abstractNumId="9">
    <w:nsid w:val="5072367"/>
    <w:multiLevelType w:val="hybridMultilevel"/>
    <w:lvl w:ilvl="0">
      <w:lvlJc w:val="left"/>
      <w:lvlText w:val="%1."/>
      <w:numFmt w:val="decimal"/>
      <w:start w:val="5"/>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decimal"/>
      <w:start w:val="6"/>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decimal"/>
      <w:start w:val="7"/>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decimal"/>
      <w:start w:val="8"/>
    </w:lvl>
  </w:abstractNum>
  <w:abstractNum w:abstractNumId="18">
    <w:nsid w:val="580BD78F"/>
    <w:multiLevelType w:val="hybridMultilevel"/>
    <w:lvl w:ilvl="0">
      <w:lvlJc w:val="left"/>
      <w:lvlText w:val="%1."/>
      <w:numFmt w:val="decimal"/>
      <w:start w:val="9"/>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decimal"/>
      <w:start w:val="10"/>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decimal"/>
      <w:start w:val="11"/>
    </w:lvl>
  </w:abstractNum>
  <w:abstractNum w:abstractNumId="23">
    <w:nsid w:val="2A487CB0"/>
    <w:multiLevelType w:val="hybridMultilevel"/>
    <w:lvl w:ilvl="0">
      <w:lvlJc w:val="left"/>
      <w:lvlText w:val="%1."/>
      <w:numFmt w:val="decimal"/>
      <w:start w:val="12"/>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decimal"/>
      <w:start w:val="13"/>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4"/>
    </w:lvl>
  </w:abstractNum>
  <w:abstractNum w:abstractNumId="28">
    <w:nsid w:val="7A6D8D3C"/>
    <w:multiLevelType w:val="hybridMultilevel"/>
    <w:lvl w:ilvl="0">
      <w:lvlJc w:val="left"/>
      <w:lvlText w:val="%1."/>
      <w:numFmt w:val="decimal"/>
      <w:start w:val="15"/>
    </w:lvl>
  </w:abstractNum>
  <w:abstractNum w:abstractNumId="29">
    <w:nsid w:val="4B588F54"/>
    <w:multiLevelType w:val="hybridMultilevel"/>
    <w:lvl w:ilvl="0">
      <w:lvlJc w:val="left"/>
      <w:lvlText w:val="(%1)"/>
      <w:numFmt w:val="lowerRoman"/>
      <w:start w:val="2"/>
    </w:lvl>
  </w:abstractNum>
  <w:abstractNum w:abstractNumId="30">
    <w:nsid w:val="542289EC"/>
    <w:multiLevelType w:val="hybridMultilevel"/>
    <w:lvl w:ilvl="0">
      <w:lvlJc w:val="left"/>
      <w:lvlText w:val="%1."/>
      <w:numFmt w:val="decimal"/>
      <w:start w:val="16"/>
    </w:lvl>
  </w:abstractNum>
  <w:abstractNum w:abstractNumId="31">
    <w:nsid w:val="6DE91B18"/>
    <w:multiLevelType w:val="hybridMultilevel"/>
    <w:lvl w:ilvl="0">
      <w:lvlJc w:val="left"/>
      <w:lvlText w:val="%1."/>
      <w:numFmt w:val="decimal"/>
      <w:start w:val="17"/>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decimal"/>
      <w:start w:val="18"/>
    </w:lvl>
  </w:abstractNum>
  <w:abstractNum w:abstractNumId="34">
    <w:nsid w:val="32FFF902"/>
    <w:multiLevelType w:val="hybridMultilevel"/>
    <w:lvl w:ilvl="0">
      <w:lvlJc w:val="left"/>
      <w:lvlText w:val="%1."/>
      <w:numFmt w:val="decimal"/>
      <w:start w:val="19"/>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lvl w:ilvl="1">
      <w:lvlJc w:val="left"/>
      <w:lvlText w:val="(%2)"/>
      <w:numFmt w:val="lowerRoman"/>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Roman"/>
      <w:start w:val="2"/>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lowerLetter"/>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2"/>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lowerLetter"/>
      <w:start w:val="1"/>
    </w:lvl>
    <w:lvl w:ilvl="1">
      <w:lvlJc w:val="left"/>
      <w:lvlText w:val="•"/>
      <w:numFmt w:val="bullet"/>
      <w:start w:val="1"/>
    </w:lvl>
  </w:abstractNum>
  <w:abstractNum w:abstractNumId="59">
    <w:nsid w:val="10233C99"/>
    <w:multiLevelType w:val="hybridMultilevel"/>
    <w:lvl w:ilvl="0">
      <w:lvlJc w:val="left"/>
      <w:lvlText w:val="(%1)"/>
      <w:numFmt w:val="lowerLetter"/>
      <w:start w:val="8"/>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43"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05" Type="http://schemas.openxmlformats.org/officeDocument/2006/relationships/hyperlink" Target="http://www.sec.gov/Archives/edgar/data/1311370/000119312505056426/dex31.htm" TargetMode="External"/><Relationship Id="rId106" Type="http://schemas.openxmlformats.org/officeDocument/2006/relationships/hyperlink" Target="http://www.sec.gov/Archives/edgar/data/1311370/000119312505056426/dex32.htm" TargetMode="External"/><Relationship Id="rId107" Type="http://schemas.openxmlformats.org/officeDocument/2006/relationships/hyperlink" Target="http://www.sec.gov/Archives/edgar/data/1311370/000119312505126336/dex33.htm" TargetMode="External"/><Relationship Id="rId108" Type="http://schemas.openxmlformats.org/officeDocument/2006/relationships/hyperlink" Target="http://www.sec.gov/Archives/edgar/data/1311370/000119312508108332/dex34.htm" TargetMode="External"/><Relationship Id="rId109" Type="http://schemas.openxmlformats.org/officeDocument/2006/relationships/hyperlink" Target="http://www.sec.gov/Archives/edgar/data/1311370/000119312510102269/dex35.htm" TargetMode="External"/><Relationship Id="rId110" Type="http://schemas.openxmlformats.org/officeDocument/2006/relationships/hyperlink" Target="http://www.sec.gov/Archives/edgar/data/1311370/000119312505073325/dex41.htm" TargetMode="External"/><Relationship Id="rId111" Type="http://schemas.openxmlformats.org/officeDocument/2006/relationships/hyperlink" Target="http://www.sec.gov/Archives/edgar/data/1326141/000119312505145683/dex41.htm" TargetMode="External"/><Relationship Id="rId112" Type="http://schemas.openxmlformats.org/officeDocument/2006/relationships/hyperlink" Target="http://www.sec.gov/Archives/edgar/data/1311370/000119312507140226/dex41.htm" TargetMode="External"/><Relationship Id="rId113" Type="http://schemas.openxmlformats.org/officeDocument/2006/relationships/hyperlink" Target="http://www.sec.gov/Archives/edgar/data/1311370/000119312513442315/d627962dex41.htm" TargetMode="External"/><Relationship Id="rId114" Type="http://schemas.openxmlformats.org/officeDocument/2006/relationships/hyperlink" Target="http://www.sec.gov/Archives/edgar/data/1311370/000119312515050385/d871111dex41.htm" TargetMode="External"/><Relationship Id="rId115" Type="http://schemas.openxmlformats.org/officeDocument/2006/relationships/hyperlink" Target="http://www.sec.gov/Archives/edgar/data/1311370/000119312516760477/d43064dex41.htm" TargetMode="External"/><Relationship Id="rId116" Type="http://schemas.openxmlformats.org/officeDocument/2006/relationships/hyperlink" Target="http://www.sec.gov/Archives/edgar/data/1311370/000119312518277695/d614135dex41.htm" TargetMode="External"/><Relationship Id="rId117" Type="http://schemas.openxmlformats.org/officeDocument/2006/relationships/hyperlink" Target="http://www.sec.gov/Archives/edgar/data/1311370/000119312515355042/d41332dex101.htm" TargetMode="External"/><Relationship Id="rId118" Type="http://schemas.openxmlformats.org/officeDocument/2006/relationships/hyperlink" Target="http://www.sec.gov/Archives/edgar/data/1311370/000156459016026505/laz-ex102_1418.htm" TargetMode="External"/><Relationship Id="rId119" Type="http://schemas.openxmlformats.org/officeDocument/2006/relationships/hyperlink" Target="http://www.sec.gov/Archives/edgar/data/1311370/000119312515355042/d41332dex102.htm" TargetMode="External"/><Relationship Id="rId120" Type="http://schemas.openxmlformats.org/officeDocument/2006/relationships/hyperlink" Target="http://www.sec.gov/Archives/edgar/data/1311370/000119312505025486/dex1019.htm" TargetMode="External"/><Relationship Id="rId121" Type="http://schemas.openxmlformats.org/officeDocument/2006/relationships/hyperlink" Target="http://www.sec.gov/Archives/edgar/data/1311370/000119312511117012/dex1016.htm" TargetMode="External"/><Relationship Id="rId124" Type="http://schemas.openxmlformats.org/officeDocument/2006/relationships/hyperlink" Target="http://www.sec.gov/Archives/edgar/data/1311370/000119312505091140/dex1021.htm" TargetMode="External"/><Relationship Id="rId125" Type="http://schemas.openxmlformats.org/officeDocument/2006/relationships/hyperlink" Target="http://www.sec.gov/Archives/edgar/data/1311370/000119312508063107/ddef14a.htm" TargetMode="External"/><Relationship Id="rId126" Type="http://schemas.openxmlformats.org/officeDocument/2006/relationships/hyperlink" Target="http://www.sec.gov/Archives/edgar/data/1311370/000119312516500308/d128121ddef14a.htm" TargetMode="External"/><Relationship Id="rId127" Type="http://schemas.openxmlformats.org/officeDocument/2006/relationships/hyperlink" Target="http://www.sec.gov/Archives/edgar/data/1311370/000119312518082725/d525181ddef14a.htm" TargetMode="External"/><Relationship Id="rId128" Type="http://schemas.openxmlformats.org/officeDocument/2006/relationships/hyperlink" Target="http://www.sec.gov/Archives/edgar/data/1311370/000119312516556959/d150073dex109.htm" TargetMode="External"/><Relationship Id="rId129" Type="http://schemas.openxmlformats.org/officeDocument/2006/relationships/hyperlink" Target="http://www.sec.gov/Archives/edgar/data/1311370/000119312516556959/d150073dex1010.htm" TargetMode="External"/><Relationship Id="rId130" Type="http://schemas.openxmlformats.org/officeDocument/2006/relationships/hyperlink" Target="http://www.sec.gov/Archives/edgar/data/1311370/000119312516556959/d150073dex1011.htm" TargetMode="External"/><Relationship Id="rId131" Type="http://schemas.openxmlformats.org/officeDocument/2006/relationships/hyperlink" Target="http://www.sec.gov/Archives/edgar/data/1311370/000119312516556959/d150073dex1012.htm" TargetMode="External"/><Relationship Id="rId132" Type="http://schemas.openxmlformats.org/officeDocument/2006/relationships/hyperlink" Target="http://www.sec.gov/Archives/edgar/data/1311370/000156459017020405/laz-ex1014_1108.htm" TargetMode="External"/><Relationship Id="rId133" Type="http://schemas.openxmlformats.org/officeDocument/2006/relationships/hyperlink" Target="http://www.sec.gov/Archives/edgar/data/1311370/000156459017020405/laz-ex1015_1109.htm" TargetMode="External"/><Relationship Id="rId134" Type="http://schemas.openxmlformats.org/officeDocument/2006/relationships/hyperlink" Target="http://www.sec.gov/Archives/edgar/data/1311370/000119312516556959/d150073dex1013.htm" TargetMode="External"/><Relationship Id="rId135" Type="http://schemas.openxmlformats.org/officeDocument/2006/relationships/hyperlink" Target="http://www.sec.gov/Archives/edgar/data/1311370/000089882205001180/sept9_exhibit.txt" TargetMode="External"/><Relationship Id="rId136" Type="http://schemas.openxmlformats.org/officeDocument/2006/relationships/hyperlink" Target="http://www.sec.gov/Archives/edgar/data/1311370/000119312509041325/dex1041.htm" TargetMode="External"/><Relationship Id="rId137" Type="http://schemas.openxmlformats.org/officeDocument/2006/relationships/hyperlink" Target="http://www.sec.gov/Archives/edgar/data/1311370/000119312509041325/dex1042.htm" TargetMode="External"/><Relationship Id="rId138" Type="http://schemas.openxmlformats.org/officeDocument/2006/relationships/hyperlink" Target="http://www.sec.gov/Archives/edgar/data/1311370/000119312506109044/dex1039.htm" TargetMode="External"/><Relationship Id="rId139" Type="http://schemas.openxmlformats.org/officeDocument/2006/relationships/hyperlink" Target="http://www.sec.gov/Archives/edgar/data/1311370/000119312515355042/d41332dex1027.htm" TargetMode="External"/><Relationship Id="rId140" Type="http://schemas.openxmlformats.org/officeDocument/2006/relationships/hyperlink" Target="http://www.sec.gov/Archives/edgar/data/1311370/000119312513188120/d498095dex1055.htm" TargetMode="External"/><Relationship Id="rId141" Type="http://schemas.openxmlformats.org/officeDocument/2006/relationships/hyperlink" Target="http://www.sec.gov/Archives/edgar/data/1311370/000119312514184963/d687179dex1055.htm" TargetMode="External"/><Relationship Id="rId142" Type="http://schemas.openxmlformats.org/officeDocument/2006/relationships/hyperlink" Target="http://www.sec.gov/Archives/edgar/data/1311370/000119312514184963/d687179dex1056.htm" TargetMode="External"/><Relationship Id="rId144" Type="http://schemas.openxmlformats.org/officeDocument/2006/relationships/hyperlink" Target="http://www.sec.gov/Archives/edgar/data/1311370/000119312510102269/dex1055.htm" TargetMode="External"/><Relationship Id="rId145"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2019-12-28T19:07:25Z</dcterms:created>
  <dcterms:modified xsi:type="dcterms:W3CDTF">2019-12-28T19:07:25Z</dcterms:modified>
</cp:coreProperties>
</file>