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-318770</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-107950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940" w:type="dxa"/>
            <w:vAlign w:val="bottom"/>
            <w:gridSpan w:val="4"/>
          </w:tcPr>
          <w:p>
            <w:pPr>
              <w:ind w:left="40"/>
              <w:spacing w:after="0"/>
              <w:rPr>
                <w:sz w:val="20"/>
                <w:szCs w:val="20"/>
                <w:color w:val="auto"/>
              </w:rPr>
            </w:pPr>
            <w:r>
              <w:rPr>
                <w:rFonts w:ascii="Arial" w:cs="Arial" w:eastAsia="Arial" w:hAnsi="Arial"/>
                <w:sz w:val="18"/>
                <w:szCs w:val="18"/>
                <w:b w:val="1"/>
                <w:bCs w:val="1"/>
                <w:color w:val="auto"/>
              </w:rPr>
              <w:t>For the transition period from</w:t>
            </w:r>
          </w:p>
        </w:tc>
        <w:tc>
          <w:tcPr>
            <w:tcW w:w="2980" w:type="dxa"/>
            <w:vAlign w:val="bottom"/>
            <w:gridSpan w:val="5"/>
          </w:tcPr>
          <w:p>
            <w:pPr>
              <w:jc w:val="right"/>
              <w:ind w:right="2708"/>
              <w:spacing w:after="0"/>
              <w:rPr>
                <w:sz w:val="20"/>
                <w:szCs w:val="20"/>
                <w:color w:val="auto"/>
              </w:rPr>
            </w:pPr>
            <w:r>
              <w:rPr>
                <w:rFonts w:ascii="Arial" w:cs="Arial" w:eastAsia="Arial" w:hAnsi="Arial"/>
                <w:sz w:val="18"/>
                <w:szCs w:val="18"/>
                <w:b w:val="1"/>
                <w:bCs w:val="1"/>
                <w:color w:val="auto"/>
              </w:rPr>
              <w:t>to</w:t>
            </w:r>
          </w:p>
        </w:tc>
      </w:tr>
      <w:tr>
        <w:trPr>
          <w:trHeight w:val="322"/>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gridSpan w:val="3"/>
          </w:tcPr>
          <w:p>
            <w:pPr>
              <w:jc w:val="center"/>
              <w:ind w:left="1268"/>
              <w:spacing w:after="0"/>
              <w:rPr>
                <w:sz w:val="20"/>
                <w:szCs w:val="20"/>
                <w:color w:val="auto"/>
              </w:rPr>
            </w:pPr>
            <w:r>
              <w:rPr>
                <w:rFonts w:ascii="Arial" w:cs="Arial" w:eastAsia="Arial" w:hAnsi="Arial"/>
                <w:sz w:val="18"/>
                <w:szCs w:val="18"/>
                <w:b w:val="1"/>
                <w:bCs w:val="1"/>
                <w:color w:val="auto"/>
                <w:w w:val="90"/>
              </w:rPr>
              <w:t>001-32492</w:t>
            </w: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186"/>
        </w:trPr>
        <w:tc>
          <w:tcPr>
            <w:tcW w:w="1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33"/>
        </w:trPr>
        <w:tc>
          <w:tcPr>
            <w:tcW w:w="1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578"/>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20" w:type="dxa"/>
            <w:vAlign w:val="bottom"/>
            <w:gridSpan w:val="9"/>
          </w:tcPr>
          <w:p>
            <w:pPr>
              <w:jc w:val="center"/>
              <w:ind w:right="2068"/>
              <w:spacing w:after="0"/>
              <w:rPr>
                <w:sz w:val="20"/>
                <w:szCs w:val="20"/>
                <w:color w:val="auto"/>
              </w:rPr>
            </w:pPr>
            <w:r>
              <w:rPr>
                <w:rFonts w:ascii="Arial" w:cs="Arial" w:eastAsia="Arial" w:hAnsi="Arial"/>
                <w:sz w:val="43"/>
                <w:szCs w:val="43"/>
                <w:b w:val="1"/>
                <w:bCs w:val="1"/>
                <w:color w:val="auto"/>
              </w:rPr>
              <w:t>LAZARD LTD</w:t>
            </w:r>
          </w:p>
        </w:tc>
      </w:tr>
      <w:tr>
        <w:trPr>
          <w:trHeight w:val="186"/>
        </w:trPr>
        <w:tc>
          <w:tcPr>
            <w:tcW w:w="1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920" w:type="dxa"/>
            <w:vAlign w:val="bottom"/>
            <w:gridSpan w:val="9"/>
          </w:tcPr>
          <w:p>
            <w:pPr>
              <w:jc w:val="center"/>
              <w:ind w:right="20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20"/>
        </w:trPr>
        <w:tc>
          <w:tcPr>
            <w:tcW w:w="1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8"/>
        </w:trPr>
        <w:tc>
          <w:tcPr>
            <w:tcW w:w="1120" w:type="dxa"/>
            <w:vAlign w:val="bottom"/>
          </w:tcPr>
          <w:p>
            <w:pPr>
              <w:spacing w:after="0"/>
              <w:rPr>
                <w:sz w:val="24"/>
                <w:szCs w:val="24"/>
                <w:color w:val="auto"/>
              </w:rPr>
            </w:pPr>
          </w:p>
        </w:tc>
        <w:tc>
          <w:tcPr>
            <w:tcW w:w="2100" w:type="dxa"/>
            <w:vAlign w:val="bottom"/>
          </w:tcPr>
          <w:p>
            <w:pPr>
              <w:jc w:val="center"/>
              <w:ind w:left="185"/>
              <w:spacing w:after="0"/>
              <w:rPr>
                <w:sz w:val="20"/>
                <w:szCs w:val="20"/>
                <w:color w:val="auto"/>
              </w:rPr>
            </w:pPr>
            <w:r>
              <w:rPr>
                <w:rFonts w:ascii="Arial" w:cs="Arial" w:eastAsia="Arial" w:hAnsi="Arial"/>
                <w:sz w:val="18"/>
                <w:szCs w:val="18"/>
                <w:b w:val="1"/>
                <w:bCs w:val="1"/>
                <w:color w:val="auto"/>
                <w:w w:val="92"/>
              </w:rPr>
              <w:t>Bermuda</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gridSpan w:val="5"/>
          </w:tcPr>
          <w:p>
            <w:pPr>
              <w:jc w:val="right"/>
              <w:ind w:right="648"/>
              <w:spacing w:after="0"/>
              <w:rPr>
                <w:sz w:val="20"/>
                <w:szCs w:val="20"/>
                <w:color w:val="auto"/>
              </w:rPr>
            </w:pPr>
            <w:r>
              <w:rPr>
                <w:rFonts w:ascii="Arial" w:cs="Arial" w:eastAsia="Arial" w:hAnsi="Arial"/>
                <w:sz w:val="18"/>
                <w:szCs w:val="18"/>
                <w:b w:val="1"/>
                <w:bCs w:val="1"/>
                <w:color w:val="auto"/>
              </w:rPr>
              <w:t>98-0437848</w:t>
            </w:r>
          </w:p>
        </w:tc>
      </w:tr>
      <w:tr>
        <w:trPr>
          <w:trHeight w:val="148"/>
        </w:trPr>
        <w:tc>
          <w:tcPr>
            <w:tcW w:w="6160" w:type="dxa"/>
            <w:vAlign w:val="bottom"/>
            <w:gridSpan w:val="6"/>
          </w:tcPr>
          <w:p>
            <w:pPr>
              <w:jc w:val="center"/>
              <w:ind w:right="1560"/>
              <w:spacing w:after="0"/>
              <w:rPr>
                <w:sz w:val="20"/>
                <w:szCs w:val="20"/>
                <w:color w:val="auto"/>
              </w:rPr>
            </w:pPr>
            <w:r>
              <w:rPr>
                <w:rFonts w:ascii="Arial" w:cs="Arial" w:eastAsia="Arial" w:hAnsi="Arial"/>
                <w:sz w:val="13"/>
                <w:szCs w:val="13"/>
                <w:b w:val="1"/>
                <w:bCs w:val="1"/>
                <w:color w:val="auto"/>
                <w:w w:val="95"/>
              </w:rPr>
              <w:t>(State or Other Jurisdiction of Incorporation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(I.R.S. Employer Identification No.)</w:t>
            </w:r>
          </w:p>
        </w:tc>
      </w:tr>
      <w:tr>
        <w:trPr>
          <w:trHeight w:val="174"/>
        </w:trPr>
        <w:tc>
          <w:tcPr>
            <w:tcW w:w="1120" w:type="dxa"/>
            <w:vAlign w:val="bottom"/>
          </w:tcPr>
          <w:p>
            <w:pPr>
              <w:spacing w:after="0"/>
              <w:rPr>
                <w:sz w:val="15"/>
                <w:szCs w:val="15"/>
                <w:color w:val="auto"/>
              </w:rPr>
            </w:pPr>
          </w:p>
        </w:tc>
        <w:tc>
          <w:tcPr>
            <w:tcW w:w="2100" w:type="dxa"/>
            <w:vAlign w:val="bottom"/>
          </w:tcPr>
          <w:p>
            <w:pPr>
              <w:jc w:val="center"/>
              <w:ind w:left="185"/>
              <w:spacing w:after="0"/>
              <w:rPr>
                <w:sz w:val="20"/>
                <w:szCs w:val="20"/>
                <w:color w:val="auto"/>
              </w:rPr>
            </w:pPr>
            <w:r>
              <w:rPr>
                <w:rFonts w:ascii="Arial" w:cs="Arial" w:eastAsia="Arial" w:hAnsi="Arial"/>
                <w:sz w:val="13"/>
                <w:szCs w:val="13"/>
                <w:b w:val="1"/>
                <w:bCs w:val="1"/>
                <w:color w:val="auto"/>
                <w:w w:val="95"/>
              </w:rPr>
              <w:t>or Organization)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3"/>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Clarendon House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 Church Street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2"/>
        </w:trPr>
        <w:tc>
          <w:tcPr>
            <w:tcW w:w="1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Hamilton HM11, Bermuda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6"/>
        </w:trPr>
        <w:tc>
          <w:tcPr>
            <w:tcW w:w="1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80" w:type="dxa"/>
            <w:vAlign w:val="bottom"/>
            <w:gridSpan w:val="8"/>
          </w:tcPr>
          <w:p>
            <w:pPr>
              <w:jc w:val="center"/>
              <w:ind w:right="270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09"/>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20" w:type="dxa"/>
            <w:vAlign w:val="bottom"/>
            <w:gridSpan w:val="9"/>
          </w:tcPr>
          <w:p>
            <w:pPr>
              <w:jc w:val="center"/>
              <w:ind w:right="2088"/>
              <w:spacing w:after="0"/>
              <w:rPr>
                <w:sz w:val="20"/>
                <w:szCs w:val="20"/>
                <w:color w:val="auto"/>
              </w:rPr>
            </w:pPr>
            <w:r>
              <w:rPr>
                <w:rFonts w:ascii="Arial" w:cs="Arial" w:eastAsia="Arial" w:hAnsi="Arial"/>
                <w:sz w:val="18"/>
                <w:szCs w:val="18"/>
                <w:b w:val="1"/>
                <w:bCs w:val="1"/>
                <w:color w:val="auto"/>
                <w:w w:val="90"/>
              </w:rPr>
              <w:t>Registrant’s telephone number: (441) 295-1422</w:t>
            </w:r>
          </w:p>
        </w:tc>
      </w:tr>
      <w:tr>
        <w:trPr>
          <w:trHeight w:val="135"/>
        </w:trPr>
        <w:tc>
          <w:tcPr>
            <w:tcW w:w="112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65"/>
        </w:trPr>
        <w:tc>
          <w:tcPr>
            <w:tcW w:w="616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93"/>
        </w:trPr>
        <w:tc>
          <w:tcPr>
            <w:tcW w:w="11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196"/>
        </w:trPr>
        <w:tc>
          <w:tcPr>
            <w:tcW w:w="1120" w:type="dxa"/>
            <w:vAlign w:val="bottom"/>
            <w:tcBorders>
              <w:right w:val="single" w:sz="8" w:color="auto"/>
            </w:tcBorders>
          </w:tcPr>
          <w:p>
            <w:pPr>
              <w:spacing w:after="0"/>
              <w:rPr>
                <w:sz w:val="17"/>
                <w:szCs w:val="17"/>
                <w:color w:val="auto"/>
              </w:rPr>
            </w:pPr>
          </w:p>
        </w:tc>
        <w:tc>
          <w:tcPr>
            <w:tcW w:w="210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w w:val="92"/>
              </w:rPr>
              <w:t>Title of each class</w:t>
            </w:r>
          </w:p>
        </w:tc>
        <w:tc>
          <w:tcPr>
            <w:tcW w:w="6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w w:val="96"/>
              </w:rPr>
              <w:t>Trading Symbol(s)</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1120" w:type="dxa"/>
            <w:vAlign w:val="bottom"/>
            <w:tcBorders>
              <w:right w:val="single" w:sz="8" w:color="auto"/>
            </w:tcBorders>
          </w:tcPr>
          <w:p>
            <w:pPr>
              <w:spacing w:after="0"/>
              <w:rPr>
                <w:sz w:val="17"/>
                <w:szCs w:val="17"/>
                <w:color w:val="auto"/>
              </w:rPr>
            </w:pPr>
          </w:p>
        </w:tc>
        <w:tc>
          <w:tcPr>
            <w:tcW w:w="2100" w:type="dxa"/>
            <w:vAlign w:val="bottom"/>
            <w:tcBorders>
              <w:bottom w:val="single" w:sz="8" w:color="auto"/>
            </w:tcBorders>
          </w:tcPr>
          <w:p>
            <w:pPr>
              <w:jc w:val="center"/>
              <w:ind w:left="525"/>
              <w:spacing w:after="0"/>
              <w:rPr>
                <w:sz w:val="20"/>
                <w:szCs w:val="20"/>
                <w:color w:val="auto"/>
              </w:rPr>
            </w:pPr>
            <w:r>
              <w:rPr>
                <w:rFonts w:ascii="Arial" w:cs="Arial" w:eastAsia="Arial" w:hAnsi="Arial"/>
                <w:sz w:val="14"/>
                <w:szCs w:val="14"/>
                <w:color w:val="auto"/>
                <w:w w:val="93"/>
              </w:rPr>
              <w:t>Class A Common Stock</w:t>
            </w:r>
          </w:p>
        </w:tc>
        <w:tc>
          <w:tcPr>
            <w:tcW w:w="6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color w:val="auto"/>
              </w:rPr>
              <w:t>LAZ</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New York Stock Exchange</w:t>
            </w:r>
          </w:p>
        </w:tc>
      </w:tr>
    </w:tbl>
    <w:p>
      <w:pPr>
        <w:spacing w:after="0" w:line="89" w:lineRule="exact"/>
        <w:rPr>
          <w:sz w:val="24"/>
          <w:szCs w:val="24"/>
          <w:color w:val="auto"/>
        </w:rPr>
      </w:pPr>
    </w:p>
    <w:p>
      <w:pPr>
        <w:ind w:right="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6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20"/>
        <w:spacing w:after="0" w:line="161" w:lineRule="exact"/>
        <w:tabs>
          <w:tab w:leader="none" w:pos="7000" w:val="left"/>
          <w:tab w:leader="none" w:pos="75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April 24, 2020, there were 112,766,091 shares of the Registrant’s common stock outstanding (including 8,228,660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March 31, 2020 of all of the common membership interests in Lazard Group and its controlling interest in Lazard Group. When we use the term “common stock”, we mean Class A common stock of Lazard Ltd, the only class of common stock of Lazard outstanding.</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36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3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360" w:type="dxa"/>
            <w:vAlign w:val="bottom"/>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 Quantitative and Qualitative Disclosures About Market Risk</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4. Controls and Procedures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38"/>
        </w:trPr>
        <w:tc>
          <w:tcPr>
            <w:tcW w:w="10360" w:type="dxa"/>
            <w:vAlign w:val="bottom"/>
          </w:tcPr>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 Legal Proceedings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1A. Risk Factors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2. Unregistered Sales of Equity Securities and Use of Proceeds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37"/>
        </w:trPr>
        <w:tc>
          <w:tcPr>
            <w:tcW w:w="10360" w:type="dxa"/>
            <w:vAlign w:val="bottom"/>
          </w:tcPr>
          <w:p>
            <w:pPr>
              <w:ind w:left="4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 Defaults Upon Senior Securities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 Mine Safety Disclosures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 Other Information</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 Exhibits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38"/>
        </w:trPr>
        <w:tc>
          <w:tcPr>
            <w:tcW w:w="10360" w:type="dxa"/>
            <w:vAlign w:val="bottom"/>
          </w:tcPr>
          <w:p>
            <w:pPr>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Signatures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780" w:type="dxa"/>
            <w:vAlign w:val="bottom"/>
          </w:tcPr>
          <w:p>
            <w:pPr>
              <w:ind w:left="3240"/>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4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331"/>
        </w:trPr>
        <w:tc>
          <w:tcPr>
            <w:tcW w:w="10640" w:type="dxa"/>
            <w:vAlign w:val="bottom"/>
            <w:gridSpan w:val="2"/>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Condition as of March 31, 2020 and December 31,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6</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w w:val="98"/>
              </w:rPr>
            </w:pPr>
            <w:hyperlink w:anchor="page9">
              <w:r>
                <w:rPr>
                  <w:rFonts w:ascii="Arial" w:cs="Arial" w:eastAsia="Arial" w:hAnsi="Arial"/>
                  <w:sz w:val="18"/>
                  <w:szCs w:val="18"/>
                  <w:u w:val="single" w:color="auto"/>
                  <w:color w:val="0000EE"/>
                  <w:w w:val="98"/>
                </w:rPr>
                <w:t>Condensed Consolidated Statements of Changes in Stockholders’ Equity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7</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793,477</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1,231,593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1,080,737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43,280</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$31,287 and $27,130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Fees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478,943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537,442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109,710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125,696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588,653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663,138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$370,248 and $367,545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at March 31, 2020 and December 31, 2019,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220,318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219,842</w:t>
            </w: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551,504</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of $68,526 and $68,305 at March 31, 2020 and December 31, 2019,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357,245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373,594</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404,744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5,095,123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5,639,581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1,144,992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338,913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602,777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221,787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247,344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1,680,204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1,679,562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524,721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534,268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4,535,506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4,958,007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112,766,091 shares issued at March 31, 2020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December 31, 2019, including shares held by subsidiaries as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indicated below)</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1,119,176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(333,412)</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(293,648)</w:t>
            </w:r>
          </w:p>
        </w:tc>
      </w:tr>
      <w:tr>
        <w:trPr>
          <w:trHeight w:val="223"/>
        </w:trPr>
        <w:tc>
          <w:tcPr>
            <w:tcW w:w="77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942,070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(8,235,358 and 8,513,493</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shares at March 31, 2020 and December 31, 2019, respectively)</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(300,459)</w:t>
            </w:r>
          </w:p>
        </w:tc>
        <w:tc>
          <w:tcPr>
            <w:tcW w:w="2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(332,079)</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486,433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609,991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559,617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681,574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5,095,123</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5,639,581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297,669</w:t>
            </w:r>
          </w:p>
        </w:tc>
        <w:tc>
          <w:tcPr>
            <w:tcW w:w="300" w:type="dxa"/>
            <w:vAlign w:val="bottom"/>
          </w:tcPr>
          <w:p>
            <w:pPr>
              <w:spacing w:after="0"/>
              <w:rPr>
                <w:sz w:val="19"/>
                <w:szCs w:val="19"/>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269,218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2,412</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(11,142)</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558,157</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20,143</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538,014</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319,755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20,186</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453,917</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84,097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25,766</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tcPr>
          <w:p>
            <w:pPr>
              <w:spacing w:after="0"/>
              <w:rPr>
                <w:sz w:val="20"/>
                <w:szCs w:val="20"/>
                <w:color w:val="auto"/>
              </w:rPr>
            </w:pPr>
            <w:r>
              <w:rPr>
                <w:rFonts w:ascii="Arial" w:cs="Arial" w:eastAsia="Arial" w:hAnsi="Arial"/>
                <w:sz w:val="18"/>
                <w:szCs w:val="18"/>
                <w:b w:val="1"/>
                <w:bCs w:val="1"/>
                <w:color w:val="auto"/>
              </w:rPr>
              <w:t>LESS - NET LOSS ATTRIBUTABLE TO</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(5,691)</w:t>
            </w:r>
          </w:p>
        </w:tc>
        <w:tc>
          <w:tcPr>
            <w:tcW w:w="5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106,303,962</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111,944,255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114,120,179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120,820,084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FF0FC"/>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96,476</w:t>
            </w:r>
          </w:p>
        </w:tc>
        <w:tc>
          <w:tcPr>
            <w:tcW w:w="100" w:type="dxa"/>
            <w:vAlign w:val="bottom"/>
            <w:shd w:val="clear" w:color="auto" w:fill="CFF0FC"/>
          </w:tcPr>
          <w:p>
            <w:pPr>
              <w:spacing w:after="0"/>
              <w:rPr>
                <w:sz w:val="19"/>
                <w:szCs w:val="19"/>
                <w:color w:val="auto"/>
              </w:rPr>
            </w:pPr>
          </w:p>
        </w:tc>
      </w:tr>
      <w:tr>
        <w:trPr>
          <w:trHeight w:val="205"/>
        </w:trPr>
        <w:tc>
          <w:tcPr>
            <w:tcW w:w="784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4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9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(50,746)</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expense of $36 for the</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three months ended March 31, 2020)</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7840" w:type="dxa"/>
            <w:vAlign w:val="bottom"/>
          </w:tcPr>
          <w:p>
            <w:pPr>
              <w:ind w:left="500"/>
              <w:spacing w:after="0"/>
              <w:rPr>
                <w:sz w:val="20"/>
                <w:szCs w:val="20"/>
                <w:color w:val="auto"/>
              </w:rPr>
            </w:pPr>
            <w:r>
              <w:rPr>
                <w:rFonts w:ascii="Arial" w:cs="Arial" w:eastAsia="Arial" w:hAnsi="Arial"/>
                <w:sz w:val="18"/>
                <w:szCs w:val="18"/>
                <w:color w:val="auto"/>
              </w:rPr>
              <w:t>Actuarial gain (net of tax expense</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tcPr>
          <w:p>
            <w:pPr>
              <w:ind w:left="640"/>
              <w:spacing w:after="0"/>
              <w:rPr>
                <w:sz w:val="20"/>
                <w:szCs w:val="20"/>
                <w:color w:val="auto"/>
              </w:rPr>
            </w:pPr>
            <w:r>
              <w:rPr>
                <w:rFonts w:ascii="Arial" w:cs="Arial" w:eastAsia="Arial" w:hAnsi="Arial"/>
                <w:sz w:val="18"/>
                <w:szCs w:val="18"/>
                <w:color w:val="auto"/>
              </w:rPr>
              <w:t>of $1,790 and $300 for the three months ended</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40" w:type="dxa"/>
            <w:vAlign w:val="bottom"/>
          </w:tcPr>
          <w:p>
            <w:pPr>
              <w:ind w:left="640"/>
              <w:spacing w:after="0"/>
              <w:rPr>
                <w:sz w:val="20"/>
                <w:szCs w:val="20"/>
                <w:color w:val="auto"/>
              </w:rPr>
            </w:pPr>
            <w:r>
              <w:rPr>
                <w:rFonts w:ascii="Arial" w:cs="Arial" w:eastAsia="Arial" w:hAnsi="Arial"/>
                <w:sz w:val="18"/>
                <w:szCs w:val="18"/>
                <w:color w:val="auto"/>
              </w:rPr>
              <w:t>March 31, 2020 and 2019, respectively)</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15"/>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tax expense of $338 and $178 for the three months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March 31, 2020 and 2019, respectively)</w:t>
            </w:r>
          </w:p>
        </w:tc>
        <w:tc>
          <w:tcPr>
            <w:tcW w:w="9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FF0FC"/>
          </w:tcPr>
          <w:p>
            <w:pPr>
              <w:spacing w:after="0"/>
              <w:rPr>
                <w:sz w:val="20"/>
                <w:szCs w:val="20"/>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(39,763)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101,437</w:t>
            </w:r>
          </w:p>
        </w:tc>
        <w:tc>
          <w:tcPr>
            <w:tcW w:w="100" w:type="dxa"/>
            <w:vAlign w:val="bottom"/>
            <w:shd w:val="clear" w:color="auto" w:fill="CFF0FC"/>
          </w:tcPr>
          <w:p>
            <w:pPr>
              <w:spacing w:after="0"/>
              <w:rPr>
                <w:sz w:val="19"/>
                <w:szCs w:val="19"/>
                <w:color w:val="auto"/>
              </w:rPr>
            </w:pPr>
          </w:p>
        </w:tc>
      </w:tr>
      <w:tr>
        <w:trPr>
          <w:trHeight w:val="211"/>
        </w:trPr>
        <w:tc>
          <w:tcPr>
            <w:tcW w:w="7840" w:type="dxa"/>
            <w:vAlign w:val="bottom"/>
          </w:tcPr>
          <w:p>
            <w:pPr>
              <w:spacing w:after="0"/>
              <w:rPr>
                <w:sz w:val="20"/>
                <w:szCs w:val="20"/>
                <w:color w:val="auto"/>
              </w:rPr>
            </w:pPr>
            <w:r>
              <w:rPr>
                <w:rFonts w:ascii="Arial" w:cs="Arial" w:eastAsia="Arial" w:hAnsi="Arial"/>
                <w:sz w:val="18"/>
                <w:szCs w:val="18"/>
                <w:b w:val="1"/>
                <w:bCs w:val="1"/>
                <w:color w:val="auto"/>
              </w:rPr>
              <w:t>LESS - COMPREHENSIVE LOSS ATTRIBUTABLE TO</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9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(5,690)</w:t>
            </w:r>
          </w:p>
        </w:tc>
        <w:tc>
          <w:tcPr>
            <w:tcW w:w="5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r>
        <w:trPr>
          <w:trHeight w:val="205"/>
        </w:trPr>
        <w:tc>
          <w:tcPr>
            <w:tcW w:w="78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7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LAZARD LTD</w:t>
            </w: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24,258</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040"/>
        <w:spacing w:after="0"/>
        <w:rPr>
          <w:sz w:val="20"/>
          <w:szCs w:val="20"/>
          <w:color w:val="auto"/>
        </w:rPr>
      </w:pPr>
      <w:r>
        <w:rPr>
          <w:rFonts w:ascii="Arial" w:cs="Arial" w:eastAsia="Arial" w:hAnsi="Arial"/>
          <w:sz w:val="18"/>
          <w:szCs w:val="18"/>
          <w:b w:val="1"/>
          <w:bCs w:val="1"/>
          <w:color w:val="auto"/>
        </w:rPr>
        <w:t>LAZARD LTD</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58,331</w:t>
            </w:r>
          </w:p>
        </w:tc>
        <w:tc>
          <w:tcPr>
            <w:tcW w:w="28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96,476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to net cash provided by (used in)</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Depreciation and amortization of property</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8,986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lease expense</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500"/>
              <w:spacing w:after="0" w:line="143" w:lineRule="exact"/>
              <w:rPr>
                <w:sz w:val="20"/>
                <w:szCs w:val="20"/>
                <w:color w:val="auto"/>
              </w:rPr>
            </w:pPr>
            <w:r>
              <w:rPr>
                <w:rFonts w:ascii="Arial" w:cs="Arial" w:eastAsia="Arial" w:hAnsi="Arial"/>
                <w:sz w:val="14"/>
                <w:szCs w:val="14"/>
                <w:color w:val="auto"/>
              </w:rPr>
              <w:t>Amortization of deferred expenses and share-based incentive</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600"/>
              <w:spacing w:after="0"/>
              <w:rPr>
                <w:sz w:val="20"/>
                <w:szCs w:val="20"/>
                <w:color w:val="auto"/>
              </w:rPr>
            </w:pPr>
            <w:r>
              <w:rPr>
                <w:rFonts w:ascii="Arial" w:cs="Arial" w:eastAsia="Arial" w:hAnsi="Arial"/>
                <w:sz w:val="14"/>
                <w:szCs w:val="14"/>
                <w:color w:val="auto"/>
              </w:rPr>
              <w:t>compensation</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101,097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104,953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and other acquisition-related costs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Deferred tax provision</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(Increase) decrease in operating assets and increase (decrease) in</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360"/>
              <w:spacing w:after="0"/>
              <w:rPr>
                <w:sz w:val="20"/>
                <w:szCs w:val="20"/>
                <w:color w:val="auto"/>
              </w:rPr>
            </w:pPr>
            <w:r>
              <w:rPr>
                <w:rFonts w:ascii="Arial" w:cs="Arial" w:eastAsia="Arial" w:hAnsi="Arial"/>
                <w:sz w:val="14"/>
                <w:szCs w:val="14"/>
                <w:color w:val="auto"/>
              </w:rPr>
              <w:t>operating liabilities: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Receivables-net</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59,961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(13,989)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23,325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(40,160)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(172,121)</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(84,225)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Accrued compensation and benefits and other liabilities</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(263,012)</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(256,048)</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(155,976)</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(161,251)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property</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(12,011)</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(5,871)</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Disposals of property</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(11,942)</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Issuance of senior debt, net of expenses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491,875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Customer deposits</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Contributions from noncontrolling interests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for:</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Senior debt</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(171,668)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Customer deposits</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(70,652)</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Distributions to noncontrolling interests</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(1,411)</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Payments under tax receivable agreement</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(25,557)</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(23,674)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 of Class A common stock</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(95,227)</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(192,097)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Class A common stock dividends</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(48,759)</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(103,402)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Settlement of share-based incentive compensation</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(66,728)</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(90,657)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financing activities</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(1,869)</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(310,178)</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93,572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72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EFFECT OF EXCHANGE RATE CHANGES ON CASH AND CASH EQUIVALENTS AND</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RESTRICTED CASH</w:t>
            </w: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(61,851)</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(29,740)</w:t>
            </w:r>
          </w:p>
        </w:tc>
        <w:tc>
          <w:tcPr>
            <w:tcW w:w="0" w:type="dxa"/>
            <w:vAlign w:val="bottom"/>
          </w:tcPr>
          <w:p>
            <w:pPr>
              <w:spacing w:after="0"/>
              <w:rPr>
                <w:sz w:val="1"/>
                <w:szCs w:val="1"/>
                <w:color w:val="auto"/>
              </w:rPr>
            </w:pPr>
          </w:p>
        </w:tc>
      </w:tr>
      <w:tr>
        <w:trPr>
          <w:trHeight w:val="133"/>
        </w:trPr>
        <w:tc>
          <w:tcPr>
            <w:tcW w:w="7720" w:type="dxa"/>
            <w:vAlign w:val="bottom"/>
          </w:tcPr>
          <w:p>
            <w:pPr>
              <w:spacing w:after="0" w:line="133" w:lineRule="exact"/>
              <w:rPr>
                <w:sz w:val="20"/>
                <w:szCs w:val="20"/>
                <w:color w:val="auto"/>
              </w:rPr>
            </w:pPr>
            <w:r>
              <w:rPr>
                <w:rFonts w:ascii="Arial" w:cs="Arial" w:eastAsia="Arial" w:hAnsi="Arial"/>
                <w:sz w:val="14"/>
                <w:szCs w:val="14"/>
                <w:b w:val="1"/>
                <w:bCs w:val="1"/>
                <w:color w:val="auto"/>
              </w:rPr>
              <w:t>NET DECREASE IN CASH AND</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CASH EQUIVALENTS AND RESTRICTED CASH</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(539,947)</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(103,220)</w:t>
            </w: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CASH AND CASH EQUIVALENTS AND RESTRICTED CASH—</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January 1</w:t>
            </w: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2,455,559</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2,291,885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 CASH—</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1,915,612</w:t>
            </w:r>
          </w:p>
        </w:tc>
        <w:tc>
          <w:tcPr>
            <w:tcW w:w="28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2,188,665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AND RESTRICTED CASH WITHIN THE CONDENSED CONSOLIDATED</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STATEMENTS OF FINANCIAL CONDITION:</w:t>
            </w:r>
          </w:p>
        </w:tc>
        <w:tc>
          <w:tcPr>
            <w:tcW w:w="280" w:type="dxa"/>
            <w:vAlign w:val="bottom"/>
          </w:tcPr>
          <w:p>
            <w:pPr>
              <w:spacing w:after="0"/>
              <w:rPr>
                <w:sz w:val="16"/>
                <w:szCs w:val="16"/>
                <w:color w:val="auto"/>
              </w:rPr>
            </w:pPr>
          </w:p>
        </w:tc>
        <w:tc>
          <w:tcPr>
            <w:tcW w:w="15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4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7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793,477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1,231,593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Deposits with banks and short-term investments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1,080,737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1,180,686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deposited with clearing organizations and other segregated cash</w:t>
            </w: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41,398</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43,280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TOTAL CASH AND CASH EQUIVALENTS AND RESTRICTED CASH</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1,915,612</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2,455,559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93"/>
              </w:rPr>
              <w:t>Accumulated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1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rPr>
              <w:t>Other</w:t>
            </w:r>
          </w:p>
        </w:tc>
        <w:tc>
          <w:tcPr>
            <w:tcW w:w="186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92"/>
              </w:rPr>
              <w:t>Class A</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2"/>
              </w:rPr>
              <w:t>Comprehensive</w:t>
            </w:r>
          </w:p>
        </w:tc>
        <w:tc>
          <w:tcPr>
            <w:tcW w:w="186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92"/>
              </w:rPr>
              <w:t>Common Stock</w:t>
            </w:r>
          </w:p>
        </w:tc>
        <w:tc>
          <w:tcPr>
            <w:tcW w:w="9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Lazard Ltd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61"/>
        </w:trPr>
        <w:tc>
          <w:tcPr>
            <w:tcW w:w="1880" w:type="dxa"/>
            <w:vAlign w:val="bottom"/>
          </w:tcPr>
          <w:p>
            <w:pPr>
              <w:spacing w:after="0"/>
              <w:rPr>
                <w:sz w:val="14"/>
                <w:szCs w:val="14"/>
                <w:color w:val="auto"/>
              </w:rPr>
            </w:pPr>
          </w:p>
        </w:tc>
        <w:tc>
          <w:tcPr>
            <w:tcW w:w="1620" w:type="dxa"/>
            <w:vAlign w:val="bottom"/>
            <w:gridSpan w:val="4"/>
          </w:tcPr>
          <w:p>
            <w:pPr>
              <w:jc w:val="right"/>
              <w:ind w:right="304"/>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91"/>
              </w:rPr>
              <w:t>Income (Loss),</w:t>
            </w:r>
          </w:p>
        </w:tc>
        <w:tc>
          <w:tcPr>
            <w:tcW w:w="186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92"/>
              </w:rPr>
              <w:t>Held By Subsidiaries</w:t>
            </w:r>
          </w:p>
        </w:tc>
        <w:tc>
          <w:tcPr>
            <w:tcW w:w="9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Stockholders’</w:t>
            </w:r>
          </w:p>
        </w:tc>
        <w:tc>
          <w:tcPr>
            <w:tcW w:w="1080" w:type="dxa"/>
            <w:vAlign w:val="bottom"/>
            <w:gridSpan w:val="4"/>
          </w:tcPr>
          <w:p>
            <w:pPr>
              <w:ind w:left="40"/>
              <w:spacing w:after="0"/>
              <w:rPr>
                <w:sz w:val="20"/>
                <w:szCs w:val="20"/>
                <w:color w:val="auto"/>
              </w:rPr>
            </w:pPr>
            <w:r>
              <w:rPr>
                <w:rFonts w:ascii="Arial" w:cs="Arial" w:eastAsia="Arial" w:hAnsi="Arial"/>
                <w:sz w:val="13"/>
                <w:szCs w:val="13"/>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1880" w:type="dxa"/>
            <w:vAlign w:val="bottom"/>
          </w:tcPr>
          <w:p>
            <w:pPr>
              <w:spacing w:after="0"/>
              <w:rPr>
                <w:sz w:val="13"/>
                <w:szCs w:val="13"/>
                <w:color w:val="auto"/>
              </w:rPr>
            </w:pPr>
          </w:p>
        </w:tc>
        <w:tc>
          <w:tcPr>
            <w:tcW w:w="104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5"/>
              </w:rPr>
              <w:t>Net of Tax</w:t>
            </w: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Interests</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r>
      <w:tr>
        <w:trPr>
          <w:trHeight w:val="196"/>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w:t>
            </w: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2019</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750,692</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$ 1,195,563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(273,818)</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17,574,805</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90"/>
              </w:rPr>
              <w:t>$ (756,884)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916,851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53,242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970,093</w:t>
            </w:r>
          </w:p>
        </w:tc>
        <w:tc>
          <w:tcPr>
            <w:tcW w:w="100" w:type="dxa"/>
            <w:vAlign w:val="bottom"/>
            <w:shd w:val="clear" w:color="auto" w:fill="CFF0FC"/>
          </w:tcPr>
          <w:p>
            <w:pPr>
              <w:spacing w:after="0"/>
              <w:rPr>
                <w:sz w:val="18"/>
                <w:szCs w:val="18"/>
                <w:color w:val="auto"/>
              </w:rPr>
            </w:pPr>
          </w:p>
        </w:tc>
      </w:tr>
      <w:tr>
        <w:trPr>
          <w:trHeight w:val="206"/>
        </w:trPr>
        <w:tc>
          <w:tcPr>
            <w:tcW w:w="188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1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97,042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97,042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(566)</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96,476</w:t>
            </w:r>
          </w:p>
        </w:tc>
        <w:tc>
          <w:tcPr>
            <w:tcW w:w="100" w:type="dxa"/>
            <w:vAlign w:val="bottom"/>
            <w:shd w:val="clear" w:color="auto" w:fill="CFF0FC"/>
          </w:tcPr>
          <w:p>
            <w:pPr>
              <w:spacing w:after="0"/>
              <w:rPr>
                <w:sz w:val="19"/>
                <w:szCs w:val="19"/>
                <w:color w:val="auto"/>
              </w:rPr>
            </w:pPr>
          </w:p>
        </w:tc>
      </w:tr>
      <w:tr>
        <w:trPr>
          <w:trHeight w:val="206"/>
        </w:trPr>
        <w:tc>
          <w:tcPr>
            <w:tcW w:w="188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80" w:type="dxa"/>
            <w:vAlign w:val="bottom"/>
          </w:tcPr>
          <w:p>
            <w:pPr>
              <w:ind w:left="140"/>
              <w:spacing w:after="0"/>
              <w:rPr>
                <w:sz w:val="20"/>
                <w:szCs w:val="20"/>
                <w:color w:val="auto"/>
              </w:rPr>
            </w:pPr>
            <w:r>
              <w:rPr>
                <w:rFonts w:ascii="Arial" w:cs="Arial" w:eastAsia="Arial" w:hAnsi="Arial"/>
                <w:sz w:val="16"/>
                <w:szCs w:val="16"/>
                <w:color w:val="auto"/>
              </w:rPr>
              <w:t>income - net of 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18"/>
                <w:szCs w:val="18"/>
                <w:color w:val="auto"/>
              </w:rPr>
            </w:pPr>
          </w:p>
        </w:tc>
      </w:tr>
      <w:tr>
        <w:trPr>
          <w:trHeight w:val="20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66,213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66,213</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84,681</w:t>
            </w:r>
          </w:p>
        </w:tc>
        <w:tc>
          <w:tcPr>
            <w:tcW w:w="100" w:type="dxa"/>
            <w:vAlign w:val="bottom"/>
            <w:shd w:val="clear" w:color="auto" w:fill="CFF0FC"/>
          </w:tcPr>
          <w:p>
            <w:pPr>
              <w:spacing w:after="0"/>
              <w:rPr>
                <w:sz w:val="18"/>
                <w:szCs w:val="18"/>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15,512</w:t>
            </w: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(17,187)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(1,675)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(1,375)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(3,050)</w:t>
            </w:r>
          </w:p>
        </w:tc>
      </w:tr>
      <w:tr>
        <w:trPr>
          <w:trHeight w:val="20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dividends ($0.94 per</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(103,402)</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(103,402)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(103,402)</w:t>
            </w:r>
          </w:p>
        </w:tc>
      </w:tr>
      <w:tr>
        <w:trPr>
          <w:trHeight w:val="206"/>
        </w:trPr>
        <w:tc>
          <w:tcPr>
            <w:tcW w:w="188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5,177,948</w:t>
            </w:r>
          </w:p>
        </w:tc>
        <w:tc>
          <w:tcPr>
            <w:tcW w:w="16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6"/>
                <w:szCs w:val="16"/>
                <w:color w:val="auto"/>
              </w:rPr>
              <w:t>(192,097)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(192,097)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(192,097)</w:t>
            </w:r>
          </w:p>
        </w:tc>
      </w:tr>
      <w:tr>
        <w:trPr>
          <w:trHeight w:val="20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4"/>
              </w:rPr>
              <w:t>compensation and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$3,881</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3"/>
              </w:rPr>
              <w:t>(296,858)</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(4,906,631)</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(86,776)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(86,776)</w:t>
            </w:r>
          </w:p>
        </w:tc>
      </w:tr>
      <w:tr>
        <w:trPr>
          <w:trHeight w:val="206"/>
        </w:trPr>
        <w:tc>
          <w:tcPr>
            <w:tcW w:w="188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8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8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8"/>
                <w:szCs w:val="18"/>
                <w:color w:val="auto"/>
              </w:rPr>
            </w:pPr>
          </w:p>
        </w:tc>
      </w:tr>
      <w:tr>
        <w:trPr>
          <w:trHeight w:val="213"/>
        </w:trPr>
        <w:tc>
          <w:tcPr>
            <w:tcW w:w="188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Contributions from</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90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FF0FC"/>
          </w:tcPr>
          <w:p>
            <w:pPr>
              <w:spacing w:after="0"/>
              <w:rPr>
                <w:sz w:val="18"/>
                <w:szCs w:val="18"/>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6"/>
                <w:szCs w:val="16"/>
                <w:b w:val="1"/>
                <w:bCs w:val="1"/>
                <w:color w:val="auto"/>
                <w:w w:val="98"/>
              </w:rPr>
              <w:t>Balance - March 31, 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535,926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$ 1,171,754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(268,858</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17,846,122</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(738,899</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701,221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70,151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771,372</w:t>
            </w:r>
          </w:p>
        </w:tc>
        <w:tc>
          <w:tcPr>
            <w:tcW w:w="10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5"/>
              </w:rPr>
              <w:t>Accumulated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7"/>
              </w:rPr>
              <w:t>Other</w:t>
            </w:r>
          </w:p>
        </w:tc>
        <w:tc>
          <w:tcPr>
            <w:tcW w:w="1840" w:type="dxa"/>
            <w:vAlign w:val="bottom"/>
            <w:gridSpan w:val="4"/>
          </w:tcPr>
          <w:p>
            <w:pPr>
              <w:jc w:val="center"/>
              <w:ind w:right="79"/>
              <w:spacing w:after="0"/>
              <w:rPr>
                <w:sz w:val="20"/>
                <w:szCs w:val="20"/>
                <w:color w:val="auto"/>
              </w:rPr>
            </w:pPr>
            <w:r>
              <w:rPr>
                <w:rFonts w:ascii="Arial" w:cs="Arial" w:eastAsia="Arial" w:hAnsi="Arial"/>
                <w:sz w:val="13"/>
                <w:szCs w:val="13"/>
                <w:b w:val="1"/>
                <w:bCs w:val="1"/>
                <w:color w:val="auto"/>
                <w:w w:val="92"/>
              </w:rPr>
              <w:t>Class A</w:t>
            </w:r>
          </w:p>
        </w:tc>
        <w:tc>
          <w:tcPr>
            <w:tcW w:w="12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2"/>
              </w:rPr>
              <w:t>Comprehensive</w:t>
            </w:r>
          </w:p>
        </w:tc>
        <w:tc>
          <w:tcPr>
            <w:tcW w:w="184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94"/>
              </w:rPr>
              <w:t>Common Stock</w:t>
            </w: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620" w:type="dxa"/>
            <w:vAlign w:val="bottom"/>
            <w:gridSpan w:val="4"/>
          </w:tcPr>
          <w:p>
            <w:pPr>
              <w:jc w:val="right"/>
              <w:ind w:right="302"/>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3"/>
              </w:rPr>
              <w:t>Income (Loss),</w:t>
            </w:r>
          </w:p>
        </w:tc>
        <w:tc>
          <w:tcPr>
            <w:tcW w:w="184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94"/>
              </w:rPr>
              <w:t>Held By Subsidiaries</w:t>
            </w: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Stockholders’</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3"/>
                <w:szCs w:val="13"/>
                <w:color w:val="auto"/>
              </w:rPr>
            </w:pPr>
          </w:p>
        </w:tc>
        <w:tc>
          <w:tcPr>
            <w:tcW w:w="9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2"/>
              </w:rPr>
              <w:t>Net of Tax</w:t>
            </w:r>
          </w:p>
        </w:tc>
        <w:tc>
          <w:tcPr>
            <w:tcW w:w="9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Interests</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0"/>
        </w:trPr>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6"/>
              </w:rPr>
              <w:t>Balance - January 1,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112,766,091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1,128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41,020</w:t>
            </w: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$ 1,193,570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(293,648)</w:t>
            </w:r>
          </w:p>
        </w:tc>
        <w:tc>
          <w:tcPr>
            <w:tcW w:w="1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8,513,493</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(332,079)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609,991</w:t>
            </w: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71,583</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681,574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Adjustment for cumulative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effect on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20"/>
              <w:spacing w:after="0"/>
              <w:rPr>
                <w:sz w:val="20"/>
                <w:szCs w:val="20"/>
                <w:color w:val="auto"/>
              </w:rPr>
            </w:pPr>
            <w:r>
              <w:rPr>
                <w:rFonts w:ascii="Arial" w:cs="Arial" w:eastAsia="Arial" w:hAnsi="Arial"/>
                <w:sz w:val="16"/>
                <w:szCs w:val="16"/>
                <w:color w:val="auto"/>
              </w:rPr>
              <w:t>prior years from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20"/>
              <w:spacing w:after="0"/>
              <w:rPr>
                <w:sz w:val="20"/>
                <w:szCs w:val="20"/>
                <w:color w:val="auto"/>
              </w:rPr>
            </w:pPr>
            <w:r>
              <w:rPr>
                <w:rFonts w:ascii="Arial" w:cs="Arial" w:eastAsia="Arial" w:hAnsi="Arial"/>
                <w:sz w:val="16"/>
                <w:szCs w:val="16"/>
                <w:color w:val="auto"/>
                <w:w w:val="97"/>
              </w:rPr>
              <w:t>new accounting guidance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(7,575)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(7,575)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(7,575)</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adjusted</w:t>
            </w: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00" w:type="dxa"/>
            <w:vAlign w:val="bottom"/>
            <w:vMerge w:val="continue"/>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112,766,091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1,128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41,020</w:t>
            </w: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1,185,995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(293,648)</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8,513,493</w:t>
            </w:r>
          </w:p>
        </w:tc>
        <w:tc>
          <w:tcPr>
            <w:tcW w:w="16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(332,079)</w:t>
            </w:r>
          </w:p>
        </w:tc>
        <w:tc>
          <w:tcPr>
            <w:tcW w:w="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602,416</w:t>
            </w: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71,583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673,999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January 1, 2020</w:t>
            </w: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 (loss)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64,022</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(5,691)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60"/>
              <w:spacing w:after="0"/>
              <w:rPr>
                <w:sz w:val="20"/>
                <w:szCs w:val="20"/>
                <w:color w:val="auto"/>
              </w:rPr>
            </w:pPr>
            <w:r>
              <w:rPr>
                <w:rFonts w:ascii="Arial" w:cs="Arial" w:eastAsia="Arial" w:hAnsi="Arial"/>
                <w:sz w:val="16"/>
                <w:szCs w:val="16"/>
                <w:color w:val="auto"/>
              </w:rPr>
              <w:t>income (loss) - net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260"/>
              <w:spacing w:after="0"/>
              <w:rPr>
                <w:sz w:val="20"/>
                <w:szCs w:val="20"/>
                <w:color w:val="auto"/>
              </w:rPr>
            </w:pPr>
            <w:r>
              <w:rPr>
                <w:rFonts w:ascii="Arial" w:cs="Arial" w:eastAsia="Arial" w:hAnsi="Arial"/>
                <w:sz w:val="16"/>
                <w:szCs w:val="16"/>
                <w:color w:val="auto"/>
              </w:rPr>
              <w:t>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(39,764)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(39,764)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(39,763)</w:t>
            </w: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70,750</w:t>
            </w: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70,750</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6,717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(7,394)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(677)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(1,186)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($0.47 per share)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(48,759)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(48,759)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(48,759)</w:t>
            </w: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2,912,035</w:t>
            </w:r>
          </w:p>
        </w:tc>
        <w:tc>
          <w:tcPr>
            <w:tcW w:w="16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6"/>
                <w:szCs w:val="16"/>
                <w:color w:val="auto"/>
              </w:rPr>
              <w:t>(95,227)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(95,227)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(95,227)</w:t>
            </w: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$347</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(118,326)</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(74,228)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(3,169,546)</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(66,380)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(66,380)</w:t>
            </w: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60"/>
              <w:spacing w:after="0"/>
              <w:rPr>
                <w:sz w:val="20"/>
                <w:szCs w:val="20"/>
                <w:color w:val="auto"/>
              </w:rPr>
            </w:pPr>
            <w:r>
              <w:rPr>
                <w:rFonts w:ascii="Arial" w:cs="Arial" w:eastAsia="Arial" w:hAnsi="Arial"/>
                <w:sz w:val="16"/>
                <w:szCs w:val="16"/>
                <w:color w:val="auto"/>
              </w:rPr>
              <w:t>Delivery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(673)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(20,624)</w:t>
            </w:r>
          </w:p>
        </w:tc>
        <w:tc>
          <w:tcPr>
            <w:tcW w:w="700" w:type="dxa"/>
            <w:vAlign w:val="bottom"/>
          </w:tcPr>
          <w:p>
            <w:pPr>
              <w:jc w:val="right"/>
              <w:spacing w:after="0"/>
              <w:rPr>
                <w:sz w:val="20"/>
                <w:szCs w:val="20"/>
                <w:color w:val="auto"/>
              </w:rPr>
            </w:pPr>
            <w:r>
              <w:rPr>
                <w:rFonts w:ascii="Arial" w:cs="Arial" w:eastAsia="Arial" w:hAnsi="Arial"/>
                <w:sz w:val="16"/>
                <w:szCs w:val="16"/>
                <w:color w:val="auto"/>
              </w:rPr>
              <w:t>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18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6"/>
                <w:szCs w:val="16"/>
                <w:color w:val="auto"/>
              </w:rPr>
              <w:t>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(1,386)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9"/>
        </w:trPr>
        <w:tc>
          <w:tcPr>
            <w:tcW w:w="1900" w:type="dxa"/>
            <w:vAlign w:val="bottom"/>
            <w:shd w:val="clear" w:color="auto" w:fill="CFF0FC"/>
          </w:tcPr>
          <w:p>
            <w:pPr>
              <w:spacing w:after="0"/>
              <w:rPr>
                <w:sz w:val="20"/>
                <w:szCs w:val="20"/>
                <w:color w:val="auto"/>
              </w:rPr>
            </w:pPr>
            <w:r>
              <w:rPr>
                <w:rFonts w:ascii="Arial" w:cs="Arial" w:eastAsia="Arial" w:hAnsi="Arial"/>
                <w:sz w:val="16"/>
                <w:szCs w:val="16"/>
                <w:color w:val="auto"/>
              </w:rPr>
              <w:t>Consolidated VIEs</w:t>
            </w:r>
          </w:p>
        </w:tc>
        <w:tc>
          <w:tcPr>
            <w:tcW w:w="9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8,452</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00" w:type="dxa"/>
            <w:vAlign w:val="bottom"/>
          </w:tcPr>
          <w:p>
            <w:pPr>
              <w:spacing w:after="0"/>
              <w:rPr>
                <w:sz w:val="20"/>
                <w:szCs w:val="20"/>
                <w:color w:val="auto"/>
              </w:rPr>
            </w:pPr>
            <w:r>
              <w:rPr>
                <w:rFonts w:ascii="Arial" w:cs="Arial" w:eastAsia="Arial" w:hAnsi="Arial"/>
                <w:sz w:val="16"/>
                <w:szCs w:val="16"/>
                <w:b w:val="1"/>
                <w:bCs w:val="1"/>
                <w:color w:val="auto"/>
                <w:w w:val="99"/>
              </w:rPr>
              <w:t>Balance -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112,766,091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1,128</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$ 1,119,176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(333,412</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8,235,358</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(300,459</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486,433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73,184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260" w:right="6700" w:hanging="252"/>
        <w:spacing w:after="0" w:line="402" w:lineRule="auto"/>
        <w:tabs>
          <w:tab w:leader="none" w:pos="50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63" w:lineRule="exact"/>
        <w:rPr>
          <w:sz w:val="20"/>
          <w:szCs w:val="20"/>
          <w:color w:val="auto"/>
        </w:rPr>
      </w:pPr>
    </w:p>
    <w:p>
      <w:pPr>
        <w:ind w:right="440" w:firstLine="510"/>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2020 and December 31, 2019. Lazard Ltd, through its control of the managing members of Lazard Group, controls Lazard Group, which is governed by an Amended and Restated Operating Agreement dated as of February 4, 2019 (the “Operating Agreement”).</w:t>
      </w:r>
    </w:p>
    <w:p>
      <w:pPr>
        <w:spacing w:after="0" w:line="184"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880" w:right="3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5"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4"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2019. The accompanying December 31, 2019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6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2020 are not indicative of the results to be expected for any future interim or annual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21).</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37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current expected credit losses (“CECL”) and requires consideration of a broader range of reasonable and supportable information to determine credit loss estimates.</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Company adopted the new guidance on January 1, 2020 using a modified retrospective approach and recorded a $7,575 cumulative-effect adjustment to retained earnings upon adoption. The impact of the new guidance primarily relates to the Company’s fee receivables.</w:t>
      </w:r>
    </w:p>
    <w:p>
      <w:pPr>
        <w:spacing w:after="0" w:line="14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 comply with the CECL model, the Company applies a bad debt charge-off rate, determined based on historical charge-off experience and adjusted for specific allowance based on current conditions of individual customers, to measure the expected credit loss for fee receivables. The Company also performs a qualitative assessment, on a quarterly basis, to monitor economic factors and other uncertainties that may require additional adjustment to the expected credit loss allowance.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4 for further details on the Company’s receivables and allowance for doubtful accounts.</w:t>
      </w:r>
    </w:p>
    <w:p>
      <w:pPr>
        <w:spacing w:after="0" w:line="22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i w:val="1"/>
          <w:iCs w:val="1"/>
          <w:color w:val="auto"/>
        </w:rPr>
        <w:t>Intangibles—Goodwill and Other: Simplifying the Test for Goodwill Impairment</w:t>
      </w:r>
      <w:r>
        <w:rPr>
          <w:rFonts w:ascii="Arial" w:cs="Arial" w:eastAsia="Arial" w:hAnsi="Arial"/>
          <w:sz w:val="18"/>
          <w:szCs w:val="18"/>
          <w:color w:val="auto"/>
        </w:rPr>
        <w:t>—In January 2017, the FASB issued updated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Company adopted the new guidance on January 1, 2020 and, in accordance with the new guidance, applied it prospectively to goodwill impairment tests performed after the adoption date.</w:t>
      </w:r>
    </w:p>
    <w:p>
      <w:pPr>
        <w:spacing w:after="0" w:line="19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i w:val="1"/>
          <w:iCs w:val="1"/>
          <w:color w:val="auto"/>
        </w:rPr>
        <w:t>Intangibles—Internal-Use Software: Customer’s Accounting for Implementation Costs Incurred in a Cloud Computing Arrangement that is a Service Contract</w:t>
      </w:r>
      <w:r>
        <w:rPr>
          <w:rFonts w:ascii="Arial" w:cs="Arial" w:eastAsia="Arial" w:hAnsi="Arial"/>
          <w:sz w:val="17"/>
          <w:szCs w:val="17"/>
          <w:color w:val="auto"/>
        </w:rPr>
        <w:t>—In August 2018, the FASB issued updated guidance on the accounting for implementation costs incurred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new guidance requires the capitalization of the implementation costs incurred in a cloud computing arrangement to be aligned with the requirements for capitalizing costs incurred to develop or obtain internal-use software. The Company adopted the new guidance as of January 1, 2020 and, in accordance with the new guidance, applied it prospectively to implementation costs incurred after the adoption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i w:val="1"/>
          <w:iCs w:val="1"/>
          <w:color w:val="auto"/>
        </w:rPr>
        <w:t>Related Party Guidance for Variable Interest Entities</w:t>
      </w:r>
      <w:r>
        <w:rPr>
          <w:rFonts w:ascii="Arial" w:cs="Arial" w:eastAsia="Arial" w:hAnsi="Arial"/>
          <w:sz w:val="17"/>
          <w:szCs w:val="17"/>
          <w:color w:val="auto"/>
        </w:rPr>
        <w:t>—In October 2018, the FASB issued updated guidance that requires consideration of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held through related parties under common control for determining whether fees paid to decision makers and service providers are variable interests. The amendments are required to be applied retrospectively with a cumulative-effect adjustment. The Company adopted the new guidance as of January 1, 2020 and its application did not have a material impact to the Company’s financial statements.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on fair value measurement. The updated guidance eliminates or modifies various required disclosures under the current guidance and includes additional requirements. The additional disclosures related to level 3 fair value measurements are to be applied prospectively and other amendments are to be applied retrospectively. The Company adopted the new guidance on January 1, 2020 and its application did not have a material impact to the Company’s financial statements.</w:t>
      </w:r>
    </w:p>
    <w:p>
      <w:pPr>
        <w:spacing w:after="0" w:line="18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Company adopted the new guidance on January 1, 2020 and will update its annual disclosures in accordance with the new guidance.</w:t>
      </w:r>
    </w:p>
    <w:p>
      <w:pPr>
        <w:spacing w:after="0" w:line="18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—In December 2019, the FASB issued new guidance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include the removal of certain exceptions and various improvements. These improvements are related to the accounting for franchise tax based on income, evaluation of step up in tax basis of goodwill, allocation of consolidated tax expense to standalone legal entities, recognition of enacted change in tax laws or rates, and other minor changes. The new guidance is effective for annual and interim reporting periods beginning after December 15, 2020, with early adoption permitted. The Company is currently evaluating the new guidance.</w:t>
      </w:r>
    </w:p>
    <w:p>
      <w:pPr>
        <w:spacing w:after="0" w:line="36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b w:val="1"/>
          <w:bCs w:val="1"/>
          <w:i w:val="1"/>
          <w:iCs w:val="1"/>
          <w:color w:val="auto"/>
        </w:rPr>
        <w:t>Investment Banking and Other Advisory Fees</w:t>
      </w:r>
      <w:r>
        <w:rPr>
          <w:rFonts w:ascii="Arial" w:cs="Arial" w:eastAsia="Arial" w:hAnsi="Arial"/>
          <w:sz w:val="16"/>
          <w:szCs w:val="16"/>
          <w:color w:val="auto"/>
        </w:rPr>
        <w:t>—Fees for Financial Advisory services are recorded when: (i) a contract with a client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9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7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21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298,966</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338,370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56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vMerge w:val="continue"/>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21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281,007</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30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1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18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282,521</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301,833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hanging="372"/>
        <w:spacing w:after="0" w:line="270"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2" w:lineRule="exact"/>
        <w:rPr>
          <w:rFonts w:ascii="Arial" w:cs="Arial" w:eastAsia="Arial" w:hAnsi="Arial"/>
          <w:sz w:val="17"/>
          <w:szCs w:val="17"/>
          <w:color w:val="auto"/>
        </w:rPr>
      </w:pPr>
    </w:p>
    <w:p>
      <w:pPr>
        <w:ind w:left="380" w:right="240" w:hanging="372"/>
        <w:spacing w:after="0" w:line="25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6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Company’s receivables represent fee receivables, amounts due from customers and other receivables. The fee receivables are generally due within 60 days from the date of invoice except as related to certain Restructuring and Private Capital Advisory services which have fee receivables due upon specified contractual payment terms. For customer loans within customer and other receivables, the Company has elected to apply the practical expedient, in accordance with CECL guidance, for financial assets with collateral maintenance provisions, which results in no expected credit losses given that these loans are maintained with collateral having a fair value in excess of the carrying amount of the loans as of March 31, 2020.</w:t>
      </w:r>
    </w:p>
    <w:p>
      <w:pPr>
        <w:spacing w:after="0" w:line="161"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Receivables are stated net of an estimated allowance for doubtful accounts determined in accordance with the CECL model, for general credit risk of the overall portfolio and for specific accounts deemed uncollectible, which may include situations where a fee is in dispute.</w:t>
      </w:r>
    </w:p>
    <w:p>
      <w:pPr>
        <w:spacing w:after="0" w:line="146"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For fee receivables, the allowance for doubtful accounts is determined together for all Financial Advisory fees except for Private Capital Advisory given the different nature of the business, customer composition, and risk characteristics. In addition, a separate allowance for doubtful accounts is determined for all Asset Management fees. The allowance is measured by the application of an average charge-off rate, determined annually based on historical bad debt charge-off experience, to the fee receivable balance of the respective services, adjusted for specific allowance recognized based on current conditions of individual customers. The current factors are considered on a quarterly basis and include the aging of the receivables, the customers’ ability to make payments, and the Company’s relationship with the customer. In addition, the Company also performs a qualitative assessment on a quarterly basis to monitor economic factors and other uncertainties that may require additional adjustment to the expected credit loss allowance.</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except for certain transactions that include specific contractual payment terms which may vary from one month to four years following the invoice date (as is the case for Private Capital Advisory fees) or may be subject to court approval (as is the case with Restructuring activities that include bankruptcy proceedings). In such cases, receivables are deemed past due when payment is not received by the agreed-upon contractual date or the court approval date, respectively. Financial Advisory fee receivables past due, from the date of invoice or the specific contractual payment terms, in excess of 180 days are fully provided for unless there is evidence that the balance is collectible. Notwithstanding our policy for receivables past due, any receivables that we determine are impaired result in specific reserves against such exposures. Asset Management fees are fully provided for when such receivables are outstanding 12 months after the invoice date. In addition, the Company specifically reserves against exposures relating to Asset Management fees where we determine receivables are impaired prior to being outstanding for 12 months.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2020 and 2019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Adjustment for adoption of new accounting guidance</w:t>
            </w:r>
          </w:p>
        </w:tc>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Bad debt expense, net of reversals</w:t>
            </w:r>
          </w:p>
        </w:tc>
        <w:tc>
          <w:tcPr>
            <w:tcW w:w="2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(527)</w:t>
            </w:r>
          </w:p>
        </w:tc>
        <w:tc>
          <w:tcPr>
            <w:tcW w:w="7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Charge-offs, foreign currency translation and other</w:t>
            </w:r>
          </w:p>
        </w:tc>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2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(2,891)</w:t>
            </w:r>
          </w:p>
        </w:tc>
        <w:tc>
          <w:tcPr>
            <w:tcW w:w="7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20" w:type="dxa"/>
            <w:vAlign w:val="bottom"/>
            <w:vMerge w:val="restart"/>
          </w:tcPr>
          <w:p>
            <w:pPr>
              <w:jc w:val="right"/>
              <w:ind w:right="1090"/>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allowance for doubtful accounts balances are substantially all related to M&amp;A and Restructuring fee receivables which include recoverable expense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Bad debt expense, net of reversals represents the current period provision of expected credit losses and is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Of the Company’s fee receivables at March 31, 2020 and December 31, 2019, $77,852 and $77,052, respectively, represented interest-bearing financing receivables for our Private Capital Advisory fees. Based upon our historical loss experience, the credit quality of the counterparties, and the lack of uncollectible amounts, there was no allowance for doubtful accounts required at those dates related to such receivables.</w:t>
      </w:r>
    </w:p>
    <w:p>
      <w:pPr>
        <w:spacing w:after="0" w:line="149"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$510,801 and $586,086 at March 31, 2020 and December 31, 2019, respectively, approximates fair value.</w:t>
      </w:r>
    </w:p>
    <w:p>
      <w:pPr>
        <w:spacing w:after="0" w:line="35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March 31, 2020 and December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CFF0FC"/>
            </w:tcBorders>
          </w:tcPr>
          <w:p>
            <w:pPr>
              <w:spacing w:after="0"/>
              <w:rPr>
                <w:sz w:val="14"/>
                <w:szCs w:val="14"/>
                <w:color w:val="auto"/>
              </w:rPr>
            </w:pPr>
          </w:p>
        </w:tc>
        <w:tc>
          <w:tcPr>
            <w:tcW w:w="5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139,997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254,051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5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463,038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505,303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(included in “other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5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$9,330, $106,267 and $205,858, respectively, at March 31, 2020 and $9,881, $78,360 and $170,897, respectively, at December 31, 2019,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188"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During the three month periods ended March 31, 2020 and 2019,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5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tabs>
          <w:tab w:leader="none" w:pos="7720" w:val="left"/>
          <w:tab w:leader="none" w:pos="8700" w:val="left"/>
          <w:tab w:leader="none" w:pos="9540" w:val="left"/>
          <w:tab w:leader="none" w:pos="10600" w:val="left"/>
        </w:tabs>
        <w:rPr>
          <w:sz w:val="20"/>
          <w:szCs w:val="20"/>
          <w:color w:val="auto"/>
        </w:rPr>
      </w:pPr>
      <w:r>
        <w:rPr>
          <w:rFonts w:ascii="Arial" w:cs="Arial" w:eastAsia="Arial" w:hAnsi="Arial"/>
          <w:sz w:val="18"/>
          <w:szCs w:val="18"/>
          <w:color w:val="auto"/>
        </w:rPr>
        <w:t>Net unrealized investment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(44,432)</w:t>
        <w:tab/>
        <w:t>$</w:t>
      </w:r>
      <w:r>
        <w:rPr>
          <w:sz w:val="20"/>
          <w:szCs w:val="20"/>
          <w:color w:val="auto"/>
        </w:rPr>
        <w:tab/>
      </w:r>
      <w:r>
        <w:rPr>
          <w:rFonts w:ascii="Arial" w:cs="Arial" w:eastAsia="Arial" w:hAnsi="Arial"/>
          <w:sz w:val="15"/>
          <w:szCs w:val="15"/>
          <w:color w:val="auto"/>
        </w:rPr>
        <w:t>19,923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30480</wp:posOffset>
            </wp:positionV>
            <wp:extent cx="215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240" w:hanging="579"/>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hanging="579"/>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6" w:lineRule="exact"/>
        <w:rPr>
          <w:sz w:val="20"/>
          <w:szCs w:val="20"/>
          <w:color w:val="auto"/>
        </w:rPr>
      </w:pPr>
    </w:p>
    <w:p>
      <w:pPr>
        <w:ind w:left="580" w:hanging="579"/>
        <w:spacing w:after="0" w:line="25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March 31, 2020.</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following tables present, as of March 31, 2020 and December 31, 2019, the classification of (i) investments and certain other assets and liabilities measured at fair value on a recurring basis within the fair value hierarchy and (ii) investments measured at NAV or its equivalent as a practical expedient: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March 31, 2020</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260"/>
              <w:spacing w:after="0"/>
              <w:rPr>
                <w:sz w:val="20"/>
                <w:szCs w:val="20"/>
                <w:color w:val="auto"/>
              </w:rPr>
            </w:pPr>
            <w:r>
              <w:rPr>
                <w:rFonts w:ascii="Arial" w:cs="Arial" w:eastAsia="Arial" w:hAnsi="Arial"/>
                <w:sz w:val="18"/>
                <w:szCs w:val="18"/>
                <w:color w:val="auto"/>
              </w:rPr>
              <w:t>Funds: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Debt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139,997</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254,051</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39,158</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26,621</w:t>
            </w:r>
          </w:p>
        </w:tc>
        <w:tc>
          <w:tcPr>
            <w:tcW w:w="100" w:type="dxa"/>
            <w:vAlign w:val="bottom"/>
            <w:shd w:val="clear" w:color="auto" w:fill="CFF0FC"/>
          </w:tcPr>
          <w:p>
            <w:pPr>
              <w:spacing w:after="0"/>
              <w:rPr>
                <w:sz w:val="19"/>
                <w:szCs w:val="19"/>
                <w:color w:val="auto"/>
              </w:rPr>
            </w:pPr>
          </w:p>
        </w:tc>
      </w:tr>
      <w:tr>
        <w:trPr>
          <w:trHeight w:val="263"/>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449,599</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52,932</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531,924</w:t>
            </w:r>
          </w:p>
        </w:tc>
        <w:tc>
          <w:tcPr>
            <w:tcW w:w="100" w:type="dxa"/>
            <w:vAlign w:val="bottom"/>
            <w:tcBorders>
              <w:bottom w:val="single" w:sz="8" w:color="CFF0FC"/>
            </w:tcBorders>
          </w:tcPr>
          <w:p>
            <w:pPr>
              <w:spacing w:after="0"/>
              <w:rPr>
                <w:sz w:val="22"/>
                <w:szCs w:val="22"/>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274,884</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Level 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500"/>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218,393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494,619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Three Months Ended March 31, 2020</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148"/>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Sales/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87"/>
              </w:rPr>
              <w:t>Beginning</w:t>
            </w:r>
          </w:p>
        </w:tc>
        <w:tc>
          <w:tcPr>
            <w:tcW w:w="220" w:type="dxa"/>
            <w:vAlign w:val="bottom"/>
          </w:tcPr>
          <w:p>
            <w:pPr>
              <w:spacing w:after="0"/>
              <w:rPr>
                <w:sz w:val="12"/>
                <w:szCs w:val="12"/>
                <w:color w:val="auto"/>
              </w:rPr>
            </w:pPr>
          </w:p>
        </w:tc>
        <w:tc>
          <w:tcPr>
            <w:tcW w:w="11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2"/>
                <w:szCs w:val="12"/>
                <w:color w:val="auto"/>
              </w:rPr>
            </w:pPr>
          </w:p>
        </w:tc>
        <w:tc>
          <w:tcPr>
            <w:tcW w:w="7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5"/>
              </w:rPr>
              <w:t>Purchases/</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3"/>
              </w:rPr>
              <w:t>Earnings (a)</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Settlements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2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60"/>
              <w:spacing w:after="0"/>
              <w:rPr>
                <w:sz w:val="20"/>
                <w:szCs w:val="20"/>
                <w:color w:val="auto"/>
              </w:rPr>
            </w:pPr>
            <w:r>
              <w:rPr>
                <w:rFonts w:ascii="Arial" w:cs="Arial" w:eastAsia="Arial" w:hAnsi="Arial"/>
                <w:sz w:val="18"/>
                <w:szCs w:val="18"/>
                <w:color w:val="auto"/>
              </w:rPr>
              <w:t>Private equity funds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Level 3 Assets</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7"/>
              </w:rPr>
              <w:t>Three Months Ended March 31, 2019</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4"/>
              </w:rPr>
              <w:t>Realized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w w:val="88"/>
              </w:rPr>
              <w:t>Sales/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4"/>
              </w:rPr>
              <w:t>Included In</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Dispositions/</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3"/>
              </w:rPr>
              <w:t>Earnings (a)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left="1"/>
              <w:spacing w:after="0"/>
              <w:rPr>
                <w:sz w:val="20"/>
                <w:szCs w:val="20"/>
                <w:color w:val="auto"/>
              </w:rPr>
            </w:pPr>
            <w:r>
              <w:rPr>
                <w:rFonts w:ascii="Arial" w:cs="Arial" w:eastAsia="Arial" w:hAnsi="Arial"/>
                <w:sz w:val="14"/>
                <w:szCs w:val="14"/>
                <w:b w:val="1"/>
                <w:bCs w:val="1"/>
                <w:color w:val="auto"/>
                <w:w w:val="90"/>
              </w:rPr>
              <w:t>Settlements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gridSpan w:val="2"/>
            <w:shd w:val="clear" w:color="auto" w:fill="CFF0FC"/>
          </w:tcPr>
          <w:p>
            <w:pPr>
              <w:jc w:val="right"/>
              <w:ind w:right="6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60"/>
              <w:spacing w:after="0"/>
              <w:rPr>
                <w:sz w:val="20"/>
                <w:szCs w:val="20"/>
                <w:color w:val="auto"/>
              </w:rPr>
            </w:pPr>
            <w:r>
              <w:rPr>
                <w:rFonts w:ascii="Arial" w:cs="Arial" w:eastAsia="Arial" w:hAnsi="Arial"/>
                <w:sz w:val="18"/>
                <w:szCs w:val="18"/>
                <w:color w:val="auto"/>
              </w:rPr>
              <w:t>Total Level 3 Assets</w:t>
            </w:r>
          </w:p>
        </w:tc>
        <w:tc>
          <w:tcPr>
            <w:tcW w:w="10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vMerge w:val="continue"/>
          </w:tcPr>
          <w:p>
            <w:pPr>
              <w:spacing w:after="0"/>
              <w:rPr>
                <w:sz w:val="22"/>
                <w:szCs w:val="22"/>
                <w:color w:val="auto"/>
              </w:rPr>
            </w:pPr>
          </w:p>
        </w:tc>
        <w:tc>
          <w:tcPr>
            <w:tcW w:w="800" w:type="dxa"/>
            <w:vAlign w:val="bottom"/>
          </w:tcPr>
          <w:p>
            <w:pPr>
              <w:jc w:val="right"/>
              <w:ind w:right="621"/>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 liability</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gridSpan w:val="2"/>
            <w:shd w:val="clear" w:color="auto" w:fill="CFF0FC"/>
          </w:tcPr>
          <w:p>
            <w:pPr>
              <w:jc w:val="right"/>
              <w:ind w:right="6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60"/>
              <w:spacing w:after="0"/>
              <w:rPr>
                <w:sz w:val="20"/>
                <w:szCs w:val="20"/>
                <w:color w:val="auto"/>
              </w:rPr>
            </w:pPr>
            <w:r>
              <w:rPr>
                <w:rFonts w:ascii="Arial" w:cs="Arial" w:eastAsia="Arial" w:hAnsi="Arial"/>
                <w:sz w:val="18"/>
                <w:szCs w:val="18"/>
                <w:color w:val="auto"/>
              </w:rPr>
              <w:t>Total Level 3 Liabilities</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jc w:val="both"/>
        <w:ind w:left="380" w:right="200" w:hanging="372"/>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periods ended March 31, 2020 and 2019 include net unrealized losses of $123 and $2, respectively. Earnings recorded in “amortization and other acquisition-related costs” for the contingent consideration liability for the three month period ended March 31, 2019 include unrealized losses of $3,039.</w:t>
      </w:r>
    </w:p>
    <w:p>
      <w:pPr>
        <w:spacing w:after="0" w:line="19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2020 and 2019.</w:t>
      </w:r>
    </w:p>
    <w:p>
      <w:pPr>
        <w:spacing w:after="0" w:line="1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following tables present, at March 31, 2020 and December 31, 2019,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00" w:type="dxa"/>
            <w:vAlign w:val="bottom"/>
            <w:gridSpan w:val="3"/>
          </w:tcPr>
          <w:p>
            <w:pPr>
              <w:jc w:val="right"/>
              <w:ind w:right="602"/>
              <w:spacing w:after="0" w:line="133" w:lineRule="exact"/>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Redeemable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Thereafter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Notice Period</w:t>
            </w:r>
          </w:p>
        </w:tc>
        <w:tc>
          <w:tcPr>
            <w:tcW w:w="0" w:type="dxa"/>
            <w:vAlign w:val="bottom"/>
          </w:tcPr>
          <w:p>
            <w:pPr>
              <w:spacing w:after="0"/>
              <w:rPr>
                <w:sz w:val="1"/>
                <w:szCs w:val="1"/>
                <w:color w:val="auto"/>
              </w:rPr>
            </w:pPr>
          </w:p>
        </w:tc>
      </w:tr>
      <w:tr>
        <w:trPr>
          <w:trHeight w:val="210"/>
        </w:trPr>
        <w:tc>
          <w:tcPr>
            <w:tcW w:w="2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6"/>
              </w:rPr>
              <w:t>Alternative investment funds:</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14,518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0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6"/>
                <w:szCs w:val="16"/>
                <w:color w:val="auto"/>
              </w:rPr>
              <w:t>Debt funds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00" w:type="dxa"/>
            <w:vAlign w:val="bottom"/>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funds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6"/>
                <w:szCs w:val="16"/>
                <w:color w:val="auto"/>
              </w:rPr>
              <w:t>Private equity funds: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Equity growth</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6,056</w:t>
            </w:r>
          </w:p>
        </w:tc>
        <w:tc>
          <w:tcPr>
            <w:tcW w:w="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w:t>
            </w: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3"/>
              </w:rPr>
              <w:t>17%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760"/>
              <w:spacing w:after="0"/>
              <w:rPr>
                <w:sz w:val="20"/>
                <w:szCs w:val="20"/>
                <w:color w:val="auto"/>
              </w:rPr>
            </w:pPr>
            <w:r>
              <w:rPr>
                <w:rFonts w:ascii="Arial" w:cs="Arial" w:eastAsia="Arial" w:hAnsi="Arial"/>
                <w:sz w:val="16"/>
                <w:szCs w:val="16"/>
                <w:color w:val="auto"/>
                <w:w w:val="93"/>
              </w:rPr>
              <w:t>58%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0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52,932</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6,056</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(99%) and quarterly (1%)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(31%) and annually (69%)</w:t>
      </w:r>
    </w:p>
    <w:p>
      <w:pPr>
        <w:spacing w:after="0" w:line="9" w:lineRule="exact"/>
        <w:rPr>
          <w:rFonts w:ascii="Arial" w:cs="Arial" w:eastAsia="Arial" w:hAnsi="Arial"/>
          <w:sz w:val="18"/>
          <w:szCs w:val="18"/>
          <w:color w:val="auto"/>
        </w:rPr>
      </w:pPr>
    </w:p>
    <w:p>
      <w:pPr>
        <w:ind w:left="380" w:right="40" w:hanging="372"/>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40" w:type="dxa"/>
            <w:vAlign w:val="bottom"/>
            <w:gridSpan w:val="6"/>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40" w:type="dxa"/>
            <w:vAlign w:val="bottom"/>
            <w:gridSpan w:val="3"/>
          </w:tcPr>
          <w:p>
            <w:pPr>
              <w:jc w:val="right"/>
              <w:ind w:right="622"/>
              <w:spacing w:after="0" w:line="133" w:lineRule="exact"/>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Investments Not Redeemable</w:t>
            </w:r>
          </w:p>
        </w:tc>
        <w:tc>
          <w:tcPr>
            <w:tcW w:w="214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Redemption</w:t>
            </w:r>
          </w:p>
        </w:tc>
        <w:tc>
          <w:tcPr>
            <w:tcW w:w="10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88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Redeemable</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Frequency</w:t>
            </w: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Notice Period</w:t>
            </w:r>
          </w:p>
        </w:tc>
        <w:tc>
          <w:tcPr>
            <w:tcW w:w="0" w:type="dxa"/>
            <w:vAlign w:val="bottom"/>
          </w:tcPr>
          <w:p>
            <w:pPr>
              <w:spacing w:after="0"/>
              <w:rPr>
                <w:sz w:val="1"/>
                <w:szCs w:val="1"/>
                <w:color w:val="auto"/>
              </w:rPr>
            </w:pPr>
          </w:p>
        </w:tc>
      </w:tr>
      <w:tr>
        <w:trPr>
          <w:trHeight w:val="209"/>
        </w:trPr>
        <w:tc>
          <w:tcPr>
            <w:tcW w:w="2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6"/>
                <w:szCs w:val="16"/>
                <w:color w:val="auto"/>
              </w:rPr>
              <w:t>Debt funds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20" w:type="dxa"/>
            <w:vAlign w:val="bottom"/>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funds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3"/>
        </w:trPr>
        <w:tc>
          <w:tcPr>
            <w:tcW w:w="2080" w:type="dxa"/>
            <w:vAlign w:val="bottom"/>
            <w:gridSpan w:val="2"/>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32,991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6,056</w:t>
            </w:r>
          </w:p>
        </w:tc>
        <w:tc>
          <w:tcPr>
            <w:tcW w:w="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12%</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66%</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6,056</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8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(52%) and quarterly (48%)</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(34%) and annually (66%)</w:t>
      </w:r>
    </w:p>
    <w:p>
      <w:pPr>
        <w:spacing w:after="0" w:line="9" w:lineRule="exact"/>
        <w:rPr>
          <w:rFonts w:ascii="Arial" w:cs="Arial" w:eastAsia="Arial" w:hAnsi="Arial"/>
          <w:sz w:val="18"/>
          <w:szCs w:val="18"/>
          <w:color w:val="auto"/>
        </w:rPr>
      </w:pPr>
    </w:p>
    <w:p>
      <w:pPr>
        <w:ind w:left="380" w:right="40" w:hanging="372"/>
        <w:spacing w:after="0" w:line="26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2020,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$5,484.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95"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880" w:type="dxa"/>
            <w:vAlign w:val="bottom"/>
            <w:tcBorders>
              <w:bottom w:val="single" w:sz="8" w:color="CFF0FC"/>
            </w:tcBorders>
          </w:tcPr>
          <w:p>
            <w:pPr>
              <w:spacing w:after="0"/>
              <w:rPr>
                <w:sz w:val="14"/>
                <w:szCs w:val="14"/>
                <w:color w:val="auto"/>
              </w:rPr>
            </w:pPr>
          </w:p>
        </w:tc>
        <w:tc>
          <w:tcPr>
            <w:tcW w:w="5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7,859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880" w:type="dxa"/>
            <w:vAlign w:val="bottom"/>
            <w:tcBorders>
              <w:bottom w:val="single" w:sz="8" w:color="CFF0FC"/>
            </w:tcBorders>
          </w:tcPr>
          <w:p>
            <w:pPr>
              <w:spacing w:after="0"/>
              <w:rPr>
                <w:sz w:val="22"/>
                <w:szCs w:val="22"/>
                <w:color w:val="auto"/>
              </w:rPr>
            </w:pPr>
          </w:p>
        </w:tc>
        <w:tc>
          <w:tcPr>
            <w:tcW w:w="58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3,281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271,603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Borders>
              <w:bottom w:val="single" w:sz="8" w:color="CFF0FC"/>
            </w:tcBorders>
          </w:tcPr>
          <w:p>
            <w:pPr>
              <w:spacing w:after="0"/>
              <w:rPr>
                <w:sz w:val="19"/>
                <w:szCs w:val="19"/>
                <w:color w:val="auto"/>
              </w:rPr>
            </w:pPr>
          </w:p>
        </w:tc>
      </w:tr>
      <w:tr>
        <w:trPr>
          <w:trHeight w:val="223"/>
        </w:trPr>
        <w:tc>
          <w:tcPr>
            <w:tcW w:w="1880" w:type="dxa"/>
            <w:vAlign w:val="bottom"/>
            <w:tcBorders>
              <w:bottom w:val="single" w:sz="8" w:color="CFF0FC"/>
            </w:tcBorders>
            <w:shd w:val="clear" w:color="auto" w:fill="CFF0FC"/>
          </w:tcPr>
          <w:p>
            <w:pPr>
              <w:spacing w:after="0"/>
              <w:rPr>
                <w:sz w:val="19"/>
                <w:szCs w:val="19"/>
                <w:color w:val="auto"/>
              </w:rPr>
            </w:pPr>
          </w:p>
        </w:tc>
        <w:tc>
          <w:tcPr>
            <w:tcW w:w="5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188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00" w:hanging="372"/>
        <w:spacing w:after="0" w:line="31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$19,148 and $386 as of March 31, 2020, respectively, and $152 and $8,679 as of December 31, 2019, respectively, for contracts with the same counterparty under legally enforceable master netting agreements. Such amounts are recorded “net” in “other assets” and “other liabilities” as of March 31, 2020 and December 31, 2019, respectively.</w:t>
      </w:r>
    </w:p>
    <w:p>
      <w:pPr>
        <w:spacing w:after="0" w:line="162"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2020 and 2019,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19,637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(13,870)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18,845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(7,657)</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40,254</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2020 and December 31, 2019, property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02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142,298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196,370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197,358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215,254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587,387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370,248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367,545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220,318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219,842</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vMerge w:val="restart"/>
          </w:tcPr>
          <w:p>
            <w:pPr>
              <w:jc w:val="right"/>
              <w:ind w:right="63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2020 and December 31, 2019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371,773</w:t>
            </w:r>
          </w:p>
        </w:tc>
        <w:tc>
          <w:tcPr>
            <w:tcW w:w="100" w:type="dxa"/>
            <w:vAlign w:val="bottom"/>
            <w:shd w:val="clear" w:color="auto" w:fill="CFF0FC"/>
          </w:tcPr>
          <w:p>
            <w:pPr>
              <w:spacing w:after="0"/>
              <w:rPr>
                <w:sz w:val="19"/>
                <w:szCs w:val="19"/>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15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FF0FC"/>
            </w:tcBorders>
          </w:tcPr>
          <w:p>
            <w:pPr>
              <w:spacing w:after="0"/>
              <w:rPr>
                <w:sz w:val="20"/>
                <w:szCs w:val="20"/>
                <w:color w:val="auto"/>
              </w:rPr>
            </w:pPr>
          </w:p>
        </w:tc>
      </w:tr>
      <w:tr>
        <w:trPr>
          <w:trHeight w:val="223"/>
        </w:trPr>
        <w:tc>
          <w:tcPr>
            <w:tcW w:w="46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357,245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At March 31, 2020 and December 31, 2019, goodwill of $291,179 and $307,232,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2020 and 2019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(16,053)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2020 and 2019 are attributable to the Company’s Financial Advisory segment.</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2020 and December 31, 2019,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80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non-compete agreements</w:t>
            </w:r>
          </w:p>
        </w:tc>
        <w:tc>
          <w:tcPr>
            <w:tcW w:w="7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34,915</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34,788</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34,465</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70,051</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68,526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70,126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in the condensed consolidated statements of operations, for the three month periods ended March 31, 2020 and 2019 was $446 and $431, respectively. Estimated future amortization expense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Year Ending December 31,</w:t>
            </w: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60" w:type="dxa"/>
            <w:vAlign w:val="bottom"/>
            <w:gridSpan w:val="3"/>
            <w:vMerge w:val="continue"/>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Expense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Borders>
              <w:bottom w:val="single" w:sz="8" w:color="CFF0FC"/>
            </w:tcBorders>
            <w:shd w:val="clear" w:color="auto" w:fill="000000"/>
          </w:tcPr>
          <w:p>
            <w:pPr>
              <w:spacing w:after="0" w:line="20" w:lineRule="exact"/>
              <w:rPr>
                <w:sz w:val="1"/>
                <w:szCs w:val="1"/>
                <w:color w:val="auto"/>
              </w:rPr>
            </w:pPr>
          </w:p>
        </w:tc>
        <w:tc>
          <w:tcPr>
            <w:tcW w:w="1880" w:type="dxa"/>
            <w:vAlign w:val="bottom"/>
            <w:tcBorders>
              <w:bottom w:val="single" w:sz="8" w:color="CFF0FC"/>
            </w:tcBorders>
          </w:tcPr>
          <w:p>
            <w:pPr>
              <w:spacing w:after="0" w:line="20" w:lineRule="exact"/>
              <w:rPr>
                <w:sz w:val="1"/>
                <w:szCs w:val="1"/>
                <w:color w:val="auto"/>
              </w:rPr>
            </w:pPr>
          </w:p>
        </w:tc>
        <w:tc>
          <w:tcPr>
            <w:tcW w:w="38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(April 1 through December 31)</w:t>
            </w:r>
          </w:p>
        </w:tc>
        <w:tc>
          <w:tcPr>
            <w:tcW w:w="38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8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1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8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1140"/>
              <w:spacing w:after="0"/>
              <w:rPr>
                <w:sz w:val="20"/>
                <w:szCs w:val="20"/>
                <w:color w:val="auto"/>
              </w:rPr>
            </w:pPr>
            <w:r>
              <w:rPr>
                <w:rFonts w:ascii="Arial" w:cs="Arial" w:eastAsia="Arial" w:hAnsi="Arial"/>
                <w:sz w:val="18"/>
                <w:szCs w:val="18"/>
                <w:color w:val="auto"/>
              </w:rPr>
              <w:t>Total amortization expense</w:t>
            </w:r>
          </w:p>
        </w:tc>
        <w:tc>
          <w:tcPr>
            <w:tcW w:w="38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60" w:type="dxa"/>
            <w:vAlign w:val="bottom"/>
            <w:vMerge w:val="restart"/>
          </w:tcPr>
          <w:p>
            <w:pPr>
              <w:jc w:val="right"/>
              <w:ind w:right="27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2020 and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2020</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460" w:type="dxa"/>
            <w:vAlign w:val="bottom"/>
            <w:tcBorders>
              <w:top w:val="single" w:sz="8" w:color="CFF0FC"/>
            </w:tcBorders>
            <w:shd w:val="clear" w:color="auto" w:fill="CFF0FC"/>
          </w:tcPr>
          <w:p>
            <w:pPr>
              <w:jc w:val="right"/>
              <w:ind w:right="1350"/>
              <w:spacing w:after="0"/>
              <w:rPr>
                <w:sz w:val="20"/>
                <w:szCs w:val="20"/>
                <w:color w:val="auto"/>
              </w:rPr>
            </w:pPr>
            <w:r>
              <w:rPr>
                <w:rFonts w:ascii="Arial" w:cs="Arial" w:eastAsia="Arial" w:hAnsi="Arial"/>
                <w:sz w:val="18"/>
                <w:szCs w:val="18"/>
                <w:color w:val="auto"/>
                <w:w w:val="90"/>
              </w:rPr>
              <w:t>Lazard Group</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2025 Senior</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397,702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397,584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1350"/>
              <w:spacing w:after="0"/>
              <w:rPr>
                <w:sz w:val="20"/>
                <w:szCs w:val="20"/>
                <w:color w:val="auto"/>
              </w:rPr>
            </w:pPr>
            <w:r>
              <w:rPr>
                <w:rFonts w:ascii="Arial" w:cs="Arial" w:eastAsia="Arial" w:hAnsi="Arial"/>
                <w:sz w:val="18"/>
                <w:szCs w:val="18"/>
                <w:color w:val="auto"/>
                <w:w w:val="90"/>
              </w:rPr>
              <w:t>Lazard Group</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350"/>
              <w:spacing w:after="0"/>
              <w:rPr>
                <w:sz w:val="20"/>
                <w:szCs w:val="20"/>
                <w:color w:val="auto"/>
              </w:rPr>
            </w:pPr>
            <w:r>
              <w:rPr>
                <w:rFonts w:ascii="Arial" w:cs="Arial" w:eastAsia="Arial" w:hAnsi="Arial"/>
                <w:sz w:val="18"/>
                <w:szCs w:val="18"/>
                <w:color w:val="auto"/>
              </w:rPr>
              <w:t>2027 Senior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297,277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90"/>
              </w:rPr>
              <w:t>Lazard Group</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2028 Senior</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9/19/28</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492,410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492,186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1350"/>
              <w:spacing w:after="0"/>
              <w:rPr>
                <w:sz w:val="20"/>
                <w:szCs w:val="20"/>
                <w:color w:val="auto"/>
              </w:rPr>
            </w:pPr>
            <w:r>
              <w:rPr>
                <w:rFonts w:ascii="Arial" w:cs="Arial" w:eastAsia="Arial" w:hAnsi="Arial"/>
                <w:sz w:val="18"/>
                <w:szCs w:val="18"/>
                <w:color w:val="auto"/>
                <w:w w:val="90"/>
              </w:rPr>
              <w:t>Lazard Group</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1350"/>
              <w:spacing w:after="0"/>
              <w:rPr>
                <w:sz w:val="20"/>
                <w:szCs w:val="20"/>
                <w:color w:val="auto"/>
              </w:rPr>
            </w:pPr>
            <w:r>
              <w:rPr>
                <w:rFonts w:ascii="Arial" w:cs="Arial" w:eastAsia="Arial" w:hAnsi="Arial"/>
                <w:sz w:val="18"/>
                <w:szCs w:val="18"/>
                <w:color w:val="auto"/>
              </w:rPr>
              <w:t>2029 Senior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Notes (a)</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3/11/29</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492,815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jc w:val="right"/>
              <w:ind w:right="175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   19,796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6"/>
              </w:rPr>
              <w:t>$ 1,680,204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   20,438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$ 1,679,562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right="300" w:hanging="372"/>
        <w:spacing w:after="0" w:line="25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160" w:lineRule="exact"/>
        <w:rPr>
          <w:rFonts w:ascii="Arial" w:cs="Arial" w:eastAsia="Arial" w:hAnsi="Arial"/>
          <w:sz w:val="18"/>
          <w:szCs w:val="18"/>
          <w:color w:val="auto"/>
        </w:rPr>
      </w:pPr>
    </w:p>
    <w:p>
      <w:pPr>
        <w:ind w:left="380" w:right="60" w:hanging="372"/>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1191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2020 and December 31, 2019, no amounts were outstanding under the Amended and Restated Credit Agreement.</w:t>
      </w:r>
    </w:p>
    <w:p>
      <w:pPr>
        <w:spacing w:after="0" w:line="19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2020, the Company was in compliance with such provisions. All of the Company’s senior debt obligations are unsecured.</w:t>
      </w:r>
    </w:p>
    <w:p>
      <w:pPr>
        <w:spacing w:after="0" w:line="149"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As of March 31, 2020, the Company had approximately $168,000 in unused lines of credit available to it, including the credit facility provided under the Amended and Restated Credit Agreement and unused lines of credit available to LFB of approximately $16,000.</w:t>
      </w:r>
    </w:p>
    <w:p>
      <w:pPr>
        <w:spacing w:after="0" w:line="14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Company’s senior debt at March 31, 2020 and December 31, 2019 is carried at historical amounts of $1,680,204 and $1,679,562, respectively. At those dates, the fair value of such senior debt was approximately $1,701,000 and $1,839,000, respectively. The fair value of the Company’s senior debt is based on market quotations. The Company’s senior debt would be categorized within Level 2 of the hierarchy of fair value measurements if carried at fair value.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333"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LFB and LFNY may enter into underwriting commitments in which it will participate as an underwriter. At March 31, 2020, LFB and LFNY had no such underwriting commitments.</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3"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2020 and since 2018,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Lazard Ltd Class A common stock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08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Repurchase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2018</w:t>
            </w:r>
          </w:p>
        </w:tc>
        <w:tc>
          <w:tcPr>
            <w:tcW w:w="3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gridSpan w:val="2"/>
            <w:vMerge w:val="continue"/>
            <w:shd w:val="clear" w:color="auto" w:fill="CFF0FC"/>
          </w:tcPr>
          <w:p>
            <w:pPr>
              <w:spacing w:after="0"/>
              <w:rPr>
                <w:sz w:val="20"/>
                <w:szCs w:val="20"/>
                <w:color w:val="auto"/>
              </w:rPr>
            </w:pPr>
          </w:p>
        </w:tc>
        <w:tc>
          <w:tcPr>
            <w:tcW w:w="3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3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2019</w:t>
            </w:r>
          </w:p>
        </w:tc>
        <w:tc>
          <w:tcPr>
            <w:tcW w:w="3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October 2019</w:t>
            </w:r>
          </w:p>
        </w:tc>
        <w:tc>
          <w:tcPr>
            <w:tcW w:w="3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6180" w:type="dxa"/>
            <w:vAlign w:val="bottom"/>
            <w:gridSpan w:val="2"/>
            <w:vMerge w:val="continue"/>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42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5,177,948</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2020</w:t>
            </w:r>
          </w:p>
        </w:tc>
        <w:tc>
          <w:tcPr>
            <w:tcW w:w="4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2,912,035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During the three month periods ended March 31, 2020 and 2019, certain of our executive officers received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common stock from certain of our executive officers equal in value to all or a portion of the estimated amount of such tax. In addition, during the three month period ended March 31, 2020, the Company purchased shares of common stock from certain of our executive officers. The aggregate value of all such purchases during the three month periods ended March 31, 2020 and 2019 was approximately $10,000 and $14,600, respectively. Such shares of common stock are reported at cost.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March 31, 2020, a total of $305,598 of share repurchase authorization remained available under the Company’s share repurchase program, $5,598 of which will expire on December 31, 2020 and $300,000 of which will expire on December 31, 2021.</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During the three month period ended March 31, 2020,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common stock, and had no voting or dividend rights. As of both March 31, 2020 and December 31, 2019, no shares of Series A or Series B preferred stock were outstanding.</w:t>
      </w:r>
    </w:p>
    <w:p>
      <w:pPr>
        <w:spacing w:after="0" w:line="18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and activity during the three month periods then ended: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jc w:val="center"/>
              <w:ind w:left="138"/>
              <w:spacing w:after="0"/>
              <w:rPr>
                <w:sz w:val="20"/>
                <w:szCs w:val="20"/>
                <w:color w:val="auto"/>
              </w:rPr>
            </w:pPr>
            <w:r>
              <w:rPr>
                <w:rFonts w:ascii="Arial" w:cs="Arial" w:eastAsia="Arial" w:hAnsi="Arial"/>
                <w:sz w:val="14"/>
                <w:szCs w:val="14"/>
                <w:b w:val="1"/>
                <w:bCs w:val="1"/>
                <w:color w:val="auto"/>
                <w:w w:val="95"/>
              </w:rPr>
              <w:t>Three Months Ended March 31, 2020</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020" w:type="dxa"/>
            <w:vAlign w:val="bottom"/>
            <w:gridSpan w:val="3"/>
            <w:vMerge w:val="restart"/>
          </w:tcPr>
          <w:p>
            <w:pPr>
              <w:jc w:val="center"/>
              <w:ind w:right="1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AOCI</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(120,586</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(173,064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(293,650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(293,648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Activity:</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(50,746)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(41,658)</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March 31, 2020</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(171,332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(162,081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(333,413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(333,412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138"/>
              <w:spacing w:after="0"/>
              <w:rPr>
                <w:sz w:val="20"/>
                <w:szCs w:val="20"/>
                <w:color w:val="auto"/>
              </w:rPr>
            </w:pPr>
            <w:r>
              <w:rPr>
                <w:rFonts w:ascii="Arial" w:cs="Arial" w:eastAsia="Arial" w:hAnsi="Arial"/>
                <w:sz w:val="14"/>
                <w:szCs w:val="14"/>
                <w:b w:val="1"/>
                <w:bCs w:val="1"/>
                <w:color w:val="auto"/>
                <w:w w:val="95"/>
              </w:rPr>
              <w:t>Three Months Ended March 31, 2019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020" w:type="dxa"/>
            <w:vAlign w:val="bottom"/>
            <w:gridSpan w:val="3"/>
            <w:vMerge w:val="restart"/>
          </w:tcPr>
          <w:p>
            <w:pPr>
              <w:jc w:val="center"/>
              <w:ind w:right="1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AOCI</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(130,137</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(273,818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Activity:</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March 31, 2019</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(126,357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(142,502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(268,859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(268,858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240" w:type="dxa"/>
            <w:vAlign w:val="bottom"/>
            <w:gridSpan w:val="22"/>
          </w:tcPr>
          <w:p>
            <w:pPr>
              <w:ind w:left="520"/>
              <w:spacing w:after="0"/>
              <w:rPr>
                <w:sz w:val="20"/>
                <w:szCs w:val="20"/>
                <w:color w:val="auto"/>
              </w:rPr>
            </w:pPr>
            <w:r>
              <w:rPr>
                <w:rFonts w:ascii="Arial" w:cs="Arial" w:eastAsia="Arial" w:hAnsi="Arial"/>
                <w:sz w:val="18"/>
                <w:szCs w:val="18"/>
                <w:color w:val="auto"/>
                <w:w w:val="94"/>
              </w:rPr>
              <w:t>The table below reflects adjustments for items reclassified out of AOCI, by component, for the three month periods ended March 31, 2020 and</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6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related income taxes</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396"/>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912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39" w:lineRule="exact"/>
        <w:rPr>
          <w:sz w:val="20"/>
          <w:szCs w:val="20"/>
          <w:color w:val="auto"/>
        </w:rPr>
      </w:pPr>
    </w:p>
    <w:p>
      <w:pPr>
        <w:ind w:left="380" w:right="24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8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(ii) profits interest participation rights (see Note 13) and (iii) consolidated VIE interests held by employees (see Note 21).</w:t>
      </w:r>
    </w:p>
    <w:p>
      <w:pPr>
        <w:spacing w:after="0" w:line="184"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The tables below summarize net loss attributable to noncontrolling interests for the three month periods ended March 31, 2020 and 2019 and noncontrolling interests as of March 31, 2020 and December 31, 2019 in the Company’s condensed consolidated financial statements:</w:t>
      </w:r>
    </w:p>
    <w:p>
      <w:pPr>
        <w:spacing w:after="0" w:line="12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Net Income (Loss)</w:t>
      </w:r>
    </w:p>
    <w:p>
      <w:pPr>
        <w:jc w:val="center"/>
        <w:ind w:left="756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560"/>
        <w:spacing w:after="0" w:line="231" w:lineRule="auto"/>
        <w:rPr>
          <w:sz w:val="20"/>
          <w:szCs w:val="20"/>
          <w:color w:val="auto"/>
        </w:rPr>
      </w:pPr>
      <w:r>
        <w:rPr>
          <w:rFonts w:ascii="Arial" w:cs="Arial" w:eastAsia="Arial" w:hAnsi="Arial"/>
          <w:sz w:val="14"/>
          <w:szCs w:val="14"/>
          <w:b w:val="1"/>
          <w:bCs w:val="1"/>
          <w:color w:val="auto"/>
        </w:rPr>
        <w:t>Interests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7"/>
          </w:tcPr>
          <w:p>
            <w:pPr>
              <w:jc w:val="center"/>
              <w:ind w:right="215"/>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2"/>
                <w:szCs w:val="12"/>
                <w:color w:val="auto"/>
              </w:rPr>
            </w:pPr>
          </w:p>
        </w:tc>
      </w:tr>
      <w:tr>
        <w:trPr>
          <w:trHeight w:val="171"/>
        </w:trPr>
        <w:tc>
          <w:tcPr>
            <w:tcW w:w="7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left="918"/>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8"/>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ind w:left="800"/>
              <w:spacing w:after="0"/>
              <w:rPr>
                <w:sz w:val="20"/>
                <w:szCs w:val="20"/>
                <w:color w:val="auto"/>
              </w:rPr>
            </w:pPr>
            <w:r>
              <w:rPr>
                <w:rFonts w:ascii="Arial" w:cs="Arial" w:eastAsia="Arial" w:hAnsi="Arial"/>
                <w:sz w:val="18"/>
                <w:szCs w:val="18"/>
                <w:color w:val="auto"/>
                <w:w w:val="77"/>
              </w:rPr>
              <w:t>(1,403)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Consolidated VIEs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77"/>
              </w:rPr>
              <w:t>(5,691)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0"/>
              </w:rPr>
              <w:t>Noncontrolling Interests as of</w:t>
            </w:r>
          </w:p>
        </w:tc>
      </w:tr>
      <w:tr>
        <w:trPr>
          <w:trHeight w:val="146"/>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75"/>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47,339</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Profits interest participation rights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Consolidated VIEs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73,184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b w:val="1"/>
          <w:bCs w:val="1"/>
          <w:i w:val="1"/>
          <w:iCs w:val="1"/>
          <w:color w:val="auto"/>
        </w:rPr>
        <w:t>Dividends Declared, April 29, 2020</w:t>
      </w:r>
      <w:r>
        <w:rPr>
          <w:rFonts w:ascii="Arial" w:cs="Arial" w:eastAsia="Arial" w:hAnsi="Arial"/>
          <w:sz w:val="18"/>
          <w:szCs w:val="18"/>
          <w:color w:val="auto"/>
        </w:rPr>
        <w:t>—On April 29, 2020, the Board of Directors of Lazard declared a quarterly dividend of $0.47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dividend is payable on May 22, 2020, to stockholders of record on May 11, 2020</w:t>
      </w:r>
      <w:r>
        <w:rPr>
          <w:rFonts w:ascii="Arial" w:cs="Arial" w:eastAsia="Arial" w:hAnsi="Arial"/>
          <w:sz w:val="18"/>
          <w:szCs w:val="18"/>
          <w:b w:val="1"/>
          <w:bCs w:val="1"/>
          <w:i w:val="1"/>
          <w:iCs w:val="1"/>
          <w:color w:val="auto"/>
        </w:rPr>
        <w:t>.</w:t>
      </w:r>
    </w:p>
    <w:p>
      <w:pPr>
        <w:spacing w:after="0" w:line="15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periods ended March 31, 2020 and 2019 is presented below.</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common stock pursuant to the grant or exercise of stock options, stock appreciation rights, restricted stock units (“RSUs”), performance-based restricted stock units (“PRSUs”), profits interest participation rights, including performance-based restricted participation units (“PRPUs”), and other share-based awards.</w:t>
      </w:r>
    </w:p>
    <w:p>
      <w:pPr>
        <w:spacing w:after="0" w:line="187"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2008 Plan authorized the issuance of shares of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2005 Plan authorized the issuance of up to 25,000,000 shares of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84"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profits interest participation rights, including PRPUs, and other share-based awards) and “professional services” expense (with respect to DSUs) within the Company’s accompanying condensed consolidated statements of operations for the three month periods ended March 31,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RSUs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42,917</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16,166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72,161</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RSUs generally require future service as a condition for the delivery of the underlying shares of common stock (unless the recipient is then eligible for retirement under the Company’s retirement policy) and convert into shares of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the applicable vesting period each RSU is attributed additional RSUs equivalent to any dividends paid on common stock during such period. During the three month period ended March 31, 2020, dividend participation rights required the issuance of 180,271 RSUs and the associated charge to “retained earnings”, net of estimated forfeitures (with corresponding credits to “additional paid-in-capital”) was $6,717.</w:t>
      </w:r>
    </w:p>
    <w:p>
      <w:pPr>
        <w:spacing w:after="0" w:line="22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shares of common stock at the time of cessation of service to the Board of Directors. DSUs include a cash dividend participation right equivalent to dividends paid on common stock.</w:t>
      </w:r>
    </w:p>
    <w:p>
      <w:pPr>
        <w:spacing w:after="0" w:line="15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common stock on the date immediately preceding the date of the grant. During the three month period ended March 31, 2020, 4,416 DSUs had been granted pursuant to such Plan.</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DSU awards are expensed at their fair value on their date of grant, inclusive of amounts related to the Directors’ Fee Deferral Unit Plan.</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 ended March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10,387,566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Granted (including 180,271 RSUs relating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2,937,529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(19,680)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Settled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(4,009,221)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9,296,194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400,389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580" w:firstLine="510"/>
        <w:spacing w:after="0" w:line="286" w:lineRule="auto"/>
        <w:rPr>
          <w:sz w:val="20"/>
          <w:szCs w:val="20"/>
          <w:color w:val="auto"/>
        </w:rPr>
      </w:pPr>
      <w:r>
        <w:rPr>
          <w:rFonts w:ascii="Arial" w:cs="Arial" w:eastAsia="Arial" w:hAnsi="Arial"/>
          <w:sz w:val="17"/>
          <w:szCs w:val="17"/>
          <w:color w:val="auto"/>
        </w:rPr>
        <w:t>In connection with RSUs that settled during the three month period ended March 31, 2020, the Company satisfied its minimum statutory tax withholding requirements in lieu of delivering 1,498,306 shares of common stock during such three month period. Accordingly, 2,510,915 shares of common stock held by the Company were delivered during the three month period ended March 31, 2020.</w:t>
      </w:r>
    </w:p>
    <w:p>
      <w:pPr>
        <w:spacing w:after="0" w:line="165"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As of March 31, 2020, estimated unrecognized RSU compensation expense was $197,625, with such expense expected to be recognized over a weighted average period of approximately 1.0 years subsequent to March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is a summary of activity related to shares of restricted common stock associated with compensation arrangements during the three month period ended March 31, 2020:</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670,672</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(7,311)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Settled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(322,053)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In connection with shares of restricted common stock that settled during the three month period ended March 31, 2020, the Company satisfied its minimum statutory tax withholding requirements in lieu of delivering 122,758 shares of common stock during such three month period. Accordingly, 199,295 shares of common stock held by the Company were delivered during the three month period ended March 31, 2020.</w:t>
      </w:r>
    </w:p>
    <w:p>
      <w:pPr>
        <w:spacing w:after="0" w:line="16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Restricted stock awards granted in 2020 generally include a dividend participation right that provides that during the applicable vesting period each restricted stock award is attributed additional shares of restricted common stock equivalent to any dividends paid on common stock during such period. With respect to awards granted prior to 2020, the restricted stock awards include a cash dividend participation right equivalent to dividends paid on common stock during the period, which will vest concurrently with the underlying restricted stock award. At March 31, 2020, estimated unrecognized restricted stock expense was $37,120, with such expense to be recognized over a weighted average period of approximately 0.9 years subsequent to March 31, 2020.</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common stock that a recipient will receive upon vesting of a PRSU will be calculated by reference to certain performance metrics that relate to the Company’s performance over a three-year period. The target number of shares of common stock subject to each PRSU is one; however, based on the achievement of the performance criteria, the number of shares of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common stock that are no longer subject to performance conditions) receive dividend equivalents at the same rate that dividends are paid on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 ended March 31,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PRSUs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30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797,705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Settled</w:t>
            </w: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(550,650)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80" w:type="dxa"/>
            <w:vAlign w:val="bottom"/>
            <w:vMerge w:val="restart"/>
          </w:tcPr>
          <w:p>
            <w:pPr>
              <w:jc w:val="right"/>
              <w:ind w:right="151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In connection with certain PRSUs that settled during the three month period ended March 31, 2020, the Company satisfied its minimum statutory tax withholding requirements in lieu of delivering 91,314 shares of common stock during such three month period. Accordingly, 459,336 shares of common stock held by the Company were delivered during the three month period ended March 31, 2020.</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common stock underlying such awards that, based on the Company’s estimate, are considered probable of vesting, by the grant date fair value. As of March 31, 2020, the total estimated unrecognized compensation expense was $2,318, and the Company expects to amortize such expense over a weighted-average period of approximately 0.5 years subsequent to March 31, 2020.</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early 2019, the Company established a new long-term incentive compensation program consisting of profits interest participation rights, which are equity incentive awards that, subject to certain conditions, may be exchanged for shares of common stock pursuant to the 2018 Plan. Pursuant to the program, in February 2019 and February 2020,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Profits interest participation rights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common stock, at which time there is a reclassification to additional paid-in-capital. The profits interest participation rights generally allow the recipient to realize value only to the extent that both (i) the service-based vesting conditions and, if applicable, the performance conditions, are satisfied, and (ii) an amount of economic appreciation in the assets of Lazard Group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common stock will be exchanged on a one-for-one basis for shares of common stock. If forfeited based solely on failing to meet the Minimum Value Condition, the associated compensation expense would not be reversed. With regard to the profits interest participation rights granted in February 2019, the Minimum Value Condition was met during the three month period ended March 31, 2020.</w:t>
      </w:r>
    </w:p>
    <w:p>
      <w:pPr>
        <w:spacing w:after="0" w:line="18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are subject to continued employment and other conditions and restrictions and are forfeited if those conditions and restrictions are not fulfilled. More specifically, vesting of profits interest participation rights are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are subject to the achievement of incremental pre-established performance conditions and financial metrics and only result in value to the recipient to the extent the conditions are satisfied.</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number of shares of common stock that a recipient will receive upon the exchange of a PRPU award is calculated by reference to applicable financial metrics. The target number of shares of common stock subject to each PRPU is one. Based on the achievement of performance criteria, as determined by the Compensation Committee, the number of shares of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the Company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profits interest participation rights, including PRPUs, during the three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gridSpan w:val="3"/>
          </w:tcPr>
          <w:p>
            <w:pPr>
              <w:ind w:left="11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1,060,373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2020 (a)</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2,523,075</w:t>
            </w:r>
          </w:p>
        </w:tc>
        <w:tc>
          <w:tcPr>
            <w:tcW w:w="4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40" w:hanging="372"/>
        <w:spacing w:after="0" w:line="275"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Table includes 1,050,778 PRPUs, which represents the target number of PRPUs granted as of March 31, 2020, including 486,611 PRPUs granted during the three month period ended March 31, 2020. The weighted average grant date fair values for PRPUs and other profits interest participation rights outstanding as of January 1, 2020 and those granted during the three month period ended March 31, 2020 were, in each case, the same for PRPUs and other profits interest participation rights. The weighted average grant date fair values for PRPUs and other profits interest participation rights outstanding as of March 31, 2020 were $40.61 and $40.30, respectively.</w:t>
      </w:r>
    </w:p>
    <w:p>
      <w:pPr>
        <w:spacing w:after="0" w:line="17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common stock underlying such awards that, based on the Company’s estimate, are considered probable of vesting, by the grant date fair value. As of March 31, 2020, the total estimated unrecognized compensation expense was $46,761, and the Company expects to amortize such expense over a weighted-average period of approximately 0.9 years subsequent to March 31, 2020.</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Prepaid</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Compensation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Liability</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2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(76,799)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(25,283)</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Decrease in fair value of underlying</w:t>
            </w:r>
          </w:p>
        </w:tc>
        <w:tc>
          <w:tcPr>
            <w:tcW w:w="2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2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(19,637)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Adjustment for estimated forfeitures</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Balance, March 31, 2020</w:t>
            </w:r>
          </w:p>
        </w:tc>
        <w:tc>
          <w:tcPr>
            <w:tcW w:w="2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191,603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80" w:type="dxa"/>
            <w:vAlign w:val="bottom"/>
            <w:vMerge w:val="restart"/>
          </w:tcPr>
          <w:p>
            <w:pPr>
              <w:jc w:val="right"/>
              <w:ind w:right="169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years subsequent to March 31, 2020.</w:t>
      </w:r>
    </w:p>
    <w:p>
      <w:pPr>
        <w:spacing w:after="0" w:line="170"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2020 and 2019:</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17,934</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(19,637)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Management also evaluates from time to time whether to make voluntary contributions to the plans.</w:t>
      </w:r>
    </w:p>
    <w:p>
      <w:pPr>
        <w:spacing w:after="0" w:line="18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periods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76"/>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30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30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402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0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(6,628)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30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30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30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30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vMerge w:val="restart"/>
          </w:tcPr>
          <w:p>
            <w:pPr>
              <w:jc w:val="right"/>
              <w:ind w:right="1910"/>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Activity related to the obligations pursuant to business realignment during the three month period ended March 31, 2020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Accrued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and Benefits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(12,031)</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Company recorded income tax provisions of $25,766 and 23,187 for the three month periods ended March 31, 2020 and 2019, respectively, representing effective tax rates of 30.6% and 19.4%, respectively. The difference between the U.S. federal statutory rate of 21.0% and the effective tax rates reflected above principally relates to (i) the tax impact of differences in the value of share based incentive compensation and other discrete items,</w:t>
      </w:r>
    </w:p>
    <w:p>
      <w:pPr>
        <w:spacing w:after="0" w:line="2" w:lineRule="exact"/>
        <w:rPr>
          <w:sz w:val="20"/>
          <w:szCs w:val="20"/>
          <w:color w:val="auto"/>
        </w:rPr>
      </w:pPr>
    </w:p>
    <w:p>
      <w:pPr>
        <w:jc w:val="both"/>
        <w:ind w:firstLine="8"/>
        <w:spacing w:after="0" w:line="302" w:lineRule="auto"/>
        <w:tabs>
          <w:tab w:leader="none" w:pos="2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foreign source income (loss) not subject to U.S. income taxes (including interest on intercompany financings), (iii) taxes payable to foreign jurisdictions that are not offset against U.S. income taxes, (iv) change in the U.S. federal valuation allowance affecting the provision for income taxes, (v) U.S. state and local taxes, which are incremental to the U.S. federal statutory tax rate, and (vi) impact of U.S. tax reform, including base erosion and anti-abuse tax.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COMMON STOCK</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The Company issued certain profits interest participation rights, including certain PRPUs, that the Company is required under U.S. GAAP to treat as participating securities and therefore the Company is required to utilize the “two-class” method of computing basic and diluted net income per share.</w:t>
      </w:r>
    </w:p>
    <w:p>
      <w:pPr>
        <w:spacing w:after="0" w:line="1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Company’s basic and diluted net income per share calculations using the “two-class” method for the three month periods ended March 31, 2020 and 2019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securities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Class A common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stock outstanding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104,462,177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111,617,642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 - adjustment for shares of common stock</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issuable on a non-contingent basis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1,841,785</w:t>
            </w:r>
          </w:p>
        </w:tc>
        <w:tc>
          <w:tcPr>
            <w:tcW w:w="2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Weighted average number of shares of common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stock outstanding - basic</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106,303,962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111,944,255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 - dilutive effect, as applicable, of:</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Weighted average number of incremental shares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common stock issuable from share-based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incentive compensation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7,816,217</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8,875,829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common stock</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114,120,179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120,820,084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per share of common stock:</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$135,955 and $144,170 for the three month periods ended March 31, 2020 and 2019, respectively, and are included in “asset management fees” on the condensed consolidated statements of operations. Of such amounts, $54,526 and $54,561 remained as receivables at March 31, 2020 and December 31, 2019, respectively, and are included in “fees receivable” on the condensed consolidated statements of financial condition.</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600" w:firstLine="510"/>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80" w:firstLine="8"/>
        <w:spacing w:after="0" w:line="253"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subsidiaries to the Trust will generally be distributed to the owners of the Trust, who include certain of our executive officers, in proportion to their beneficial interests in the Trust.</w:t>
      </w:r>
    </w:p>
    <w:p>
      <w:pPr>
        <w:spacing w:after="0" w:line="170"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as of March 31, 2020 and December 31, 2019 was $221,787 and $247,344, respectively, and is recorded in “tax receivable agreement obligation” on the condensed consolidated statements of financial condition. The balance at March 31, 2020 reflects a payment made under the Amended and Restated Tax Receivable Agreement in the three months ended March 31, 2020 of $25,557.</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12 for information regarding related party transactions pertaining to shares repurchased from certain of our executive officers.</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March 31, 2020, LFNY’s regulatory net capital was $106,935, which exceeded the minimum requirement by $104,135. LFNY’s aggregate indebtedness to net capital ratio was 0.39:1 as of March 31, 2020.</w:t>
      </w:r>
    </w:p>
    <w:p>
      <w:pPr>
        <w:spacing w:after="0" w:line="19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2020, the aggregate regulatory net capital of the U.K. Subsidiaries was $180,813, which exceeded the minimum requirement by $161,667.</w:t>
      </w:r>
    </w:p>
    <w:p>
      <w:pPr>
        <w:spacing w:after="0" w:line="184"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2020, the consolidated regulatory net capital of CFLF was $124,770, which exceeded the minimum requirement set for regulatory capital levels by $67,433.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2019, the regulatory net capital of the combined European regulated group was $182,054, which exceeded the minimum requirement set for regulatory capital levels by $75,566. Additionally, the combined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2020, for those subsidiaries with regulatory capital requirements, their aggregate net capital was $145,129, which exceeded the minimum required capital by $119,036.</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2020, each of these subsidiaries individually was in compliance with its regulatory capital requirements.</w:t>
      </w:r>
    </w:p>
    <w:p>
      <w:pPr>
        <w:spacing w:after="0" w:line="22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5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segment information for the three month periods ended March 31, 2020 and 2019 is prepared using the following methodology:</w:t>
      </w:r>
    </w:p>
    <w:p>
      <w:pPr>
        <w:spacing w:after="0" w:line="14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880" w:right="680" w:hanging="373"/>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6"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440" w:firstLine="510"/>
        <w:spacing w:after="0" w:line="275" w:lineRule="auto"/>
        <w:rPr>
          <w:sz w:val="20"/>
          <w:szCs w:val="20"/>
          <w:color w:val="auto"/>
        </w:rPr>
      </w:pPr>
      <w:r>
        <w:rPr>
          <w:rFonts w:ascii="Arial" w:cs="Arial" w:eastAsia="Arial" w:hAnsi="Arial"/>
          <w:sz w:val="17"/>
          <w:szCs w:val="17"/>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r>
      <w:tr>
        <w:trPr>
          <w:trHeight w:val="156"/>
        </w:trPr>
        <w:tc>
          <w:tcPr>
            <w:tcW w:w="3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298,966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338,370</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246,847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280,261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52,119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58,109</w:t>
            </w:r>
          </w:p>
        </w:tc>
        <w:tc>
          <w:tcPr>
            <w:tcW w:w="100" w:type="dxa"/>
            <w:vAlign w:val="bottom"/>
            <w:shd w:val="clear" w:color="auto" w:fill="CFF0FC"/>
          </w:tcPr>
          <w:p>
            <w:pPr>
              <w:spacing w:after="0"/>
              <w:rPr>
                <w:sz w:val="19"/>
                <w:szCs w:val="19"/>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282,521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301,833</w:t>
            </w:r>
          </w:p>
        </w:tc>
        <w:tc>
          <w:tcPr>
            <w:tcW w:w="10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204,769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207,348</w:t>
            </w:r>
          </w:p>
        </w:tc>
        <w:tc>
          <w:tcPr>
            <w:tcW w:w="100" w:type="dxa"/>
            <w:vAlign w:val="bottom"/>
          </w:tcPr>
          <w:p>
            <w:pPr>
              <w:spacing w:after="0"/>
              <w:rPr>
                <w:sz w:val="20"/>
                <w:szCs w:val="20"/>
                <w:color w:val="auto"/>
              </w:rPr>
            </w:pPr>
          </w:p>
        </w:tc>
      </w:tr>
      <w:tr>
        <w:trPr>
          <w:trHeight w:val="223"/>
        </w:trPr>
        <w:tc>
          <w:tcPr>
            <w:tcW w:w="3220" w:type="dxa"/>
            <w:vAlign w:val="bottom"/>
            <w:tcBorders>
              <w:bottom w:val="single" w:sz="8" w:color="CFF0FC"/>
            </w:tcBorders>
          </w:tcPr>
          <w:p>
            <w:pPr>
              <w:spacing w:after="0"/>
              <w:rPr>
                <w:sz w:val="19"/>
                <w:szCs w:val="19"/>
                <w:color w:val="auto"/>
              </w:rPr>
            </w:pPr>
          </w:p>
        </w:tc>
        <w:tc>
          <w:tcPr>
            <w:tcW w:w="450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77,752</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94,485</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(43,473)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2,301</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(45,774)</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00" w:type="dxa"/>
            <w:vAlign w:val="bottom"/>
            <w:shd w:val="clear" w:color="auto" w:fill="CFF0FC"/>
          </w:tcPr>
          <w:p>
            <w:pPr>
              <w:spacing w:after="0"/>
              <w:rPr>
                <w:sz w:val="19"/>
                <w:szCs w:val="19"/>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538,014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643,674</w:t>
            </w:r>
          </w:p>
        </w:tc>
        <w:tc>
          <w:tcPr>
            <w:tcW w:w="10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453,917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524,011</w:t>
            </w:r>
          </w:p>
        </w:tc>
        <w:tc>
          <w:tcPr>
            <w:tcW w:w="10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84,097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119,663</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20" w:type="dxa"/>
            <w:vAlign w:val="bottom"/>
            <w:gridSpan w:val="2"/>
          </w:tcPr>
          <w:p>
            <w:pPr>
              <w:spacing w:after="0"/>
              <w:rPr>
                <w:sz w:val="13"/>
                <w:szCs w:val="13"/>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1,114,032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1,144,339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736,487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3,244,604</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3,673,601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5,095,123</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5,639,581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The Company’s consolidated VIEs as of March 31, 2020 and December 31, 2019 include certain funds that were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March 31, 2020 and December 31, 2019:</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6"/>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4,637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Customers and other receivables</w:t>
            </w:r>
          </w:p>
        </w:tc>
        <w:tc>
          <w:tcPr>
            <w:tcW w:w="3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Investments (a)</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145,055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7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150,656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Deposits and other customer payables</w:t>
            </w:r>
          </w:p>
        </w:tc>
        <w:tc>
          <w:tcPr>
            <w:tcW w:w="3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7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760" w:type="dxa"/>
            <w:vAlign w:val="bottom"/>
            <w:tcBorders>
              <w:top w:val="single" w:sz="8" w:color="CFF0FC"/>
              <w:bottom w:val="single" w:sz="8" w:color="CFF0FC"/>
            </w:tcBorders>
            <w:vMerge w:val="restart"/>
          </w:tcPr>
          <w:p>
            <w:pPr>
              <w:jc w:val="right"/>
              <w:ind w:right="209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50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380" w:right="20" w:hanging="372"/>
        <w:spacing w:after="0" w:line="27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$127,503 and $83,036 of LFI held by Lazard Group which is eliminated in the condensed consolidated statements of financial condition as of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March 11, 2020, the World Health Organization declared the coronavirus (“COVID-19”) a pandemic. In response, on March 27, 2020 the President of the United States signed the Coronavirus Aid, Relief, and Economic Security (CARES) Act into law and the United States Congress continues to discuss additional stimulus measures. Several governments in jurisdictions that encompass the Company’s largest offices and most significant operations have implemented extended strict social distancing measures. In response, the Company has implemented remote work arrangements for virtually all of its employees and restricted business travel. These arrangements have not materially affected our ability to maintain and conduct our business operations, including the operation of financial reporting systems, internal controls over financial reporting, and disclosure controls and procedures. While the COVID-19 pandemic has adversely affected the global economy, the nature and extent of COVID-19’s effect on the Company’s operational and financial performance will depend on future developments, including the course of the pandemic, the success of governments in relaxing social distancing measures and restarting economic activity, the efficacy of monetary and fiscal measures taken or that may be taken in the future, and the potential for structural damage to the economy due to the sharp drop in aggregate demand and, particularly in the U.S., a high level of unemployment, all of which are uncertain and difficult to predict considering the rapidly evolving landscape.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2019 (the “Form 10-K”). All references to “2020,” “2019,” “first quarter” or “the period” refer to, as the context requires, the three month periods ended March 31, 2020 and March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including with respect to the current COVID-19 pandemic,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73"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impact of certain events or circumstances on our financial statements and operations, including the current COVID-19 pandemic;</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this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18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9"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880" w:right="18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matters, and</w:t>
      </w:r>
    </w:p>
    <w:p>
      <w:pPr>
        <w:spacing w:after="0" w:line="75" w:lineRule="exact"/>
        <w:rPr>
          <w:rFonts w:ascii="Arial" w:cs="Arial" w:eastAsia="Arial" w:hAnsi="Arial"/>
          <w:sz w:val="18"/>
          <w:szCs w:val="18"/>
          <w:color w:val="auto"/>
        </w:rPr>
      </w:pPr>
    </w:p>
    <w:p>
      <w:pPr>
        <w:ind w:left="880" w:right="2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60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first quarter of 2020, regional outbreaks of a novel coronavirus (“COVID-19”) became a global pandemic of unprecedented proportion and impact. The actions taken by governments, including social distancing mandates, severely impacted the global economy. As a result of this global crisis, we are experiencing an unprecedented period of volatility. The impact of this global crisis on the economy and our businesses remains uncertain but we expect a challenging environment in the near-term as a result of elevated uncertainty, capital markets volatility, lower asset valuations and a downturn in global M&amp;A activity.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40" w:right="60" w:hanging="368"/>
        <w:spacing w:after="0" w:line="270"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—During this period of financial stress and uncertainty, we are focused on serving clients with our depth of expertise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structure, capital raising, debt negotiations and restructuring and exchange offers. We expect that the volume and timing of new M&amp;A transactions will be severely impacted in the near term. We are seeing increased activity in our restructuring, capital advisory and sovereign advisory practices, however, the increased activity in these areas may not fully offset the anticipated decline in M&amp;A activity in the near term, though we expect to see an increase in distressed M&amp;A activity as the year progresses.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continue to invest in our Financial Advisory business by selectively hiring talented senior professionals and continuing to focus on our M&amp;A, restructuring and other advisory services.</w:t>
      </w:r>
    </w:p>
    <w:p>
      <w:pPr>
        <w:spacing w:after="0" w:line="86" w:lineRule="exact"/>
        <w:rPr>
          <w:rFonts w:ascii="Arial" w:cs="Arial" w:eastAsia="Arial" w:hAnsi="Arial"/>
          <w:sz w:val="17"/>
          <w:szCs w:val="17"/>
          <w:color w:val="auto"/>
        </w:rPr>
      </w:pPr>
    </w:p>
    <w:p>
      <w:pPr>
        <w:ind w:left="740" w:right="14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normally would expect most investor demand to come through financial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from defined benefit and defined contribution plans in developed economies because of their sheer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left="740"/>
        <w:spacing w:after="0" w:line="269" w:lineRule="auto"/>
        <w:rPr>
          <w:sz w:val="20"/>
          <w:szCs w:val="20"/>
          <w:color w:val="auto"/>
        </w:rPr>
      </w:pPr>
      <w:r>
        <w:rPr>
          <w:rFonts w:ascii="Arial" w:cs="Arial" w:eastAsia="Arial" w:hAnsi="Arial"/>
          <w:sz w:val="17"/>
          <w:szCs w:val="17"/>
          <w:color w:val="auto"/>
        </w:rPr>
        <w:t>scope and size. However, the current volatility in the capital markets and the uncertainties arising from the COVID-19 pandemic may negatively impact our business in a manner that we cannot predict. Over the longer term, and depending upon local and global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despite the current challenges that markets have created for that industry. We are continually developing new investment strategies that extend our existing platforms and assessing potential product acquisitions or other inorganic growth opportunities. Among other efforts, we have been particularly focused on continuing to incorporate environmental, social and corporate governance (“ESG”) considerations, as appropriate, into our investment research and launching strategies that use ESG factors to drive long-term investment returns. In addition to these new ESG and sustainable strategies, recent examples of growth initiatives include the following: various Quantitative Equity strategies, explainable AI capabilities, and several U.S. Systematic Equity strategies.</w:t>
      </w:r>
    </w:p>
    <w:p>
      <w:pPr>
        <w:spacing w:after="0" w:line="18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10-Q and our Form 10-K. Furthermore, net income and revenue in any period may not be indicative of full-year results or the results of any other period and may vary significantly from year to year and quarter to quarter.</w:t>
      </w:r>
    </w:p>
    <w:p>
      <w:pPr>
        <w:spacing w:after="0" w:line="176"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market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quarter of 2020 as compared to 2019. With respect to announced M&amp;A transactions, the value and number of all transactions, including the subset of announced transactions involving values greater than $500 million, decreased in the first quarter of 2020 as compared to 2019.</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vMerge w:val="restart"/>
          </w:tcPr>
          <w:p>
            <w:pPr>
              <w:jc w:val="center"/>
              <w:ind w:right="474"/>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Pr>
          <w:p>
            <w:pPr>
              <w:jc w:val="right"/>
              <w:ind w:right="43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653</w:t>
            </w:r>
          </w:p>
        </w:tc>
        <w:tc>
          <w:tcPr>
            <w:tcW w:w="4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939</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7,679</w:t>
            </w:r>
          </w:p>
        </w:tc>
        <w:tc>
          <w:tcPr>
            <w:tcW w:w="46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8,707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4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292</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4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1,072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8"/>
              </w:rPr>
              <w:t>8,021</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8,722</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875</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1912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Source: Dealogic as of April 9,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3" w:name="page44"/>
    <w:bookmarkEnd w:id="43"/>
    <w:p>
      <w:pPr>
        <w:ind w:right="60" w:firstLine="510"/>
        <w:spacing w:after="0" w:line="263" w:lineRule="auto"/>
        <w:rPr>
          <w:sz w:val="20"/>
          <w:szCs w:val="20"/>
          <w:color w:val="auto"/>
        </w:rPr>
      </w:pPr>
      <w:r>
        <w:rPr>
          <w:rFonts w:ascii="Arial" w:cs="Arial" w:eastAsia="Arial" w:hAnsi="Arial"/>
          <w:sz w:val="18"/>
          <w:szCs w:val="18"/>
          <w:color w:val="auto"/>
        </w:rPr>
        <w:t>Global restructuring activity during the first quarter of 2020, as measured by the number of corporate defaults, increased as compared to the first quarter of 2019. The number of defaulting issuers was 28 in the first quarter of 2020 according to Moody’s Investors Service, Inc, as compared to 20 in the first quarter of 2019.</w:t>
      </w:r>
    </w:p>
    <w:p>
      <w:pPr>
        <w:spacing w:after="0" w:line="184"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Equity market indices for major markets at March 31, 2020 generally decreased as compared to such indices at December 31, 2019 and March 31, 2019. The percentage change in major equity market indices at March 31, 2020, as compared to such indices at December 31, 2019 and at March 31, 2019, is shown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Percentage Changes</w:t>
            </w:r>
          </w:p>
        </w:tc>
      </w:tr>
      <w:tr>
        <w:trPr>
          <w:trHeight w:val="171"/>
        </w:trPr>
        <w:tc>
          <w:tcPr>
            <w:tcW w:w="5940" w:type="dxa"/>
            <w:vAlign w:val="bottom"/>
          </w:tcPr>
          <w:p>
            <w:pPr>
              <w:spacing w:after="0"/>
              <w:rPr>
                <w:sz w:val="14"/>
                <w:szCs w:val="14"/>
                <w:color w:val="auto"/>
              </w:rPr>
            </w:pPr>
          </w:p>
        </w:tc>
        <w:tc>
          <w:tcPr>
            <w:tcW w:w="3040" w:type="dxa"/>
            <w:vAlign w:val="bottom"/>
            <w:gridSpan w:val="4"/>
          </w:tcPr>
          <w:p>
            <w:pPr>
              <w:jc w:val="right"/>
              <w:ind w:right="990"/>
              <w:spacing w:after="0"/>
              <w:rPr>
                <w:sz w:val="20"/>
                <w:szCs w:val="20"/>
                <w:color w:val="auto"/>
              </w:rPr>
            </w:pPr>
            <w:r>
              <w:rPr>
                <w:rFonts w:ascii="Arial" w:cs="Arial" w:eastAsia="Arial" w:hAnsi="Arial"/>
                <w:sz w:val="14"/>
                <w:szCs w:val="14"/>
                <w:b w:val="1"/>
                <w:bCs w:val="1"/>
                <w:color w:val="auto"/>
              </w:rPr>
              <w:t>March 31, 2020 vs.</w:t>
            </w:r>
          </w:p>
        </w:tc>
      </w:tr>
      <w:tr>
        <w:trPr>
          <w:trHeight w:val="133"/>
        </w:trPr>
        <w:tc>
          <w:tcPr>
            <w:tcW w:w="594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490"/>
              <w:spacing w:after="0" w:line="13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r>
      <w:tr>
        <w:trPr>
          <w:trHeight w:val="171"/>
        </w:trPr>
        <w:tc>
          <w:tcPr>
            <w:tcW w:w="59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Euro Stoxx</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1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S&amp;P 500</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2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9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debt and equity securities, as well as due to changes in interest and currency exchange rates and in the levels of cash, investments and indebtedness.</w:t>
      </w:r>
    </w:p>
    <w:p>
      <w:pPr>
        <w:spacing w:after="0" w:line="18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Corporate segment total assets represented 64% of Lazard’s consolidated total assets as of March 31, 2020, which are attributable to cash and cash equivalents, investments in debt and equity securities, interests in alternative investment, debt, equity and private equity funds, deferred tax assets and certain assets associated with LFB.</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8"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right="140" w:firstLine="510"/>
        <w:spacing w:after="0" w:line="301"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9" w:lineRule="exact"/>
        <w:rPr>
          <w:sz w:val="20"/>
          <w:szCs w:val="20"/>
          <w:color w:val="auto"/>
        </w:rPr>
      </w:pPr>
    </w:p>
    <w:p>
      <w:pPr>
        <w:ind w:left="880" w:right="62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380" w:right="80" w:hanging="360"/>
        <w:spacing w:after="0" w:line="311" w:lineRule="auto"/>
        <w:tabs>
          <w:tab w:leader="none" w:pos="13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2020 related to the 2019 year-end compensation process), including performance-based restricted stock unit (“PRSU”) and performance-based restricted participation unit (“PRPU”) awards (based on the target payout level);</w:t>
      </w:r>
    </w:p>
    <w:p>
      <w:pPr>
        <w:spacing w:after="0" w:line="40" w:lineRule="exact"/>
        <w:rPr>
          <w:rFonts w:ascii="Arial" w:cs="Arial" w:eastAsia="Arial" w:hAnsi="Arial"/>
          <w:sz w:val="16"/>
          <w:szCs w:val="16"/>
          <w:color w:val="auto"/>
        </w:rPr>
      </w:pPr>
    </w:p>
    <w:p>
      <w:pPr>
        <w:ind w:left="1380" w:right="300" w:hanging="360"/>
        <w:spacing w:after="0" w:line="277" w:lineRule="auto"/>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380" w:hanging="360"/>
        <w:spacing w:after="0"/>
        <w:tabs>
          <w:tab w:leader="none" w:pos="13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in 2019 the change in fair value of the contingent consideration associated with business acquisitions.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540" w:firstLine="510"/>
        <w:spacing w:after="0" w:line="308" w:lineRule="auto"/>
        <w:rPr>
          <w:sz w:val="20"/>
          <w:szCs w:val="20"/>
          <w:color w:val="auto"/>
        </w:rPr>
      </w:pPr>
      <w:r>
        <w:rPr>
          <w:rFonts w:ascii="Arial" w:cs="Arial" w:eastAsia="Arial" w:hAnsi="Arial"/>
          <w:sz w:val="17"/>
          <w:szCs w:val="17"/>
          <w:color w:val="auto"/>
        </w:rPr>
        <w:t>See “Critical Accounting Policies and Estimates—Income Taxes” below and Notes 16 and 18 of Notes to Condensed Consolidated Financial Statements for additional information regarding income taxes, our deferred tax assets and the tax receivable agreement obligation.</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profits interest participation rights and consolidated VIE interests held by employees. See Notes 12 and 21 of Notes to Condensed Consolidated Financial Statements for information regarding the Company’s noncontrolling interests and consolidated VIEs.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March 31, 2020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8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538,014</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319,755</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133,716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7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453,917</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84,097</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7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25,766</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Less - Net Loss Attributable to Noncontrolling Interests</w:t>
            </w:r>
          </w:p>
        </w:tc>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(5,691)</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18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7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538,014</w:t>
            </w:r>
          </w:p>
        </w:tc>
        <w:tc>
          <w:tcPr>
            <w:tcW w:w="300" w:type="dxa"/>
            <w:vAlign w:val="bottom"/>
          </w:tcPr>
          <w:p>
            <w:pPr>
              <w:spacing w:after="0"/>
              <w:rPr>
                <w:sz w:val="19"/>
                <w:szCs w:val="19"/>
                <w:color w:val="auto"/>
              </w:rPr>
            </w:pPr>
          </w:p>
        </w:tc>
        <w:tc>
          <w:tcPr>
            <w:tcW w:w="560" w:type="dxa"/>
            <w:vAlign w:val="bottom"/>
            <w:gridSpan w:val="2"/>
          </w:tcPr>
          <w:p>
            <w:pPr>
              <w:jc w:val="right"/>
              <w:ind w:right="4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643,674</w:t>
            </w:r>
          </w:p>
        </w:tc>
        <w:tc>
          <w:tcPr>
            <w:tcW w:w="12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16,789</w:t>
            </w:r>
          </w:p>
        </w:tc>
        <w:tc>
          <w:tcPr>
            <w:tcW w:w="12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17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(16,384)</w:t>
            </w: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(24,332)</w:t>
            </w:r>
          </w:p>
        </w:tc>
      </w:tr>
      <w:tr>
        <w:trPr>
          <w:trHeight w:val="229"/>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loss related to noncontrolling interests (c)</w:t>
            </w:r>
          </w:p>
        </w:tc>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(2,271)</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7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(13,870)</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7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562,811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619,990</w:t>
            </w:r>
          </w:p>
        </w:tc>
        <w:tc>
          <w:tcPr>
            <w:tcW w:w="12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88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380" w:right="620" w:hanging="372"/>
        <w:spacing w:after="0" w:line="274"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240" w:hanging="372"/>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300" w:hanging="372"/>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or loss related to the consolidation of noncontrolling interests is excluded from operating revenue because the Company has no economic interest in such amount.</w:t>
      </w:r>
    </w:p>
    <w:p>
      <w:pPr>
        <w:ind w:left="380" w:right="280" w:hanging="372"/>
        <w:spacing w:after="0" w:line="26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6"/>
        </w:trPr>
        <w:tc>
          <w:tcPr>
            <w:tcW w:w="6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23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319,755</w:t>
            </w:r>
          </w:p>
        </w:tc>
        <w:tc>
          <w:tcPr>
            <w:tcW w:w="360" w:type="dxa"/>
            <w:vAlign w:val="bottom"/>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372,254</w:t>
            </w:r>
          </w:p>
        </w:tc>
        <w:tc>
          <w:tcPr>
            <w:tcW w:w="18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Noncontrolling interests (a)</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(1,706)</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(13,870)</w:t>
            </w:r>
          </w:p>
        </w:tc>
      </w:tr>
      <w:tr>
        <w:trPr>
          <w:trHeight w:val="26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compensation and benefits expense</w:t>
            </w:r>
          </w:p>
        </w:tc>
        <w:tc>
          <w:tcPr>
            <w:tcW w:w="144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337,686</w:t>
            </w:r>
          </w:p>
        </w:tc>
        <w:tc>
          <w:tcPr>
            <w:tcW w:w="36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356,494</w:t>
            </w:r>
          </w:p>
        </w:tc>
        <w:tc>
          <w:tcPr>
            <w:tcW w:w="180" w:type="dxa"/>
            <w:vAlign w:val="bottom"/>
            <w:tcBorders>
              <w:bottom w:val="single" w:sz="8" w:color="CFF0FC"/>
            </w:tcBorders>
          </w:tcPr>
          <w:p>
            <w:pPr>
              <w:spacing w:after="0"/>
              <w:rPr>
                <w:sz w:val="22"/>
                <w:szCs w:val="22"/>
                <w:color w:val="auto"/>
              </w:rPr>
            </w:pPr>
          </w:p>
        </w:tc>
      </w:tr>
      <w:tr>
        <w:trPr>
          <w:trHeight w:val="196"/>
        </w:trPr>
        <w:tc>
          <w:tcPr>
            <w:tcW w:w="61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 a % of operating</w:t>
            </w:r>
          </w:p>
        </w:tc>
        <w:tc>
          <w:tcPr>
            <w:tcW w:w="1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61" w:lineRule="exact"/>
        <w:rPr>
          <w:rFonts w:ascii="Arial" w:cs="Arial" w:eastAsia="Arial" w:hAnsi="Arial"/>
          <w:sz w:val="17"/>
          <w:szCs w:val="17"/>
          <w:color w:val="auto"/>
        </w:rPr>
      </w:pPr>
    </w:p>
    <w:p>
      <w:pPr>
        <w:ind w:left="380" w:right="460" w:hanging="360"/>
        <w:spacing w:after="0" w:line="277" w:lineRule="auto"/>
        <w:tabs>
          <w:tab w:leader="none" w:pos="3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1191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Total non-compensation expense</w:t>
            </w:r>
          </w:p>
        </w:tc>
        <w:tc>
          <w:tcPr>
            <w:tcW w:w="32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133,716</w:t>
            </w:r>
          </w:p>
        </w:tc>
        <w:tc>
          <w:tcPr>
            <w:tcW w:w="360" w:type="dxa"/>
            <w:vAlign w:val="bottom"/>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148,287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(3,664)</w:t>
            </w: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w w:val="93"/>
              </w:rPr>
              <w:t>Distribution fees, reimbursable deal costs and bad debt expense (c)</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(16,384)</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(24,332)</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Noncontrolling interests (e)</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(1,036)</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112,632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w w:val="99"/>
              </w:rPr>
              <w:t>Adjusted non-compensation expense, as a % of operating revenue</w:t>
            </w: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00" w:type="dxa"/>
            <w:vAlign w:val="bottom"/>
            <w:vMerge w:val="restart"/>
          </w:tcPr>
          <w:p>
            <w:pPr>
              <w:jc w:val="right"/>
              <w:ind w:right="1790"/>
              <w:spacing w:after="0"/>
              <w:rPr>
                <w:sz w:val="20"/>
                <w:szCs w:val="20"/>
                <w:color w:val="auto"/>
              </w:rPr>
            </w:pPr>
            <w:r>
              <w:rPr>
                <w:rFonts w:ascii="Arial" w:cs="Arial" w:eastAsia="Arial" w:hAnsi="Arial"/>
                <w:sz w:val="18"/>
                <w:szCs w:val="18"/>
                <w:color w:val="auto"/>
              </w:rPr>
              <w:t>46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8" w:name="page49"/>
    <w:bookmarkEnd w:id="48"/>
    <w:p>
      <w:pPr>
        <w:ind w:left="320" w:hanging="300"/>
        <w:spacing w:after="0"/>
        <w:tabs>
          <w:tab w:leader="none" w:pos="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20" w:hanging="300"/>
        <w:spacing w:after="0"/>
        <w:tabs>
          <w:tab w:leader="none" w:pos="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incremental rent expense related to office space reorganization.</w:t>
      </w:r>
    </w:p>
    <w:p>
      <w:pPr>
        <w:spacing w:after="0" w:line="9" w:lineRule="exact"/>
        <w:rPr>
          <w:rFonts w:ascii="Arial" w:cs="Arial" w:eastAsia="Arial" w:hAnsi="Arial"/>
          <w:sz w:val="18"/>
          <w:szCs w:val="18"/>
          <w:color w:val="auto"/>
        </w:rPr>
      </w:pPr>
    </w:p>
    <w:p>
      <w:pPr>
        <w:ind w:left="380" w:right="24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32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2019, represents charges pertaining to the partial redemption of the Company’s 4.25% senior notes due 2020 (the “2020 Notes”) due to the non-operating nature of such transaction. See “—Liquidity and Capital Resources—Financing Activities” below.</w:t>
      </w:r>
    </w:p>
    <w:p>
      <w:pPr>
        <w:ind w:left="380" w:hanging="372"/>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-955040</wp:posOffset>
            </wp:positionV>
            <wp:extent cx="1191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6"/>
          </w:tcPr>
          <w:p>
            <w:pPr>
              <w:jc w:val="center"/>
              <w:ind w:left="299"/>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left="299"/>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6"/>
          </w:tcPr>
          <w:p>
            <w:pPr>
              <w:jc w:val="center"/>
              <w:ind w:left="299"/>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Operating revenue</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562,811</w:t>
            </w:r>
          </w:p>
        </w:tc>
        <w:tc>
          <w:tcPr>
            <w:tcW w:w="80" w:type="dxa"/>
            <w:vAlign w:val="bottom"/>
          </w:tcPr>
          <w:p>
            <w:pPr>
              <w:spacing w:after="0"/>
              <w:rPr>
                <w:sz w:val="19"/>
                <w:szCs w:val="19"/>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619,990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(337,686)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(112,632)</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112,493</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147,759</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15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1840" w:type="dxa"/>
            <w:vAlign w:val="bottom"/>
            <w:gridSpan w:val="6"/>
          </w:tcPr>
          <w:p>
            <w:pPr>
              <w:jc w:val="center"/>
              <w:ind w:right="5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Financial Advisory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986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391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60" w:firstLine="510"/>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Company reported net income attributable to Lazard Ltd of $64 million, as compared to net income attributable to Lazard Ltd of $97 million in the 2019 period.</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Net revenue decreased $106 million, or 16%, with operating revenue decreasing $57 million, or 9%, as compared to the 2019 period. Fee revenue from investment banking and other advisory activities decreased $38 million, or 11%, as compared to the 2019 period. Asset management fees, including incentive fees, decreased $23 million, or 8%, as compared to the 2019 period. In the aggregate, interest income, other revenue and interest expense decreased $45 million, as compared to the 2019 period.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and benefits expense decreased $52 million, or 14%, as compared to the 2019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320" w:firstLine="510"/>
        <w:spacing w:after="0" w:line="263"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decreased $19 million, or 5%, as compared to the 2019 period. The ratio of adjusted compensation and benefits expense to operating revenue was 60.0% for the 2020 period, as compared to 57.5% for the 2019 period.</w:t>
      </w:r>
    </w:p>
    <w:p>
      <w:pPr>
        <w:spacing w:after="0" w:line="184" w:lineRule="exact"/>
        <w:rPr>
          <w:sz w:val="20"/>
          <w:szCs w:val="20"/>
          <w:color w:val="auto"/>
        </w:rPr>
      </w:pPr>
    </w:p>
    <w:p>
      <w:pPr>
        <w:ind w:right="380" w:firstLine="510"/>
        <w:spacing w:after="0" w:line="286" w:lineRule="auto"/>
        <w:rPr>
          <w:sz w:val="20"/>
          <w:szCs w:val="20"/>
          <w:color w:val="auto"/>
        </w:rPr>
      </w:pPr>
      <w:r>
        <w:rPr>
          <w:rFonts w:ascii="Arial" w:cs="Arial" w:eastAsia="Arial" w:hAnsi="Arial"/>
          <w:sz w:val="17"/>
          <w:szCs w:val="17"/>
          <w:color w:val="auto"/>
        </w:rPr>
        <w:t>Non-compensation expense decreased $15 million, or 10%, as compared to the 2019 period, primarily due to decreased marketing and business development expenses. Adjusted non-compensation expense decreased $3 million, or 3%, as compared to the 2019 period. The ratio of adjusted non-compensation expense to operating revenue was 20.0% for the 2020 period, as compared to 18.7% for the 2019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decreased $3 million as compared the 2019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$36 million, or 30%, as compared to the 2019 period.</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Earnings from operations decreased $35 million, or 24%, as compared to the 2019 period, and, as a percentage of operating revenue, was 20.0%, as compared to 23.8% in the 2019 period.</w:t>
      </w:r>
    </w:p>
    <w:p>
      <w:pPr>
        <w:spacing w:after="0" w:line="170"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provision for income taxes reflects an effective tax rate of 30.6%, as compared to 19.4% for the 2019 period. The increase in the effective tax rate principally relates to a decrease in discrete benefits from share-based incentive compensation and changes in the geographic mix of earnings.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loss attributable to noncontrolling interests increased $5 million as compared to the 2019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40" w:firstLine="510"/>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30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298,966</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33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246,847</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3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52,119</w:t>
            </w:r>
          </w:p>
        </w:tc>
        <w:tc>
          <w:tcPr>
            <w:tcW w:w="3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58,109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60" w:type="dxa"/>
            <w:vAlign w:val="bottom"/>
            <w:vMerge w:val="restart"/>
          </w:tcPr>
          <w:p>
            <w:pPr>
              <w:jc w:val="right"/>
              <w:ind w:right="1790"/>
              <w:spacing w:after="0"/>
              <w:rPr>
                <w:sz w:val="20"/>
                <w:szCs w:val="20"/>
                <w:color w:val="auto"/>
              </w:rPr>
            </w:pPr>
            <w:r>
              <w:rPr>
                <w:rFonts w:ascii="Arial" w:cs="Arial" w:eastAsia="Arial" w:hAnsi="Arial"/>
                <w:sz w:val="18"/>
                <w:szCs w:val="18"/>
                <w:color w:val="auto"/>
              </w:rPr>
              <w:t>48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2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620" w:type="dxa"/>
            <w:vAlign w:val="bottom"/>
            <w:tcBorders>
              <w:bottom w:val="single" w:sz="8" w:color="CFF0FC"/>
            </w:tcBorders>
            <w:gridSpan w:val="2"/>
          </w:tcPr>
          <w:p>
            <w:pPr>
              <w:spacing w:after="0"/>
              <w:rPr>
                <w:sz w:val="13"/>
                <w:szCs w:val="13"/>
                <w:color w:val="auto"/>
              </w:rPr>
            </w:pPr>
          </w:p>
        </w:tc>
        <w:tc>
          <w:tcPr>
            <w:tcW w:w="11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874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8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9"/>
              </w:rPr>
              <w:t>56</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8"/>
                <w:szCs w:val="18"/>
                <w:color w:val="auto"/>
                <w:w w:val="79"/>
              </w:rPr>
              <w:t>63</w:t>
            </w:r>
          </w:p>
        </w:tc>
        <w:tc>
          <w:tcPr>
            <w:tcW w:w="180" w:type="dxa"/>
            <w:vAlign w:val="bottom"/>
            <w:shd w:val="clear" w:color="auto" w:fill="CFF0FC"/>
          </w:tcPr>
          <w:p>
            <w:pPr>
              <w:spacing w:after="0"/>
              <w:rPr>
                <w:sz w:val="19"/>
                <w:szCs w:val="19"/>
                <w:color w:val="auto"/>
              </w:rPr>
            </w:pPr>
          </w:p>
        </w:tc>
      </w:tr>
      <w:tr>
        <w:trPr>
          <w:trHeight w:val="215"/>
        </w:trPr>
        <w:tc>
          <w:tcPr>
            <w:tcW w:w="874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74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w w:val="94"/>
              </w:rPr>
              <w:t>43%</w:t>
            </w:r>
          </w:p>
        </w:tc>
      </w:tr>
      <w:tr>
        <w:trPr>
          <w:trHeight w:val="215"/>
        </w:trPr>
        <w:tc>
          <w:tcPr>
            <w:tcW w:w="8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7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9"/>
              </w:rPr>
              <w:t>19</w:t>
            </w:r>
          </w:p>
        </w:tc>
        <w:tc>
          <w:tcPr>
            <w:tcW w:w="36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8"/>
                <w:szCs w:val="18"/>
                <w:color w:val="auto"/>
                <w:w w:val="79"/>
              </w:rPr>
              <w:t>22</w:t>
            </w:r>
          </w:p>
        </w:tc>
        <w:tc>
          <w:tcPr>
            <w:tcW w:w="180" w:type="dxa"/>
            <w:vAlign w:val="bottom"/>
            <w:shd w:val="clear" w:color="auto" w:fill="CFF0FC"/>
          </w:tcPr>
          <w:p>
            <w:pPr>
              <w:spacing w:after="0"/>
              <w:rPr>
                <w:sz w:val="20"/>
                <w:szCs w:val="20"/>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9, 2020.</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59"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r>
      <w:tr>
        <w:trPr>
          <w:trHeight w:val="229"/>
        </w:trPr>
        <w:tc>
          <w:tcPr>
            <w:tcW w:w="870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80" w:firstLine="510"/>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Financial Advisory net revenue decreased $39 million, or 12%, as compared to the 2019 period. The decrease in Financial Advisory net revenue was primarily a result of a decrease in the number of fees greater than $10 million as compared to the 2019 period.</w:t>
      </w:r>
    </w:p>
    <w:p>
      <w:pPr>
        <w:spacing w:after="0" w:line="170"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Operating expenses decreased $33 million, or 12%, as compared to the 2019 period, primarily due to a decrease in compensation and benefits expense and marketing and business development expenses.</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Financial Advisory operating income was $52 million, a decrease of $6 million, or 10%, as compared to operating income of $58 million in the 2019 period and, as a percentage of net revenue, was 17.4%, as compared to 17.2% in the 2019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7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1"/>
                <w:szCs w:val="11"/>
                <w:color w:val="auto"/>
              </w:rPr>
            </w:pPr>
          </w:p>
        </w:tc>
        <w:tc>
          <w:tcPr>
            <w:tcW w:w="12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Global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39,094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154,641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Global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9,100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193,048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Total AUM at March 31, 2020 was $193 billion, a decrease of $55 billion, or 22%, as compared to total AUM of $248 billion at December 31, 2019 due to market depreciation, net outflows and foreign exchange depreciation. Average AUM for the first quarter of 2020 decreased 3% as compared to the first quarter of 2019 and decreased 7% as compared to the fourth quarter of 2019.</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of both March 31, 2020 and December 31, 2019, approximately 86% of our AUM was managed on behalf of institutional clients, including corporations, labor unions, public pension funds, insurance companies and banks, and through sub-advisory relationships, mutual fund sponsors, broker-dealers and registered advisors. As of both March 31, 2020 and December 31, 2019, approximately 14% of our AUM was managed on behalf of individual client relationships, which are principally with family offices and individuals.</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As of March 31, 2020, AUM with foreign currency exposure represented approximately 70% of our total AUM, as compared to 67% as of December 31, 2019. AUM with foreign currency exposure generally declines in value with the strengthening of the U.S. Dollar and increases in value as the U.S. Dollar weakens, with all other factors held constant.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center"/>
              <w:ind w:right="361"/>
              <w:spacing w:after="0"/>
              <w:rPr>
                <w:sz w:val="20"/>
                <w:szCs w:val="20"/>
                <w:color w:val="auto"/>
              </w:rPr>
            </w:pPr>
            <w:r>
              <w:rPr>
                <w:rFonts w:ascii="Arial" w:cs="Arial" w:eastAsia="Arial" w:hAnsi="Arial"/>
                <w:sz w:val="14"/>
                <w:szCs w:val="14"/>
                <w:b w:val="1"/>
                <w:bCs w:val="1"/>
                <w:color w:val="auto"/>
                <w:w w:val="95"/>
              </w:rPr>
              <w:t>Three Months Ended March 31, 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Inflows (a)</w:t>
            </w:r>
          </w:p>
        </w:tc>
        <w:tc>
          <w:tcPr>
            <w:tcW w:w="220" w:type="dxa"/>
            <w:vAlign w:val="bottom"/>
          </w:tcPr>
          <w:p>
            <w:pPr>
              <w:spacing w:after="0"/>
              <w:rPr>
                <w:sz w:val="12"/>
                <w:szCs w:val="12"/>
                <w:color w:val="auto"/>
              </w:rPr>
            </w:pPr>
          </w:p>
        </w:tc>
        <w:tc>
          <w:tcPr>
            <w:tcW w:w="112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w w:val="98"/>
              </w:rPr>
              <w:t>Outflows (a)</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(10,398)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(3,805)</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(42,083)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(5,012)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Fixed Income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(3,487)</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248,239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right="140" w:hanging="360"/>
        <w:spacing w:after="0" w:line="253" w:lineRule="auto"/>
        <w:tabs>
          <w:tab w:leader="none" w:pos="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and Multi-Regional platforms. Outflows in the Equity asset class were primarily attributable to the Emerging Markets, Global and Multi-Regional equity platforms, and outflows in the Fixed Income asset class were primarily attributable to the Emerging Markets and Global platforms.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 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Outflows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(831)</w:t>
            </w:r>
          </w:p>
        </w:tc>
        <w:tc>
          <w:tcPr>
            <w:tcW w:w="3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Fixed Income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April 24, 2020, AUM was $198.1 billion, a $5.1 billion increase since March 31, 2020. The increase in AUM was due to market appreciation of $7.6 billion, partially offset by net outflows of $1.8 billion and foreign exchange depreciation of $0.7 billion.</w:t>
      </w:r>
    </w:p>
    <w:p>
      <w:pPr>
        <w:spacing w:after="0" w:line="170"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Average AUM for the three month periods ended March 31, 2020 and 2019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Equity</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180,375</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189,221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221,534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228,837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26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282,521</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204,769</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207,348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77,752</w:t>
            </w:r>
          </w:p>
        </w:tc>
        <w:tc>
          <w:tcPr>
            <w:tcW w:w="3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6"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540"/>
              <w:spacing w:after="0"/>
              <w:rPr>
                <w:sz w:val="20"/>
                <w:szCs w:val="20"/>
                <w:color w:val="auto"/>
              </w:rPr>
            </w:pPr>
            <w:r>
              <w:rPr>
                <w:rFonts w:ascii="Arial" w:cs="Arial" w:eastAsia="Arial" w:hAnsi="Arial"/>
                <w:sz w:val="18"/>
                <w:szCs w:val="18"/>
                <w:color w:val="auto"/>
              </w:rPr>
              <w:t>51</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420" w:firstLine="510"/>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Asset Management net revenue decreased $19 million, or 6%, as compared to the 2019 period. Management fees and other revenue was $281 million, a decrease of $20 million, or 7%, as compared to $301 million in the 2019 period, primarily due to a decrease in average AUM and change in asset mix. Incentive fees were $2 million, an increase of $1 million as compared to $1 million in the 2019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decreased $3 million, or 1%, as compared to the 2019 period.</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Asset Management operating income was $78 million, a decrease of $16 million, or 18%, as compared to operating income of $94 million in the 2019 period and as a percentage of net revenue, was 27.5%, as compared to 31.3% in the 2019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(19,039)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(17,016)</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(17,039)</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Revenue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(26,434)</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(43,473)</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 (Benefit)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(45,774)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20" w:firstLine="510"/>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$3 million, or 20%, as compared to the 2019.</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Other revenue decreased $44 million as compared to the 2019 period primarily due to losses in the 2020 period as compared to gains in the 2019 period attributable to investments held in connection with LFI.</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Operating expenses decreased $34 million as compared to the 2019 period, primarily due to a decrease in compensation and benefits expense, which reflected a decrease in charges pertaining to LFI.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common stock. Cash flows were also affected in 2019 by Lazard Group’s issuance of $500 million aggregate principal amount of its 4.375% senior notes maturing in 2029 (the “2029 Notes”) and the redemption of the 2020 Notes.</w:t>
      </w:r>
    </w:p>
    <w:p>
      <w:pPr>
        <w:spacing w:after="0" w:line="18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Private Capital Advisory activities are generally collected over a four-year period from billing and typically include an interest component.</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February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720" w:type="dxa"/>
            <w:vAlign w:val="bottom"/>
            <w:gridSpan w:val="3"/>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(394)</w:t>
            </w:r>
          </w:p>
        </w:tc>
      </w:tr>
      <w:tr>
        <w:trPr>
          <w:trHeight w:val="223"/>
        </w:trPr>
        <w:tc>
          <w:tcPr>
            <w:tcW w:w="70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05"/>
        </w:trPr>
        <w:tc>
          <w:tcPr>
            <w:tcW w:w="70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Decrease in Cash and Cash Equivalents and</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Restricted Cash</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r>
      <w:tr>
        <w:trPr>
          <w:trHeight w:val="230"/>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7"/>
        </w:trPr>
        <w:tc>
          <w:tcPr>
            <w:tcW w:w="1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95"/>
              </w:rPr>
              <w:t>($ in millions)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20" w:type="dxa"/>
            <w:vAlign w:val="bottom"/>
            <w:gridSpan w:val="3"/>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Noncash lease expense</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w:t>
            </w: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0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Deferred tax provision</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and other acquisition-related costs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extinguishment of debt</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140" w:hanging="372"/>
        <w:spacing w:after="0" w:line="265"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Consists primarily of purchases of shares of common stock, tax withholdings related to the settlement of vested RSUs, vested restricted stock awards and vested PRSUs, common stock dividends, changes in customer deposits, distributions to noncontrolling interest holders and activity relating to borrowings (including in 2019, the issuance of the 2029 Notes and the redemption of the 2020 Notes).</w:t>
      </w:r>
    </w:p>
    <w:p>
      <w:pPr>
        <w:ind w:left="380" w:right="700" w:hanging="372"/>
        <w:spacing w:after="0" w:line="260"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Net revenue, operating income and cash receipts fluctuate significantly between periods and could be affected by various risks and uncertainties, including, but not limited to, the effects of the COVID-19 pandemic. In the case of Financial Advisory, fee receipts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200"/>
        <w:spacing w:after="0" w:line="277" w:lineRule="auto"/>
        <w:rPr>
          <w:sz w:val="20"/>
          <w:szCs w:val="20"/>
          <w:color w:val="auto"/>
        </w:rPr>
      </w:pPr>
      <w:r>
        <w:rPr>
          <w:rFonts w:ascii="Arial" w:cs="Arial" w:eastAsia="Arial" w:hAnsi="Arial"/>
          <w:sz w:val="18"/>
          <w:szCs w:val="18"/>
          <w:color w:val="auto"/>
        </w:rPr>
        <w:t>are generally dependent upon the successful completion of client transactions, the occurrence and timing of which is irregular and not subject to Lazard’s control.</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2020, as reflected on the condensed consolidated statements of financial condition, both “deposits with banks and short-term investments” and “deposits and other customer payables” decreased as compared to December 31, 2019, due to a lower level of LFB customer-related demand deposits, primarily from clients and funds managed by LFG.</w:t>
      </w:r>
    </w:p>
    <w:p>
      <w:pPr>
        <w:spacing w:after="0" w:line="1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common stock and matters relating to liquidity and to compliance with regulatory net capital requirements. At March 31, 2020, Lazard had approximately $793 million of cash, with such amount including approximately $470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2020, Lazard had approximately $168 million in unused lines of credit available to it, including a $150 million, five-year, senior revolving credit facility with a group of lenders that expires in September 2020 (the “Amended and Restated Credit Agreement”) and unused lines of credit available to LFB of approximately $16 million.</w:t>
      </w:r>
    </w:p>
    <w:p>
      <w:pPr>
        <w:spacing w:after="0" w:line="18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2020, Lazard Group was in compliance with such ratios, with its Consolidated Leverage Ratio being 1.83 to 1.00 and its Consolidated Interest Coverage Ratio being 12.21 to 1.00. In any event, no amounts were outstanding under the Amended and Restated Credit Agreement as of March 31, 2020.</w:t>
      </w:r>
    </w:p>
    <w:p>
      <w:pPr>
        <w:spacing w:after="0" w:line="166"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In addition, the Amended and Restated Credit Agreement contains certain other covenants (none of which relate to financial condition), events of default and other customary provisions. At March 31, 2020, the Company was in compliance with all of these provisions.</w:t>
      </w:r>
    </w:p>
    <w:p>
      <w:pPr>
        <w:spacing w:after="0" w:line="14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should be sufficient for us to fund our current obligations for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table below sets forth our corporate indebtedness as of March 31, 2020 and December 31, 2019. The agreements with respect to this indebtedness are discussed in more detail in our condensed consolidated financial statements and related notes included elsewhere in this Form 10-Q and in our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Senior Debt</w:t>
            </w: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2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Debt Costs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right"/>
              <w:ind w:right="37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Lazard Group 2027 Senior Notes</w:t>
            </w: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2028 Senior Notes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2029 Senior Notes</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w:t>
            </w:r>
            <w:r>
              <w:rPr>
                <w:rFonts w:ascii="Arial" w:cs="Arial" w:eastAsia="Arial" w:hAnsi="Arial"/>
                <w:sz w:val="18"/>
                <w:szCs w:val="18"/>
                <w:u w:val="single" w:color="auto"/>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r>
              <w:rPr>
                <w:rFonts w:ascii="Arial" w:cs="Arial" w:eastAsia="Arial" w:hAnsi="Arial"/>
                <w:sz w:val="18"/>
                <w:szCs w:val="18"/>
                <w:u w:val="single" w:color="auto"/>
                <w:color w:val="auto"/>
              </w:rPr>
              <w:t>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r>
              <w:rPr>
                <w:rFonts w:ascii="Arial" w:cs="Arial" w:eastAsia="Arial" w:hAnsi="Arial"/>
                <w:sz w:val="18"/>
                <w:szCs w:val="18"/>
                <w:u w:val="single" w:color="auto"/>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indenture and supplemental indentures relating to Lazard Group’s senior notes contain certain covenants (none of which relate to financial condition), events of default and other customary provisions. At March 31, 2020,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At March 31, 2020, total stockholders’ equity was $560 million, as compared to $682 million at December 31, 2019, including $486 million and $610 million attributable to Lazard Ltd on the respective dates. The net activity in stockholders’ equity during the three month period ended March 31, 2020 is reflected in the table below (in millions of dollars):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2020</w:t>
            </w:r>
          </w:p>
        </w:tc>
        <w:tc>
          <w:tcPr>
            <w:tcW w:w="760" w:type="dxa"/>
            <w:vAlign w:val="bottom"/>
            <w:gridSpan w:val="2"/>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FF0FC"/>
          </w:tcPr>
          <w:p>
            <w:pPr>
              <w:spacing w:after="0"/>
              <w:rPr>
                <w:sz w:val="19"/>
                <w:szCs w:val="19"/>
                <w:color w:val="auto"/>
              </w:rPr>
            </w:pPr>
          </w:p>
        </w:tc>
      </w:tr>
      <w:tr>
        <w:trPr>
          <w:trHeight w:val="215"/>
        </w:trPr>
        <w:tc>
          <w:tcPr>
            <w:tcW w:w="8300" w:type="dxa"/>
            <w:vAlign w:val="bottom"/>
            <w:gridSpan w:val="3"/>
          </w:tcPr>
          <w:p>
            <w:pPr>
              <w:spacing w:after="0"/>
              <w:rPr>
                <w:sz w:val="20"/>
                <w:szCs w:val="20"/>
                <w:color w:val="auto"/>
              </w:rPr>
            </w:pPr>
            <w:r>
              <w:rPr>
                <w:rFonts w:ascii="Arial" w:cs="Arial" w:eastAsia="Arial" w:hAnsi="Arial"/>
                <w:sz w:val="18"/>
                <w:szCs w:val="18"/>
                <w:color w:val="auto"/>
              </w:rPr>
              <w:t>Adjustment for cumulative effect on prior years from the adoption of new</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20"/>
              <w:spacing w:after="0"/>
              <w:rPr>
                <w:sz w:val="20"/>
                <w:szCs w:val="20"/>
                <w:color w:val="auto"/>
              </w:rPr>
            </w:pPr>
            <w:r>
              <w:rPr>
                <w:rFonts w:ascii="Arial" w:cs="Arial" w:eastAsia="Arial" w:hAnsi="Arial"/>
                <w:sz w:val="18"/>
                <w:szCs w:val="18"/>
                <w:color w:val="auto"/>
              </w:rPr>
              <w:t>accounting guidance</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83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as adjusted January 1, 2020</w:t>
            </w: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Purchase of common stock</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30"/>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Common stock dividends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Stockholders’ Equity - March 31, 2020</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period to period due to a variety of factors. Purchases with respect to such program are set forth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720" w:type="dxa"/>
            <w:vAlign w:val="bottom"/>
            <w:gridSpan w:val="2"/>
            <w:vMerge w:val="continue"/>
          </w:tcPr>
          <w:p>
            <w:pPr>
              <w:spacing w:after="0"/>
              <w:rPr>
                <w:sz w:val="15"/>
                <w:szCs w:val="15"/>
                <w:color w:val="auto"/>
              </w:rPr>
            </w:pPr>
          </w:p>
        </w:tc>
        <w:tc>
          <w:tcPr>
            <w:tcW w:w="18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Shares Purchased</w:t>
            </w:r>
          </w:p>
        </w:tc>
        <w:tc>
          <w:tcPr>
            <w:tcW w:w="300" w:type="dxa"/>
            <w:vAlign w:val="bottom"/>
          </w:tcPr>
          <w:p>
            <w:pPr>
              <w:spacing w:after="0"/>
              <w:rPr>
                <w:sz w:val="15"/>
                <w:szCs w:val="15"/>
                <w:color w:val="auto"/>
              </w:rPr>
            </w:pPr>
          </w:p>
        </w:tc>
        <w:tc>
          <w:tcPr>
            <w:tcW w:w="13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57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5,177,948</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2,912,035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March 31, 2020, a total of $306 million of share repurchase authorization remained available under the Company’s share repurchase program, $6 million of which will expire on December 31, 2020 and $300 million of which will expire on December 31, 2021.</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During the three month period ended March 31, 2020,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On April 29, 2020, the Board of Directors of Lazard declared a quarterly dividend of $0.47 per share on our common stock. The dividend is payable on May 22, 2020 to stockholders of record on May 11, 2020.</w:t>
      </w:r>
    </w:p>
    <w:p>
      <w:pPr>
        <w:spacing w:after="0" w:line="170"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1"/>
                <w:szCs w:val="11"/>
                <w:color w:val="auto"/>
              </w:rPr>
            </w:pPr>
          </w:p>
        </w:tc>
        <w:tc>
          <w:tcPr>
            <w:tcW w:w="8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1-3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2,238,542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leases (exclusive of $16,502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767,908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(a)</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(b)</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3,012,506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141,343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291,549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663,961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80" w:type="dxa"/>
            <w:vAlign w:val="bottom"/>
            <w:tcBorders>
              <w:bottom w:val="single" w:sz="8" w:color="auto"/>
            </w:tcBorders>
          </w:tcPr>
          <w:p>
            <w:pPr>
              <w:spacing w:after="0"/>
              <w:rPr>
                <w:sz w:val="5"/>
                <w:szCs w:val="5"/>
                <w:color w:val="auto"/>
              </w:rPr>
            </w:pPr>
          </w:p>
        </w:tc>
        <w:tc>
          <w:tcPr>
            <w:tcW w:w="2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86"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$11,155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3" w:lineRule="exact"/>
        <w:rPr>
          <w:rFonts w:ascii="Arial" w:cs="Arial" w:eastAsia="Arial" w:hAnsi="Arial"/>
          <w:sz w:val="17"/>
          <w:szCs w:val="17"/>
          <w:color w:val="auto"/>
        </w:rPr>
      </w:pPr>
    </w:p>
    <w:p>
      <w:pPr>
        <w:ind w:left="380" w:hanging="372"/>
        <w:spacing w:after="0" w:line="25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March 31, 2020, a tax receivable agreement obligation of $221,787 was recorded on the condensed consolidated statements of financial condition. See “Critical Accounting Policies and Estimates – Income Taxes” below. See also Notes 11, 13, 14, 16 and 18 of Notes to Condensed Consolidated Financial Statements regarding information in connection with commitments, incentive plans, employee benefit plans, income taxes and tax receivable agreement obligations,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 If, in Lazard’s judgment, collection of a fee is not probable, Lazard will not recognize revenue until the uncertainty is removed. We maintain an allowance for doubtful accounts to provide coverage for estimated losses from our receivables. We determine the adequacy of the allowance under CECL by (i) applying a bad debt charge-off rate based on historical charge-off experience; (ii) estimating the probability of loss based on our analysis of the client’s creditworthiness and specifically reserve against exposures where we determine the receivables are impaired, which may include situations where a fee is in dispute or litigation has commenced; and (iii) performing qualitative assessments to monitor economic risks that may require additional adjustments.</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except for certain transactions that include specific contractual payment terms which may vary from one month to four years following the invoice date (as is the case for Private Capital Advisory fees) or may be subject to court approval (as is the case with Restructuring activities that include bankruptcy proceedings). In such cases, receivables are deemed past due when payment is not received by the agreed-upon contractual date or the court approval date, respectively. Financial Advisory fee receivables past due, from the date of the invoice or specific contractual payment terms, in excess of 180 days are fully provided for unless there is evidence that the balance is collectible. Notwithstanding our policy for receivables past due, any receivables that we determine are impaired result in specific reserves against such exposures. Asset Management fees are fully provided for when such receivables are outstanding 12 months after the invoice date. In addition, the Company specifically reserves against exposures relating to Asset Management fees where we determine receivables are impaired prior to being outstanding for 12 months.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9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2019, on a consolidated basis, we recorded gross deferred tax assets of approximately $737 million, with such amount partially offset by a valuation allowance of approximately $76 million (as described below).</w:t>
      </w:r>
    </w:p>
    <w:p>
      <w:pPr>
        <w:spacing w:after="0" w:line="18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consider multiple possible sources of taxable income when assessing a valuation allowance against a deferred tax asset, including:</w:t>
      </w:r>
    </w:p>
    <w:p>
      <w:pPr>
        <w:spacing w:after="0" w:line="129" w:lineRule="exact"/>
        <w:rPr>
          <w:sz w:val="20"/>
          <w:szCs w:val="20"/>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4"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$76 million of deferred tax assets held by these entities as of December 31, 2019.</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220" w:firstLine="510"/>
        <w:spacing w:after="0" w:line="263"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See Item 1A, “Risk Factors” in our Form 10-K and Note 16 of Notes to Condensed Consolidated Financial Statements for additional information related to income taxes.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18 of Notes to Condensed Consolidated Financial Statements for additional information regarding the Amended and Restated Tax Receivable Agreement.</w:t>
      </w:r>
    </w:p>
    <w:p>
      <w:pPr>
        <w:spacing w:after="0" w:line="15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7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March 31, 2020 and December 31, 2019 was $222 million and $247 million, respectively, and is recorded in “tax receivable agreement obligation” on the condensed consolidated statements of financial condition.</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jc w:val="both"/>
        <w:ind w:right="240" w:firstLine="510"/>
        <w:spacing w:after="0" w:line="279" w:lineRule="auto"/>
        <w:rPr>
          <w:sz w:val="20"/>
          <w:szCs w:val="20"/>
          <w:color w:val="auto"/>
        </w:rPr>
      </w:pPr>
      <w:r>
        <w:rPr>
          <w:rFonts w:ascii="Arial" w:cs="Arial" w:eastAsia="Arial" w:hAnsi="Arial"/>
          <w:sz w:val="17"/>
          <w:szCs w:val="17"/>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7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87,936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93,535</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119,727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165,737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321,455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259,138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March 31, 2020 and December 31, 2019,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60" w:type="dxa"/>
            <w:vAlign w:val="bottom"/>
            <w:gridSpan w:val="2"/>
          </w:tcPr>
          <w:p>
            <w:pPr>
              <w:ind w:left="734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0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7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140" w:hanging="372"/>
        <w:spacing w:after="0" w:line="316"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$17 million and $20 million as of March 31, 2020 and December 31, 2019, respectively.</w:t>
      </w:r>
    </w:p>
    <w:p>
      <w:pPr>
        <w:spacing w:after="0" w:line="1" w:lineRule="exact"/>
        <w:rPr>
          <w:rFonts w:ascii="Arial" w:cs="Arial" w:eastAsia="Arial" w:hAnsi="Arial"/>
          <w:sz w:val="16"/>
          <w:szCs w:val="16"/>
          <w:color w:val="auto"/>
        </w:rPr>
      </w:pPr>
    </w:p>
    <w:p>
      <w:pPr>
        <w:ind w:left="380" w:right="160" w:hanging="372"/>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December 31, 2019, includes investments in U.S. Treasury securities of approximately $100 million, with original maturities of greater than three months and less than one year.</w:t>
      </w:r>
    </w:p>
    <w:p>
      <w:pPr>
        <w:spacing w:after="0" w:line="8" w:lineRule="exact"/>
        <w:rPr>
          <w:rFonts w:ascii="Arial" w:cs="Arial" w:eastAsia="Arial" w:hAnsi="Arial"/>
          <w:sz w:val="18"/>
          <w:szCs w:val="18"/>
          <w:color w:val="auto"/>
        </w:rPr>
      </w:pPr>
    </w:p>
    <w:p>
      <w:pPr>
        <w:ind w:left="380" w:right="80" w:hanging="372"/>
        <w:spacing w:after="0" w:line="263"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21" w:lineRule="exact"/>
        <w:rPr>
          <w:rFonts w:ascii="Arial" w:cs="Arial" w:eastAsia="Arial" w:hAnsi="Arial"/>
          <w:sz w:val="18"/>
          <w:szCs w:val="18"/>
          <w:color w:val="auto"/>
        </w:rPr>
      </w:pPr>
    </w:p>
    <w:p>
      <w:pPr>
        <w:ind w:left="380" w:right="20" w:hanging="372"/>
        <w:spacing w:after="0" w:line="296"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$159 million in nine entities as of March 31, 2020, as compared to $93 million in eight entities as of December 31, 2019.</w:t>
      </w:r>
    </w:p>
    <w:p>
      <w:pPr>
        <w:spacing w:after="0" w:line="16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At March 31, 2020 and December 31, 2019, total investments with a fair value of $505 million and $531 million, respectively, included $53 million and $34 million, respectively, or 10% and 6%,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March 31, 2020 and December 31, 2019, the Company held seed investments of approximately $120 million and $113 million, respectively. Seed investments held in entities in which the Company maintained a controlling interest were $56 million in eight entities as of March 31, 2020, as compared to $47 million in seven entities as of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140" w:firstLine="510"/>
        <w:spacing w:after="0" w:line="275" w:lineRule="auto"/>
        <w:rPr>
          <w:sz w:val="20"/>
          <w:szCs w:val="20"/>
          <w:color w:val="auto"/>
        </w:rPr>
      </w:pPr>
      <w:r>
        <w:rPr>
          <w:rFonts w:ascii="Arial" w:cs="Arial" w:eastAsia="Arial" w:hAnsi="Arial"/>
          <w:sz w:val="17"/>
          <w:szCs w:val="17"/>
          <w:color w:val="auto"/>
        </w:rPr>
        <w:t>As of March 31, 2020 and December 31, 2019, the Company did not consolidate or deconsolidate any seed investment entities or LFI investment entities with the exception of the consolidation of certain LFI funds (see Note 21 of Notes to the Condensed Consolidated Financial Statements). As such, 100% of the recorded balance of seed investments and substantially all of LFI investments as of March 31, 2020 and December 31, 2019 represented the Company’s economic interest in the seed and LFI investments. See “—Consolidation of Variable Interest Entities” below for more information on the Company’s policy regarding the consolidation of seed and LFI investment entities.</w:t>
      </w:r>
    </w:p>
    <w:p>
      <w:pPr>
        <w:spacing w:after="0" w:line="17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4"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6" w:lineRule="exact"/>
        <w:rPr>
          <w:sz w:val="20"/>
          <w:szCs w:val="20"/>
          <w:color w:val="auto"/>
        </w:rPr>
      </w:pPr>
    </w:p>
    <w:p>
      <w:pPr>
        <w:ind w:left="880" w:right="540" w:hanging="373"/>
        <w:spacing w:after="0" w:line="311"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40" w:lineRule="exact"/>
        <w:rPr>
          <w:rFonts w:ascii="Arial" w:cs="Arial" w:eastAsia="Arial" w:hAnsi="Arial"/>
          <w:sz w:val="16"/>
          <w:szCs w:val="16"/>
          <w:color w:val="auto"/>
        </w:rPr>
      </w:pPr>
    </w:p>
    <w:p>
      <w:pPr>
        <w:ind w:left="880" w:right="60" w:hanging="373"/>
        <w:spacing w:after="0" w:line="25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commitment to, such entities. See “Critical Accounting Policies and Estimates—Investments” above for more information regarding our investments.</w:t>
      </w:r>
    </w:p>
    <w:p>
      <w:pPr>
        <w:spacing w:after="0" w:line="23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Equity Market Price Risk—At March 31, 2020 and December 31, 2019, the Company’s exposure to equity market price risk in its investment portfolio, which primarily relates to investments in equity securities, equity funds and hedge funds, was approximately $98 million and $85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$0.4 million and $1.0 million in the carrying value of such investments as of March 31, 2020 and December 31, 2019, respectively, including the effect of the hedging transactions.</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Interest Rate/Credit Spread Risk—At March 31, 2020 and December 31, 2019, the Company’s exposure to interest rate and credit spread risk in its investment portfolio related to investments in debt securities or funds which invest primarily in debt securities was $47 million and $153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$1.0 million in the carrying value of such investments as of March 31, 2020 and December 31, 2019, respectively, including the effect of the hedging transactions.</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Foreign Exchange Rate Risk—At March 31, 2020 and December 31, 2019, the Company’s exposure to foreign exchange rate risk in its investment portfolio, which primarily relates to investments in foreign currency denominated equity and debt securities, was $43 million and $37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$0.2 million and $0.2 million in the carrying value of such investments as of March 31, 2020 and December 31, 2019, respectively, including the effect of the hedging transactions.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440" w:firstLine="510"/>
        <w:spacing w:after="0" w:line="301"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March 31, 2020 and December 31, 2019, the Company’s exposure to changes in fair value of such investments was approximately $21 million and $24 million, respectively. The Company estimates that a hypothetical 10% adverse change in fair value would result in a decrease of approximately $2.1 million and $2.4 million in the carrying value of such investments as of March 31, 2020 and December 31, 2019, respectively.</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2020, total receivables amounted to $589 million, net of an allowance for doubtful accounts of $31 million. As of that date, Financial Advisory and Asset Management fees, and customers and other receivables comprised 81% and 19% of total receivables, respectively. At December 31, 2019, total receivables amounted to $663 million, net of an allowance for doubtful accounts of $27 million. As of that date, Financial Advisory and Asset Management fees, and customers and other receivables comprised 81% and 19% of total receivables,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2020 and December 31, 2019, customer receivables included $75 million and $76 million, respectively, of LFB loans, with such loans being fully collateralized and closely monitored for counterparty creditworthiness.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0" w:firstLine="510"/>
        <w:spacing w:after="0" w:line="28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$27 million and</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$1 million at March 31, 2020 and December 31, 2019, respectively, and derivative liabilities, excluding the derivative liability arising from the Company’s obligation pertaining to LFI and other similar deferred compensation arrangements, amounted to $3 million and $10 million at such respective dates.</w:t>
      </w:r>
    </w:p>
    <w:p>
      <w:pPr>
        <w:spacing w:after="0" w:line="13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$272 million and $226 million at March 31, 2020 and December 31,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2020,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49"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As of March 31, 2020, the Company’s cash and cash equivalents totaled approximately $793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Operational risk is inherent in all of our businesses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Except for the new risk factor below, there were no material changes from the risk factors previously disclosed in the Company’s Annual Report on Form 10-K for the year ended December 31,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business, financial condition and results of operations could be materially adversely affected by the COVID-19 pandemic.</w:t>
      </w:r>
    </w:p>
    <w:p>
      <w:pPr>
        <w:spacing w:after="0" w:line="23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recent outbreak of a novel strain of coronavirus (“COVID-19”) is now affecting the global community and our business, financial condition and results of operations. The nature and severity of the impact is highly uncertain, and the extent to which COVID-19 affects our operations and heightens the risks described in the section entitled “Risk Factors” in our Form 10-K will depend largely on future developments, including the course of the pandemic and the extent of actions that have been or may be taken to contain or address its impact. These actions, many of which have already been implemented in various jurisdictions worldwide, include, but are not limited to, declarations of states of emergency, business closures (including the complete or partial closure of many of our offices), restrictions on businesses’ ability to pay dividends or make distributions, restrictions on in-person meetings and travel, or other similar restrictions and limitations. While such actions may be relaxed or suspended if and when the COVID-19 pandemic abates, they may also be reinstated as the pandemic continues to evolve, and the relaxation or suspension of such actions may not be successful in restarting economic activity. The scope and timing of any such actions or reinstatements is difficult to predict.</w:t>
      </w:r>
    </w:p>
    <w:p>
      <w:pPr>
        <w:spacing w:after="0" w:line="18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Moreover, the COVID-19 pandemic has adversely affected the economies in impacted countries and regions, including those in which our businesses operate, and the global financial markets, including the global debt and equity capital markets, which are experiencing, and may continue to experience, significant volatility. The pandemic has led to an economic downturn, including a sharp drop in aggregate demand and, particularly in the U.S., a high level of unemployment, that could adversely affect our business, financial condition and results of operations and could have a negative impact on our Financial Advisory and Asset Management businesses. Disruptions to, and volatility in, the global financial markets as a result of the COVID-19 pandemic may result in a decrease in the volume and value of M&amp;A transactions, thereby reducing the demand for our Financial Advisory services and increasing price competition among financial services companies seeking such engagements, which may adversely affect our financial condition and results of operations. Those same market disruptions may result in a decrease in our AUM resulting in lower investment advisory fees for our Asset Management business, may also affect our ability to effect transactions for our Asset Management clients and may negatively impact the liquidity of the assets held in our client portfolios. Furthermore, any such disruptions to the global financial markets may affect our ability to incur debt or issue equity on acceptable terms, or at all, to fund our working capital requirements or refinance existing indebtedness, or to make acquisitions and other investments. Additionally, we have exposure to many different industries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our counterparty or client defaults, which defaults could become more frequent or widespread due to the impact of the COVID-19 pandemic.</w:t>
      </w:r>
    </w:p>
    <w:p>
      <w:pPr>
        <w:spacing w:after="0" w:line="18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efforts to mitigate the impact of the COVID-19 pandemic have required, and will continue to require, a significant investment of time and resources across our businesses. In response to recommendations or orders by governmental institutions limiting certain business or commercial activities in jurisdictions in which we operate around the world, we have taken, and may take further, preventative or protective actions, including instituting policies requiring employees who are capable of performing their functions remotely to do so. These arrangements may result in reduced productivity and limitations on the ability of our managing directors and employees to communicate or interact, which may adversely impact our business, financial condition and results of operations. Furthermore, given the unprecedented number of employees performing their functions remotely, we have reinforced policies, procedures and guidelines that we believe are reasonably designed to protect the confidentiality of our and our clients’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confidential information, but there can be no assurance that these measures will be adequate. Any unauthorized disclosure of such information could result in legal action, regulatory sanctions and reputational or financial harm.</w:t>
      </w:r>
    </w:p>
    <w:p>
      <w:pPr>
        <w:spacing w:after="0" w:line="17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Similarly, due to the unprecedented number of employees continuously deploying the remote working capabilities of our information systems, including on home networks or through increased use of mobile technologies, we face a heightened risk of operational interruptions and security breaches involving such systems. Additionally, such home and mobile technology resources could be more susceptible to interruptions and security breaches than our dedicated business resources. There can be no assurance that protective measures and policies we have instituted in an effort to reduce the likelihood and severity of such interruptions and breaches, including as a result of cyber attacks, will be adequate. For additional information regarding operational risks with respect to our businesses, which may be exacerbated by COVID-19 and the associated actions taken to contain or address its impact, see the Risk Factors entitled “A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 in our Form 10-K.</w:t>
      </w:r>
    </w:p>
    <w:p>
      <w:pPr>
        <w:spacing w:after="0" w:line="19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Certain of our third party vendors or service providers may take, have taken or may take further preventative or protective actions, including instituting policies requiring their respective employees who are capable of performing their functions remotely to do so and implementing or expanding back-up procedures and capabilities, and may be experiencing a growing demand for their services. </w:t>
      </w:r>
      <w:r>
        <w:rPr>
          <w:rFonts w:ascii="Arial" w:cs="Arial" w:eastAsia="Arial" w:hAnsi="Arial"/>
          <w:sz w:val="17"/>
          <w:szCs w:val="17"/>
          <w:color w:val="212529"/>
        </w:rPr>
        <w:t>Any failure of or interruption to their systems or any</w:t>
      </w:r>
      <w:r>
        <w:rPr>
          <w:rFonts w:ascii="Arial" w:cs="Arial" w:eastAsia="Arial" w:hAnsi="Arial"/>
          <w:sz w:val="17"/>
          <w:szCs w:val="17"/>
          <w:color w:val="auto"/>
        </w:rPr>
        <w:t xml:space="preserve"> </w:t>
      </w:r>
      <w:r>
        <w:rPr>
          <w:rFonts w:ascii="Arial" w:cs="Arial" w:eastAsia="Arial" w:hAnsi="Arial"/>
          <w:sz w:val="17"/>
          <w:szCs w:val="17"/>
          <w:color w:val="212529"/>
        </w:rPr>
        <w:t xml:space="preserve">back-up procedures and capabilities as a result of such actions or such growth in demand could materially adversely affect our </w:t>
      </w:r>
      <w:r>
        <w:rPr>
          <w:rFonts w:ascii="Arial" w:cs="Arial" w:eastAsia="Arial" w:hAnsi="Arial"/>
          <w:sz w:val="17"/>
          <w:szCs w:val="17"/>
          <w:color w:val="000000"/>
        </w:rPr>
        <w:t>business, financial condition</w:t>
      </w:r>
      <w:r>
        <w:rPr>
          <w:rFonts w:ascii="Arial" w:cs="Arial" w:eastAsia="Arial" w:hAnsi="Arial"/>
          <w:sz w:val="17"/>
          <w:szCs w:val="17"/>
          <w:color w:val="212529"/>
        </w:rPr>
        <w:t xml:space="preserve"> </w:t>
      </w:r>
      <w:r>
        <w:rPr>
          <w:rFonts w:ascii="Arial" w:cs="Arial" w:eastAsia="Arial" w:hAnsi="Arial"/>
          <w:sz w:val="17"/>
          <w:szCs w:val="17"/>
          <w:color w:val="000000"/>
        </w:rPr>
        <w:t>and results of operations</w:t>
      </w:r>
      <w:r>
        <w:rPr>
          <w:rFonts w:ascii="Arial" w:cs="Arial" w:eastAsia="Arial" w:hAnsi="Arial"/>
          <w:sz w:val="17"/>
          <w:szCs w:val="17"/>
          <w:color w:val="212529"/>
        </w:rPr>
        <w:t>.</w:t>
      </w:r>
      <w:r>
        <w:rPr>
          <w:rFonts w:ascii="Arial" w:cs="Arial" w:eastAsia="Arial" w:hAnsi="Arial"/>
          <w:sz w:val="17"/>
          <w:szCs w:val="17"/>
          <w:color w:val="000000"/>
        </w:rPr>
        <w:t xml:space="preserve"> For additional information risks related to our reliance on vendor systems, see the Risk Factor entitled “</w:t>
      </w:r>
      <w:r>
        <w:rPr>
          <w:rFonts w:ascii="Arial" w:cs="Arial" w:eastAsia="Arial" w:hAnsi="Arial"/>
          <w:sz w:val="17"/>
          <w:szCs w:val="17"/>
          <w:color w:val="212529"/>
        </w:rPr>
        <w:t>Other operational risks</w:t>
      </w:r>
      <w:r>
        <w:rPr>
          <w:rFonts w:ascii="Arial" w:cs="Arial" w:eastAsia="Arial" w:hAnsi="Arial"/>
          <w:sz w:val="17"/>
          <w:szCs w:val="17"/>
          <w:color w:val="000000"/>
        </w:rPr>
        <w:t xml:space="preserve"> </w:t>
      </w:r>
      <w:r>
        <w:rPr>
          <w:rFonts w:ascii="Arial" w:cs="Arial" w:eastAsia="Arial" w:hAnsi="Arial"/>
          <w:sz w:val="17"/>
          <w:szCs w:val="17"/>
          <w:color w:val="212529"/>
        </w:rPr>
        <w:t>may disrupt our businesses, result in regulatory action against us or limit our growth</w:t>
      </w:r>
      <w:r>
        <w:rPr>
          <w:rFonts w:ascii="Arial" w:cs="Arial" w:eastAsia="Arial" w:hAnsi="Arial"/>
          <w:sz w:val="17"/>
          <w:szCs w:val="17"/>
          <w:color w:val="000000"/>
        </w:rPr>
        <w:t>” in our Form 10-K.</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regarding Lazard’s purchases of its common stock on a monthly basis during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January 1 – January 31, 2020</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379.0</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February 1 – February 29, 2020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273,734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273,734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367.5</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729,654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1 – March 31,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2,128,301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2,128,301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305.6</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982,724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2,912,035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2,912,035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305.6</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1,712,378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440" w:type="dxa"/>
            <w:vAlign w:val="bottom"/>
          </w:tcPr>
          <w:p>
            <w:pPr>
              <w:spacing w:after="0"/>
              <w:rPr>
                <w:sz w:val="24"/>
                <w:szCs w:val="24"/>
                <w:color w:val="auto"/>
              </w:rPr>
            </w:pPr>
          </w:p>
        </w:tc>
        <w:tc>
          <w:tcPr>
            <w:tcW w:w="1200" w:type="dxa"/>
            <w:vAlign w:val="bottom"/>
            <w:gridSpan w:val="2"/>
          </w:tcPr>
          <w:p>
            <w:pPr>
              <w:jc w:val="right"/>
              <w:ind w:right="848"/>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380" w:right="260" w:hanging="372"/>
        <w:spacing w:after="0" w:line="261"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1912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91260" cy="8255"/>
                    </a:xfrm>
                    <a:prstGeom prst="rect">
                      <a:avLst/>
                    </a:prstGeom>
                    <a:noFill/>
                  </pic:spPr>
                </pic:pic>
              </a:graphicData>
            </a:graphic>
          </wp:anchor>
        </w:drawing>
        <w:t>During the three months ended March 31, 2020 and since 2018, the Board of Directors of Lazard authorized the repurchase of common stock as set forth in the table below.</w:t>
      </w:r>
    </w:p>
    <w:tbl>
      <w:tblPr>
        <w:tblLayout w:type="fixed"/>
        <w:tblInd w:w="0" w:type="dxa"/>
        <w:tblCellMar>
          <w:top w:w="0" w:type="dxa"/>
          <w:left w:w="0" w:type="dxa"/>
          <w:bottom w:w="0" w:type="dxa"/>
          <w:right w:w="0" w:type="dxa"/>
        </w:tblCellMar>
      </w:tblPr>
      <w:tr>
        <w:trPr>
          <w:trHeight w:val="149"/>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540" w:type="dxa"/>
            <w:vAlign w:val="bottom"/>
          </w:tcPr>
          <w:p>
            <w:pPr>
              <w:spacing w:after="0"/>
              <w:rPr>
                <w:sz w:val="12"/>
                <w:szCs w:val="12"/>
                <w:color w:val="auto"/>
              </w:rPr>
            </w:pP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Repurchase</w:t>
            </w:r>
          </w:p>
        </w:tc>
        <w:tc>
          <w:tcPr>
            <w:tcW w:w="26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2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Authorization</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20"/>
                <w:szCs w:val="20"/>
                <w:color w:val="auto"/>
              </w:rPr>
            </w:pPr>
          </w:p>
        </w:tc>
        <w:tc>
          <w:tcPr>
            <w:tcW w:w="2600" w:type="dxa"/>
            <w:vAlign w:val="bottom"/>
          </w:tcPr>
          <w:p>
            <w:pPr>
              <w:ind w:left="118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600" w:type="dxa"/>
            <w:vAlign w:val="bottom"/>
            <w:shd w:val="clear" w:color="auto" w:fill="CFF0FC"/>
          </w:tcPr>
          <w:p>
            <w:pPr>
              <w:ind w:left="118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9"/>
                <w:szCs w:val="19"/>
                <w:color w:val="auto"/>
              </w:rPr>
            </w:pPr>
          </w:p>
        </w:tc>
        <w:tc>
          <w:tcPr>
            <w:tcW w:w="2600" w:type="dxa"/>
            <w:vAlign w:val="bottom"/>
          </w:tcPr>
          <w:p>
            <w:pPr>
              <w:ind w:left="118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2019</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600" w:type="dxa"/>
            <w:vAlign w:val="bottom"/>
            <w:shd w:val="clear" w:color="auto" w:fill="CFF0FC"/>
          </w:tcPr>
          <w:p>
            <w:pPr>
              <w:ind w:left="118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80" w:right="60"/>
        <w:spacing w:after="0" w:line="275" w:lineRule="auto"/>
        <w:rPr>
          <w:sz w:val="20"/>
          <w:szCs w:val="20"/>
          <w:color w:val="auto"/>
        </w:rPr>
      </w:pPr>
      <w:r>
        <w:rPr>
          <w:rFonts w:ascii="Arial" w:cs="Arial" w:eastAsia="Arial" w:hAnsi="Arial"/>
          <w:sz w:val="17"/>
          <w:szCs w:val="17"/>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common stock and exclude the shares of common stock withheld by the Company to meet the minimum statutory tax withholding requirements as described below.</w:t>
      </w:r>
    </w:p>
    <w:p>
      <w:pPr>
        <w:spacing w:after="0" w:line="14" w:lineRule="exact"/>
        <w:rPr>
          <w:sz w:val="20"/>
          <w:szCs w:val="20"/>
          <w:color w:val="auto"/>
        </w:rPr>
      </w:pPr>
    </w:p>
    <w:p>
      <w:pPr>
        <w:ind w:left="380" w:right="160" w:hanging="372"/>
        <w:spacing w:after="0" w:line="301"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the terms of the 2008 Plan and the 2018 Plan, upon the vesting of RSUs, PRSUs, DSUs and delivery of restricted common stock, shares of common stock may be withheld by the Company to meet the minimum statutory tax withholding requirements. During the three month period ended March 31, 2020, the Company satisfied such obligations in lieu of issuing (i) 1,589,620 shares of common stock upon the vesting or settlement of 4,559,871 RSUs and PRSUs and (ii) 122,758 shares of common stock upon the vesting of 322,053 shares of restricted common stock.</w:t>
      </w:r>
    </w:p>
    <w:p>
      <w:pPr>
        <w:spacing w:after="0" w:line="2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24"/>
          </w:tcPr>
          <w:p>
            <w:pPr>
              <w:jc w:val="center"/>
              <w:ind w:right="444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Item 6.</w:t>
            </w:r>
          </w:p>
        </w:tc>
        <w:tc>
          <w:tcPr>
            <w:tcW w:w="10220" w:type="dxa"/>
            <w:vAlign w:val="bottom"/>
            <w:gridSpan w:val="28"/>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10020" w:type="dxa"/>
            <w:vAlign w:val="bottom"/>
            <w:tcBorders>
              <w:bottom w:val="single" w:sz="8" w:color="0000EE"/>
            </w:tcBorders>
            <w:gridSpan w:val="19"/>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Certificate of Incorporation and Memorandum of Association of the Registrant (incorporated by reference to Exhibit 3.1 to the Registrant’s</w:t>
              </w:r>
            </w:hyperlink>
          </w:p>
        </w:tc>
        <w:tc>
          <w:tcPr>
            <w:tcW w:w="20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Registration Statement (File No. 333-121407) on Form S-1/A filed on March 21, 2005).</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3.2</w:t>
            </w:r>
          </w:p>
        </w:tc>
        <w:tc>
          <w:tcPr>
            <w:tcW w:w="9980" w:type="dxa"/>
            <w:vAlign w:val="bottom"/>
            <w:tcBorders>
              <w:bottom w:val="single" w:sz="8" w:color="0000EE"/>
            </w:tcBorders>
            <w:gridSpan w:val="18"/>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Certificate of Incorporation on Change of Name of the Registrant (incorporated by reference to Exhibit 3.2 to the Registrant’s Registration</w:t>
              </w:r>
            </w:hyperlink>
          </w:p>
        </w:tc>
        <w:tc>
          <w:tcPr>
            <w:tcW w:w="2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Statement (File No. 333-121407) on Form S-1/A filed on March 21, 2005).</w:t>
              </w:r>
            </w:hyperlink>
          </w:p>
        </w:tc>
        <w:tc>
          <w:tcPr>
            <w:tcW w:w="4800" w:type="dxa"/>
            <w:vAlign w:val="bottom"/>
            <w:gridSpan w:val="20"/>
          </w:tcPr>
          <w:p>
            <w:pPr>
              <w:spacing w:after="0"/>
              <w:rPr>
                <w:sz w:val="17"/>
                <w:szCs w:val="17"/>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3.3</w:t>
            </w:r>
          </w:p>
        </w:tc>
        <w:tc>
          <w:tcPr>
            <w:tcW w:w="10220" w:type="dxa"/>
            <w:vAlign w:val="bottom"/>
            <w:gridSpan w:val="2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r>
      <w:tr>
        <w:trPr>
          <w:trHeight w:val="196"/>
        </w:trPr>
        <w:tc>
          <w:tcPr>
            <w:tcW w:w="10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32492) on Form 10-Q filed on June 16, 2005).</w:t>
              </w:r>
            </w:hyperlink>
          </w:p>
        </w:tc>
        <w:tc>
          <w:tcPr>
            <w:tcW w:w="6820" w:type="dxa"/>
            <w:vAlign w:val="bottom"/>
            <w:tcBorders>
              <w:top w:val="single" w:sz="8" w:color="0000EE"/>
            </w:tcBorders>
            <w:gridSpan w:val="2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10060" w:type="dxa"/>
            <w:vAlign w:val="bottom"/>
            <w:tcBorders>
              <w:bottom w:val="single" w:sz="8" w:color="0000EE"/>
            </w:tcBorders>
            <w:gridSpan w:val="21"/>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First Amendment to Amended and Restated Bye-Laws of Lazard Ltd (incorporated by reference to Exhibit 3.4 to the Registrant’s Quarterly</w:t>
              </w:r>
            </w:hyperlink>
          </w:p>
        </w:tc>
        <w:tc>
          <w:tcPr>
            <w:tcW w:w="16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Report (File No. 001-32492) on Form 10-Q filed on May 9, 2008).</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3.5</w:t>
            </w:r>
          </w:p>
        </w:tc>
        <w:tc>
          <w:tcPr>
            <w:tcW w:w="10220" w:type="dxa"/>
            <w:vAlign w:val="bottom"/>
            <w:gridSpan w:val="28"/>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Second Amendment to the Amended and Restated Bye-Laws of Lazard Ltd (incorporated by reference to Exhibit 3.5 to the Registrant’s</w:t>
              </w:r>
            </w:hyperlink>
          </w:p>
        </w:tc>
      </w:tr>
      <w:tr>
        <w:trPr>
          <w:trHeight w:val="196"/>
        </w:trPr>
        <w:tc>
          <w:tcPr>
            <w:tcW w:w="1020" w:type="dxa"/>
            <w:vAlign w:val="bottom"/>
          </w:tcPr>
          <w:p>
            <w:pPr>
              <w:spacing w:after="0"/>
              <w:rPr>
                <w:sz w:val="17"/>
                <w:szCs w:val="17"/>
                <w:color w:val="auto"/>
              </w:rPr>
            </w:pPr>
          </w:p>
        </w:tc>
        <w:tc>
          <w:tcPr>
            <w:tcW w:w="9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Quarterly Report (File No. 001-32492) on Form 10-Q filed on April 30, 2010).</w:t>
              </w:r>
            </w:hyperlink>
          </w:p>
        </w:tc>
        <w:tc>
          <w:tcPr>
            <w:tcW w:w="44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4.1</w:t>
            </w:r>
          </w:p>
        </w:tc>
        <w:tc>
          <w:tcPr>
            <w:tcW w:w="10140" w:type="dxa"/>
            <w:vAlign w:val="bottom"/>
            <w:tcBorders>
              <w:bottom w:val="single" w:sz="8" w:color="0000EE"/>
            </w:tcBorders>
            <w:gridSpan w:val="25"/>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5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(File No. 333-121407) on Form S-1/A filed on April 11, 2005).</w:t>
              </w:r>
            </w:hyperlink>
          </w:p>
        </w:tc>
        <w:tc>
          <w:tcPr>
            <w:tcW w:w="5660" w:type="dxa"/>
            <w:vAlign w:val="bottom"/>
            <w:gridSpan w:val="22"/>
          </w:tcPr>
          <w:p>
            <w:pPr>
              <w:spacing w:after="0"/>
              <w:rPr>
                <w:sz w:val="17"/>
                <w:szCs w:val="17"/>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4.2</w:t>
            </w:r>
          </w:p>
        </w:tc>
        <w:tc>
          <w:tcPr>
            <w:tcW w:w="10060" w:type="dxa"/>
            <w:vAlign w:val="bottom"/>
            <w:tcBorders>
              <w:bottom w:val="single" w:sz="8" w:color="0000EE"/>
            </w:tcBorders>
            <w:gridSpan w:val="21"/>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Indenture, dated as of May 10, 2005, by and between Lazard Group LLC and The Bank of New York, as Trustee (incorporated by reference</w:t>
              </w:r>
            </w:hyperlink>
          </w:p>
        </w:tc>
        <w:tc>
          <w:tcPr>
            <w:tcW w:w="160" w:type="dxa"/>
            <w:vAlign w:val="bottom"/>
            <w:gridSpan w:val="7"/>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to Exhibit 4.1 to Lazard Group LLC’s Registration Statement (File No. 333-126751) on Form S-4 filed on July 21, 2005).</w:t>
              </w:r>
            </w:hyperlink>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4.3</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Sixth Supplemental Indenture, dated as of February 13, 2015, between Lazard Group LLC and The Bank of New York Mellon, as trustee</w:t>
              </w:r>
            </w:hyperlink>
          </w:p>
        </w:tc>
        <w:tc>
          <w:tcPr>
            <w:tcW w:w="340" w:type="dxa"/>
            <w:vAlign w:val="bottom"/>
            <w:gridSpan w:val="13"/>
          </w:tcPr>
          <w:p>
            <w:pPr>
              <w:spacing w:after="0"/>
              <w:rPr>
                <w:sz w:val="22"/>
                <w:szCs w:val="22"/>
                <w:color w:val="auto"/>
              </w:rPr>
            </w:pPr>
          </w:p>
        </w:tc>
      </w:tr>
      <w:tr>
        <w:trPr>
          <w:trHeight w:val="236"/>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w w:val="93"/>
              </w:rPr>
            </w:pPr>
            <w:hyperlink r:id="rId118">
              <w:r>
                <w:rPr>
                  <w:rFonts w:ascii="Arial" w:cs="Arial" w:eastAsia="Arial" w:hAnsi="Arial"/>
                  <w:sz w:val="18"/>
                  <w:szCs w:val="18"/>
                  <w:u w:val="single" w:color="auto"/>
                  <w:color w:val="0000EE"/>
                  <w:w w:val="93"/>
                </w:rPr>
                <w:t>(incorporated by reference to Exhibit 4.1 of the Registrant’s Current Report on Form 8-K (File No. 001-32492) filed on February 13, 2015).</w:t>
              </w:r>
            </w:hyperlink>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10100" w:type="dxa"/>
            <w:vAlign w:val="bottom"/>
            <w:tcBorders>
              <w:bottom w:val="single" w:sz="8" w:color="0000EE"/>
            </w:tcBorders>
            <w:gridSpan w:val="2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120" w:type="dxa"/>
            <w:vAlign w:val="bottom"/>
            <w:gridSpan w:val="5"/>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w w:val="93"/>
              </w:rPr>
            </w:pPr>
            <w:hyperlink r:id="rId119">
              <w:r>
                <w:rPr>
                  <w:rFonts w:ascii="Arial" w:cs="Arial" w:eastAsia="Arial" w:hAnsi="Arial"/>
                  <w:sz w:val="18"/>
                  <w:szCs w:val="18"/>
                  <w:u w:val="single" w:color="auto"/>
                  <w:color w:val="0000EE"/>
                  <w:w w:val="93"/>
                </w:rPr>
                <w:t>(incorporated by reference to Exhibit 4.1 of the Registrant’s Current Report on Form 8-K (File No. 001-32492) filed on November 7, 2016).</w:t>
              </w:r>
            </w:hyperlink>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4.5</w:t>
            </w:r>
          </w:p>
        </w:tc>
        <w:tc>
          <w:tcPr>
            <w:tcW w:w="10040" w:type="dxa"/>
            <w:vAlign w:val="bottom"/>
            <w:tcBorders>
              <w:bottom w:val="single" w:sz="8" w:color="0000EE"/>
            </w:tcBorders>
            <w:gridSpan w:val="20"/>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Eighth Supplemental Indenture, dated as of September 19, 2018, between Lazard Group LLC and the Bank of New York Mellon, as trustee</w:t>
              </w:r>
            </w:hyperlink>
          </w:p>
        </w:tc>
        <w:tc>
          <w:tcPr>
            <w:tcW w:w="180" w:type="dxa"/>
            <w:vAlign w:val="bottom"/>
            <w:gridSpan w:val="8"/>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color w:val="0000EE"/>
                <w:w w:val="92"/>
              </w:rPr>
            </w:pPr>
            <w:hyperlink r:id="rId120">
              <w:r>
                <w:rPr>
                  <w:rFonts w:ascii="Arial" w:cs="Arial" w:eastAsia="Arial" w:hAnsi="Arial"/>
                  <w:sz w:val="18"/>
                  <w:szCs w:val="18"/>
                  <w:u w:val="single" w:color="auto"/>
                  <w:color w:val="0000EE"/>
                  <w:w w:val="92"/>
                </w:rPr>
                <w:t>(incorporated by reference to Exhibit 4.1 to the Registrant’s Current Report on Form 8-K (File No. 001-32492) filed on September 19, 2018</w:t>
              </w:r>
            </w:hyperlink>
            <w:r>
              <w:rPr>
                <w:rFonts w:ascii="Arial" w:cs="Arial" w:eastAsia="Arial" w:hAnsi="Arial"/>
                <w:sz w:val="18"/>
                <w:szCs w:val="18"/>
                <w:color w:val="000000"/>
                <w:w w:val="92"/>
              </w:rPr>
              <w:t>.</w:t>
            </w:r>
          </w:p>
        </w:tc>
      </w:tr>
      <w:tr>
        <w:trPr>
          <w:trHeight w:val="256"/>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4.6</w:t>
            </w:r>
          </w:p>
        </w:tc>
        <w:tc>
          <w:tcPr>
            <w:tcW w:w="9720" w:type="dxa"/>
            <w:vAlign w:val="bottom"/>
            <w:tcBorders>
              <w:bottom w:val="single" w:sz="8" w:color="0000EE"/>
            </w:tcBorders>
            <w:gridSpan w:val="1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Ninth Supplemental Indenture, dated as of March 11, 2019, between Lazard Group LLC and The Bank of New York Mellon, as trustee</w:t>
              </w:r>
            </w:hyperlink>
          </w:p>
        </w:tc>
        <w:tc>
          <w:tcPr>
            <w:tcW w:w="500" w:type="dxa"/>
            <w:vAlign w:val="bottom"/>
            <w:gridSpan w:val="15"/>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w w:val="95"/>
              </w:rPr>
            </w:pPr>
            <w:hyperlink r:id="rId121">
              <w:r>
                <w:rPr>
                  <w:rFonts w:ascii="Arial" w:cs="Arial" w:eastAsia="Arial" w:hAnsi="Arial"/>
                  <w:sz w:val="18"/>
                  <w:szCs w:val="18"/>
                  <w:u w:val="single" w:color="auto"/>
                  <w:color w:val="0000EE"/>
                  <w:w w:val="95"/>
                </w:rPr>
                <w:t>(incorporated by reference to Exhibit 4.1 to the Registrant’s Current Report on Form 8-K (File No. 001-32492) filed on March 11, 2019)</w:t>
              </w:r>
            </w:hyperlink>
          </w:p>
        </w:tc>
      </w:tr>
      <w:tr>
        <w:trPr>
          <w:trHeight w:val="29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4.7</w:t>
            </w:r>
          </w:p>
        </w:tc>
        <w:tc>
          <w:tcPr>
            <w:tcW w:w="10220" w:type="dxa"/>
            <w:vAlign w:val="bottom"/>
            <w:gridSpan w:val="28"/>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8">
              <w:r>
                <w:rPr>
                  <w:rFonts w:ascii="Arial" w:cs="Arial" w:eastAsia="Arial" w:hAnsi="Arial"/>
                  <w:sz w:val="18"/>
                  <w:szCs w:val="18"/>
                  <w:u w:val="single" w:color="auto"/>
                  <w:color w:val="0000EE"/>
                </w:rPr>
                <w:t>4.3</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EE"/>
                </w:rPr>
                <w:t>4.4</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EE"/>
                </w:rPr>
                <w:t>4.5</w:t>
              </w:r>
            </w:hyperlink>
            <w:r>
              <w:rPr>
                <w:rFonts w:ascii="Arial" w:cs="Arial" w:eastAsia="Arial" w:hAnsi="Arial"/>
                <w:sz w:val="18"/>
                <w:szCs w:val="18"/>
                <w:color w:val="auto"/>
              </w:rPr>
              <w:t xml:space="preserve">, and </w:t>
            </w:r>
            <w:hyperlink r:id="rId121">
              <w:r>
                <w:rPr>
                  <w:rFonts w:ascii="Arial" w:cs="Arial" w:eastAsia="Arial" w:hAnsi="Arial"/>
                  <w:sz w:val="18"/>
                  <w:szCs w:val="18"/>
                  <w:u w:val="single" w:color="auto"/>
                  <w:color w:val="0000EE"/>
                </w:rPr>
                <w:t>4.6</w:t>
              </w:r>
            </w:hyperlink>
            <w:r>
              <w:rPr>
                <w:rFonts w:ascii="Arial" w:cs="Arial" w:eastAsia="Arial" w:hAnsi="Arial"/>
                <w:sz w:val="18"/>
                <w:szCs w:val="18"/>
                <w:color w:val="auto"/>
              </w:rPr>
              <w:t>).</w:t>
            </w:r>
          </w:p>
        </w:tc>
      </w:tr>
      <w:tr>
        <w:trPr>
          <w:trHeight w:val="256"/>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10220" w:type="dxa"/>
            <w:vAlign w:val="bottom"/>
            <w:gridSpan w:val="28"/>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Amended and Restated Operating Agreement of Lazard Group LLC, dated as of February 4, 2019 (incorporated by reference to Exhibit 99.1</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to Registrant’s Current Report (File No. 001-32492) on Form 8-K filed on February 5, 2019).</w:t>
              </w:r>
            </w:hyperlink>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10.2</w:t>
            </w:r>
          </w:p>
        </w:tc>
        <w:tc>
          <w:tcPr>
            <w:tcW w:w="9940" w:type="dxa"/>
            <w:vAlign w:val="bottom"/>
            <w:tcBorders>
              <w:bottom w:val="single" w:sz="8" w:color="0000EE"/>
            </w:tcBorders>
            <w:gridSpan w:val="17"/>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Second Amended and Restated Tax Receivable Agreement, dated as of October 26, 2015, by and among Ltd Sub A, Ltd Sub B and LTBP</w:t>
              </w:r>
            </w:hyperlink>
          </w:p>
        </w:tc>
        <w:tc>
          <w:tcPr>
            <w:tcW w:w="28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Trust (incorporated by reference to Exhibit 10.2 to the Registrant’s Quarterly Report (File No. 001-32492) on Form 10-Q filed on October 28,</w:t>
              </w:r>
            </w:hyperlink>
          </w:p>
        </w:tc>
      </w:tr>
      <w:tr>
        <w:trPr>
          <w:trHeight w:val="196"/>
        </w:trPr>
        <w:tc>
          <w:tcPr>
            <w:tcW w:w="1020" w:type="dxa"/>
            <w:vAlign w:val="bottom"/>
          </w:tcPr>
          <w:p>
            <w:pPr>
              <w:spacing w:after="0"/>
              <w:rPr>
                <w:sz w:val="17"/>
                <w:szCs w:val="17"/>
                <w:color w:val="auto"/>
              </w:rPr>
            </w:pPr>
          </w:p>
        </w:tc>
        <w:tc>
          <w:tcPr>
            <w:tcW w:w="3340" w:type="dxa"/>
            <w:vAlign w:val="bottom"/>
            <w:gridSpan w:val="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2015).</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10.3</w:t>
            </w:r>
          </w:p>
        </w:tc>
        <w:tc>
          <w:tcPr>
            <w:tcW w:w="10140" w:type="dxa"/>
            <w:vAlign w:val="bottom"/>
            <w:tcBorders>
              <w:bottom w:val="single" w:sz="8" w:color="0000EE"/>
            </w:tcBorders>
            <w:gridSpan w:val="25"/>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Lease, dated as of January 27, 1994, by and between Rockefeller Center Properties and Lazard Frères &amp; Co. LLC (incorporated by reference</w:t>
              </w:r>
            </w:hyperlink>
          </w:p>
        </w:tc>
        <w:tc>
          <w:tcPr>
            <w:tcW w:w="80" w:type="dxa"/>
            <w:vAlign w:val="bottom"/>
            <w:gridSpan w:val="3"/>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to Exhibit 10.19 to the Registrant’s Registration Statement (File No. 333-121407) on Form S-1/A filed on February 11, 2005).</w:t>
              </w:r>
            </w:hyperlink>
          </w:p>
        </w:tc>
      </w:tr>
      <w:tr>
        <w:trPr>
          <w:trHeight w:val="256"/>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9480" w:type="dxa"/>
            <w:vAlign w:val="bottom"/>
            <w:tcBorders>
              <w:bottom w:val="single" w:sz="8" w:color="0000EE"/>
            </w:tcBorders>
            <w:gridSpan w:val="12"/>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Fourth Amendment dated as of February 16, 2011, by and among RCPI Landmark Properties, L.L.C. (as the successor in interest to</w:t>
              </w:r>
            </w:hyperlink>
          </w:p>
        </w:tc>
        <w:tc>
          <w:tcPr>
            <w:tcW w:w="740" w:type="dxa"/>
            <w:vAlign w:val="bottom"/>
            <w:gridSpan w:val="16"/>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Rockefeller Center Properties), RCPI 30 Rock 22234849, L.L.C. and Lazard Group LLC (as the successor in interest to Lazard Frères &amp; Co.</w:t>
              </w:r>
            </w:hyperlink>
          </w:p>
        </w:tc>
      </w:tr>
      <w:tr>
        <w:trPr>
          <w:trHeight w:val="20"/>
        </w:trPr>
        <w:tc>
          <w:tcPr>
            <w:tcW w:w="10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300" w:type="dxa"/>
            <w:vAlign w:val="bottom"/>
            <w:gridSpan w:val="9"/>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LLC), to the Lease dated as of January 27, 1994, by and among Rockefeller Center Properties and Lazard Frères &amp; Co. LLC (incorporated by</w:t>
              </w:r>
            </w:hyperlink>
          </w:p>
        </w:tc>
      </w:tr>
      <w:tr>
        <w:trPr>
          <w:trHeight w:val="237"/>
        </w:trPr>
        <w:tc>
          <w:tcPr>
            <w:tcW w:w="1020" w:type="dxa"/>
            <w:vAlign w:val="bottom"/>
          </w:tcPr>
          <w:p>
            <w:pPr>
              <w:spacing w:after="0"/>
              <w:rPr>
                <w:sz w:val="20"/>
                <w:szCs w:val="20"/>
                <w:color w:val="auto"/>
              </w:rPr>
            </w:pPr>
          </w:p>
        </w:tc>
        <w:tc>
          <w:tcPr>
            <w:tcW w:w="10200" w:type="dxa"/>
            <w:vAlign w:val="bottom"/>
            <w:tcBorders>
              <w:top w:val="single" w:sz="8" w:color="0000EE"/>
            </w:tcBorders>
            <w:gridSpan w:val="27"/>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reference to Exhibit 10.16 to the Registrant’s Quarterly Report (File No. 001-32492) on Form 10-Q filed on April 29, 2011).</w:t>
              </w:r>
            </w:hyperlink>
          </w:p>
        </w:tc>
        <w:tc>
          <w:tcPr>
            <w:tcW w:w="20" w:type="dxa"/>
            <w:vAlign w:val="bottom"/>
          </w:tcPr>
          <w:p>
            <w:pPr>
              <w:spacing w:after="0"/>
              <w:rPr>
                <w:sz w:val="20"/>
                <w:szCs w:val="20"/>
                <w:color w:val="auto"/>
              </w:rPr>
            </w:pPr>
          </w:p>
        </w:tc>
      </w:tr>
      <w:tr>
        <w:trPr>
          <w:trHeight w:val="256"/>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EE"/>
            </w:tcBorders>
            <w:gridSpan w:val="22"/>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Lazard Ltd 2005 Equity Incentive Plan (incorporated by reference to Exhibit 10.21 to the Registrant’s Registration Statement (File No. 333-</w:t>
              </w:r>
            </w:hyperlink>
          </w:p>
        </w:tc>
        <w:tc>
          <w:tcPr>
            <w:tcW w:w="140" w:type="dxa"/>
            <w:vAlign w:val="bottom"/>
            <w:gridSpan w:val="6"/>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34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121407) on Form S-1/A filed on May 2, 2005).</w:t>
              </w:r>
            </w:hyperlink>
          </w:p>
        </w:tc>
        <w:tc>
          <w:tcPr>
            <w:tcW w:w="6820" w:type="dxa"/>
            <w:vAlign w:val="bottom"/>
            <w:gridSpan w:val="25"/>
          </w:tcPr>
          <w:p>
            <w:pPr>
              <w:spacing w:after="0"/>
              <w:rPr>
                <w:sz w:val="17"/>
                <w:szCs w:val="17"/>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10.6*</w:t>
            </w:r>
          </w:p>
        </w:tc>
        <w:tc>
          <w:tcPr>
            <w:tcW w:w="10220" w:type="dxa"/>
            <w:vAlign w:val="bottom"/>
            <w:gridSpan w:val="28"/>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Lazard Ltd 2008 Incentive Compensation Plan (incorporated by reference to Annex B to the Registrant’s Definitive Proxy Statement on</w:t>
              </w:r>
            </w:hyperlink>
          </w:p>
        </w:tc>
      </w:tr>
      <w:tr>
        <w:trPr>
          <w:trHeight w:val="196"/>
        </w:trPr>
        <w:tc>
          <w:tcPr>
            <w:tcW w:w="1020" w:type="dxa"/>
            <w:vAlign w:val="bottom"/>
          </w:tcPr>
          <w:p>
            <w:pPr>
              <w:spacing w:after="0"/>
              <w:rPr>
                <w:sz w:val="17"/>
                <w:szCs w:val="17"/>
                <w:color w:val="auto"/>
              </w:rPr>
            </w:pPr>
          </w:p>
        </w:tc>
        <w:tc>
          <w:tcPr>
            <w:tcW w:w="9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Schedule 14A (File No. 001-32492) filed on March 24, 2008).</w:t>
              </w:r>
            </w:hyperlink>
          </w:p>
        </w:tc>
        <w:tc>
          <w:tcPr>
            <w:tcW w:w="44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10.7*</w:t>
            </w:r>
          </w:p>
        </w:tc>
        <w:tc>
          <w:tcPr>
            <w:tcW w:w="9920" w:type="dxa"/>
            <w:vAlign w:val="bottom"/>
            <w:tcBorders>
              <w:bottom w:val="single" w:sz="8" w:color="0000EE"/>
            </w:tcBorders>
            <w:gridSpan w:val="16"/>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Lazard Ltd 2016 French Sub-plan (incorporated by reference to Annex B to the Registrant’s Definitive Proxy Statement on Schedule 14A</w:t>
              </w:r>
            </w:hyperlink>
          </w:p>
        </w:tc>
        <w:tc>
          <w:tcPr>
            <w:tcW w:w="30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(File No. 001-32492) filed on March 10, 2016).</w:t>
              </w:r>
            </w:hyperlink>
          </w:p>
        </w:tc>
      </w:tr>
      <w:tr>
        <w:trPr>
          <w:trHeight w:val="534"/>
        </w:trPr>
        <w:tc>
          <w:tcPr>
            <w:tcW w:w="1020" w:type="dxa"/>
            <w:vAlign w:val="bottom"/>
          </w:tcPr>
          <w:p>
            <w:pPr>
              <w:spacing w:after="0"/>
              <w:rPr>
                <w:sz w:val="24"/>
                <w:szCs w:val="24"/>
                <w:color w:val="auto"/>
              </w:rPr>
            </w:pPr>
          </w:p>
        </w:tc>
        <w:tc>
          <w:tcPr>
            <w:tcW w:w="3420" w:type="dxa"/>
            <w:vAlign w:val="bottom"/>
            <w:tcBorders>
              <w:top w:val="single" w:sz="8" w:color="0000EE"/>
            </w:tcBorders>
            <w:gridSpan w:val="4"/>
          </w:tcPr>
          <w:p>
            <w:pPr>
              <w:spacing w:after="0"/>
              <w:rPr>
                <w:sz w:val="24"/>
                <w:szCs w:val="2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left="920" w:right="42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1">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jc w:val="both"/>
        <w:ind w:left="920" w:right="42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2">
        <w:r>
          <w:rPr>
            <w:rFonts w:ascii="Arial" w:cs="Arial" w:eastAsia="Arial" w:hAnsi="Arial"/>
            <w:sz w:val="18"/>
            <w:szCs w:val="18"/>
            <w:u w:val="single" w:color="auto"/>
            <w:color w:val="0000EE"/>
          </w:rPr>
          <w:t>Amended and Restated Agreement relating to Retention and Noncompetition and Other Covenants, dated as of March 29, 2019, by and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among the Registrant, Lazard Group LLC and Kenneth M. Jacobs (incorporated by reference to Exhibit 10.1 to the Registrant’s Current</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Report on Form 8-K (File No. 001-32492) filed on April 3, 2019).</w:t>
        </w:r>
      </w:hyperlink>
    </w:p>
    <w:p>
      <w:pPr>
        <w:spacing w:after="0" w:line="49" w:lineRule="exact"/>
        <w:rPr>
          <w:rFonts w:ascii="Arial" w:cs="Arial" w:eastAsia="Arial" w:hAnsi="Arial"/>
          <w:sz w:val="18"/>
          <w:szCs w:val="18"/>
          <w:u w:val="single" w:color="auto"/>
          <w:color w:val="0000EE"/>
        </w:rPr>
      </w:pPr>
    </w:p>
    <w:p>
      <w:pPr>
        <w:ind w:left="920" w:right="16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3">
        <w:r>
          <w:rPr>
            <w:rFonts w:ascii="Arial" w:cs="Arial" w:eastAsia="Arial" w:hAnsi="Arial"/>
            <w:sz w:val="18"/>
            <w:szCs w:val="18"/>
            <w:u w:val="single" w:color="auto"/>
            <w:color w:val="0000EE"/>
          </w:rPr>
          <w:t>Amended and Restated Agreement relating to Retention and Noncompetition and Other Covenants, dated as of March 29, 2019, by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among the Registrant, Lazard Group LLC and Ashish Bhutani (incorporated by reference to Exhibit 10.3 to the Registrant’s Current Report</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on Form 8-K (File No. 001-32492) filed on April 3, 2019).</w:t>
        </w:r>
      </w:hyperlink>
    </w:p>
    <w:p>
      <w:pPr>
        <w:spacing w:after="0" w:line="49" w:lineRule="exact"/>
        <w:rPr>
          <w:rFonts w:ascii="Arial" w:cs="Arial" w:eastAsia="Arial" w:hAnsi="Arial"/>
          <w:sz w:val="18"/>
          <w:szCs w:val="18"/>
          <w:u w:val="single" w:color="auto"/>
          <w:color w:val="0000EE"/>
        </w:rPr>
      </w:pPr>
    </w:p>
    <w:p>
      <w:pPr>
        <w:ind w:left="92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4">
        <w:r>
          <w:rPr>
            <w:rFonts w:ascii="Arial" w:cs="Arial" w:eastAsia="Arial" w:hAnsi="Arial"/>
            <w:sz w:val="18"/>
            <w:szCs w:val="18"/>
            <w:u w:val="single" w:color="auto"/>
            <w:color w:val="0000EE"/>
          </w:rPr>
          <w:t>Amended and Restated Agreement relating to Retention and Noncompetition and Other Covenants, dated as of March 29, 2019, by and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among the Registrant, Lazard Group LLC and Scott D. Hoffman (incorporated by reference to Exhibit 10.4 to the Registrant’s Current Report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on Form 8-K (File No. 001-32492) filed on April 3, 2019).</w:t>
        </w:r>
      </w:hyperlink>
    </w:p>
    <w:p>
      <w:pPr>
        <w:spacing w:after="0" w:line="49" w:lineRule="exact"/>
        <w:rPr>
          <w:rFonts w:ascii="Arial" w:cs="Arial" w:eastAsia="Arial" w:hAnsi="Arial"/>
          <w:sz w:val="18"/>
          <w:szCs w:val="18"/>
          <w:u w:val="single" w:color="auto"/>
          <w:color w:val="0000EE"/>
        </w:rPr>
      </w:pPr>
    </w:p>
    <w:p>
      <w:pPr>
        <w:ind w:left="92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5">
        <w:r>
          <w:rPr>
            <w:rFonts w:ascii="Arial" w:cs="Arial" w:eastAsia="Arial" w:hAnsi="Arial"/>
            <w:sz w:val="18"/>
            <w:szCs w:val="18"/>
            <w:color w:val="auto"/>
          </w:rPr>
          <w:t xml:space="preserve">Amended and Restated </w:t>
        </w:r>
        <w:r>
          <w:rPr>
            <w:rFonts w:ascii="Arial" w:cs="Arial" w:eastAsia="Arial" w:hAnsi="Arial"/>
            <w:sz w:val="18"/>
            <w:szCs w:val="18"/>
            <w:u w:val="single" w:color="auto"/>
            <w:color w:val="0000EE"/>
          </w:rPr>
          <w:t>Agreement relating to Retention and Noncompetition and Other Covenants, dated as of March 29, 2019, by and</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among the Registrant, Lazard Group LLC and Evan L. Russo (incorporated by reference to Exhibit 10.2 to the Registrant’s Current Report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 8-K (File No. 001-324927) filed April 3, 2019).</w:t>
        </w:r>
      </w:hyperlink>
    </w:p>
    <w:p>
      <w:pPr>
        <w:spacing w:after="0" w:line="49" w:lineRule="exact"/>
        <w:rPr>
          <w:rFonts w:ascii="Arial" w:cs="Arial" w:eastAsia="Arial" w:hAnsi="Arial"/>
          <w:sz w:val="18"/>
          <w:szCs w:val="18"/>
          <w:color w:val="auto"/>
        </w:rPr>
      </w:pPr>
    </w:p>
    <w:p>
      <w:pPr>
        <w:jc w:val="both"/>
        <w:ind w:left="920" w:right="44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6">
        <w:r>
          <w:rPr>
            <w:rFonts w:ascii="Arial" w:cs="Arial" w:eastAsia="Arial" w:hAnsi="Arial"/>
            <w:sz w:val="18"/>
            <w:szCs w:val="18"/>
            <w:u w:val="single" w:color="auto"/>
            <w:color w:val="0000EE"/>
          </w:rPr>
          <w:t>Amended and Restated Agreement relating to Retention and Noncompetition and Other Covenants, dated as of March 29, 2019, by and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among the Registrant, Lazard Group LLC and Alexander F. Stern (incorporated by reference to Exhibit 10.5 to the Registrant’s Current</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Report on Form 8-K (File No. 001-32492) filed on April 3, 2019).</w:t>
        </w:r>
      </w:hyperlink>
    </w:p>
    <w:p>
      <w:pPr>
        <w:spacing w:after="0" w:line="49" w:lineRule="exact"/>
        <w:rPr>
          <w:rFonts w:ascii="Arial" w:cs="Arial" w:eastAsia="Arial" w:hAnsi="Arial"/>
          <w:sz w:val="18"/>
          <w:szCs w:val="18"/>
          <w:u w:val="single" w:color="auto"/>
          <w:color w:val="0000EE"/>
        </w:rPr>
      </w:pPr>
    </w:p>
    <w:p>
      <w:pPr>
        <w:ind w:left="920" w:right="2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7">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20" w:right="160" w:hanging="921"/>
        <w:spacing w:after="0" w:line="334"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8">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20" w:right="40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9">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20" w:right="20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0">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20" w:right="18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1">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No. 001-32492) on Form 10-Q filed on October 28, 2015).</w:t>
        </w:r>
      </w:hyperlink>
    </w:p>
    <w:p>
      <w:pPr>
        <w:spacing w:after="0" w:line="49" w:lineRule="exact"/>
        <w:rPr>
          <w:rFonts w:ascii="Arial" w:cs="Arial" w:eastAsia="Arial" w:hAnsi="Arial"/>
          <w:sz w:val="18"/>
          <w:szCs w:val="18"/>
          <w:u w:val="single" w:color="auto"/>
          <w:color w:val="0000EE"/>
        </w:rPr>
      </w:pPr>
    </w:p>
    <w:p>
      <w:pPr>
        <w:ind w:left="920" w:right="10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42">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20" w:right="200" w:hanging="921"/>
        <w:spacing w:after="0" w:line="334"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43">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20" w:right="240" w:hanging="921"/>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44">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(File No. 001-32492) on Form 10-Q filed on May 6, 2014).</w:t>
        </w:r>
      </w:hyperlink>
    </w:p>
    <w:p>
      <w:pPr>
        <w:spacing w:after="0" w:line="49" w:lineRule="exact"/>
        <w:rPr>
          <w:rFonts w:ascii="Arial" w:cs="Arial" w:eastAsia="Arial" w:hAnsi="Arial"/>
          <w:sz w:val="18"/>
          <w:szCs w:val="18"/>
          <w:u w:val="single" w:color="auto"/>
          <w:color w:val="0000EE"/>
        </w:rPr>
      </w:pPr>
    </w:p>
    <w:p>
      <w:pPr>
        <w:ind w:left="920" w:right="540" w:hanging="921"/>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145">
        <w:r>
          <w:rPr>
            <w:rFonts w:ascii="Arial" w:cs="Arial" w:eastAsia="Arial" w:hAnsi="Arial"/>
            <w:sz w:val="17"/>
            <w:szCs w:val="17"/>
            <w:u w:val="single" w:color="auto"/>
            <w:color w:val="0000EE"/>
          </w:rPr>
          <w:t>Form of Agreement evidencing a grant of Restricted Stock under the 2008 Incentive Compensation Plan (incorporated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10.55 to the Registrant’s Quarterly Report (File No. 001-32492) on Form 10-Q filed on April 30, 2010).</w:t>
        </w:r>
      </w:hyperlink>
    </w:p>
    <w:p>
      <w:pPr>
        <w:spacing w:after="0" w:line="11" w:lineRule="exact"/>
        <w:rPr>
          <w:sz w:val="20"/>
          <w:szCs w:val="20"/>
          <w:color w:val="auto"/>
        </w:rPr>
      </w:pPr>
    </w:p>
    <w:p>
      <w:pPr>
        <w:ind w:left="920" w:right="340" w:hanging="92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46">
        <w:r>
          <w:rPr>
            <w:rFonts w:ascii="Arial" w:cs="Arial" w:eastAsia="Arial" w:hAnsi="Arial"/>
            <w:sz w:val="18"/>
            <w:szCs w:val="18"/>
            <w:u w:val="single" w:color="auto"/>
            <w:color w:val="0000EE"/>
          </w:rPr>
          <w:t>Form of Agreement evidencing a grant of Lazard Fund Interests (incorporated by reference to Exhibit 10.55 to the Registrant’s Quarterly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Report (File No. 001-32492) on Form 10-Q filed on April 29, 2011).</w:t>
        </w:r>
      </w:hyperlink>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341"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Arial" w:cs="Arial" w:eastAsia="Arial" w:hAnsi="Arial"/>
                <w:sz w:val="18"/>
                <w:szCs w:val="18"/>
                <w:color w:val="auto"/>
              </w:rPr>
              <w:t>10.24*</w:t>
            </w:r>
          </w:p>
        </w:tc>
        <w:tc>
          <w:tcPr>
            <w:tcW w:w="10200" w:type="dxa"/>
            <w:vAlign w:val="bottom"/>
            <w:gridSpan w:val="2"/>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Form of Agreement for Performance-Based Profits Interest Participation Right Units under the 2018 Incentive Compensation Plan</w:t>
              </w:r>
            </w:hyperlink>
          </w:p>
        </w:tc>
      </w:tr>
      <w:tr>
        <w:trPr>
          <w:trHeight w:val="20"/>
        </w:trPr>
        <w:tc>
          <w:tcPr>
            <w:tcW w:w="1020" w:type="dxa"/>
            <w:vAlign w:val="bottom"/>
          </w:tcPr>
          <w:p>
            <w:pPr>
              <w:spacing w:after="0" w:line="20" w:lineRule="exact"/>
              <w:rPr>
                <w:sz w:val="1"/>
                <w:szCs w:val="1"/>
                <w:color w:val="auto"/>
              </w:rPr>
            </w:pPr>
          </w:p>
        </w:tc>
        <w:tc>
          <w:tcPr>
            <w:tcW w:w="9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200" w:type="dxa"/>
            <w:vAlign w:val="bottom"/>
            <w:gridSpan w:val="2"/>
          </w:tcPr>
          <w:p>
            <w:pPr>
              <w:spacing w:after="0"/>
              <w:rPr>
                <w:rFonts w:ascii="Arial" w:cs="Arial" w:eastAsia="Arial" w:hAnsi="Arial"/>
                <w:sz w:val="18"/>
                <w:szCs w:val="18"/>
                <w:color w:val="0000EE"/>
                <w:w w:val="92"/>
              </w:rPr>
            </w:pPr>
            <w:hyperlink r:id="rId148">
              <w:r>
                <w:rPr>
                  <w:rFonts w:ascii="Arial" w:cs="Arial" w:eastAsia="Arial" w:hAnsi="Arial"/>
                  <w:sz w:val="18"/>
                  <w:szCs w:val="18"/>
                  <w:u w:val="single" w:color="auto"/>
                  <w:color w:val="0000EE"/>
                  <w:w w:val="92"/>
                </w:rPr>
                <w:t>(incorporated by reference to Exhibit 10.24 to the Registrant’s Quarterly Report (File No. 001-32492) on Form 10-Q filed on April 30, 2019)</w:t>
              </w:r>
              <w:r>
                <w:rPr>
                  <w:rFonts w:ascii="Arial" w:cs="Arial" w:eastAsia="Arial" w:hAnsi="Arial"/>
                  <w:sz w:val="18"/>
                  <w:szCs w:val="18"/>
                  <w:color w:val="0000EE"/>
                  <w:w w:val="92"/>
                </w:rPr>
                <w:t>.</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00" w:type="dxa"/>
            <w:vAlign w:val="bottom"/>
            <w:gridSpan w:val="2"/>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Rule 13a-14(a) Certification of Kenneth M. Jacobs.</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00" w:type="dxa"/>
            <w:vAlign w:val="bottom"/>
            <w:gridSpan w:val="2"/>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Rule 13a-14(a) Certification of Evan L. Russo.</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0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Section 1350 Certification for Kenneth M. Jacobs.</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Section 1350 Certification for Evan L. Russo.</w:t>
              </w:r>
            </w:hyperlink>
          </w:p>
        </w:tc>
      </w:tr>
      <w:tr>
        <w:trPr>
          <w:trHeight w:val="28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iXBRL tags are embedded</w:t>
            </w:r>
          </w:p>
        </w:tc>
      </w:tr>
      <w:tr>
        <w:trPr>
          <w:trHeight w:val="230"/>
        </w:trPr>
        <w:tc>
          <w:tcPr>
            <w:tcW w:w="10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67" w:lineRule="exact"/>
        <w:rPr>
          <w:sz w:val="20"/>
          <w:szCs w:val="20"/>
          <w:color w:val="auto"/>
        </w:rPr>
      </w:pPr>
    </w:p>
    <w:p>
      <w:pPr>
        <w:ind w:right="3680" w:firstLine="8"/>
        <w:spacing w:after="0" w:line="449" w:lineRule="auto"/>
        <w:tabs>
          <w:tab w:leader="none" w:pos="10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191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undersigned thereunto duly authorized.</w:t>
            </w:r>
          </w:p>
        </w:tc>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6420" w:type="dxa"/>
            <w:vAlign w:val="bottom"/>
          </w:tcPr>
          <w:p>
            <w:pPr>
              <w:spacing w:after="0"/>
              <w:rPr>
                <w:sz w:val="20"/>
                <w:szCs w:val="20"/>
                <w:color w:val="auto"/>
              </w:rPr>
            </w:pPr>
            <w:r>
              <w:rPr>
                <w:rFonts w:ascii="Arial" w:cs="Arial" w:eastAsia="Arial" w:hAnsi="Arial"/>
                <w:sz w:val="18"/>
                <w:szCs w:val="18"/>
                <w:color w:val="auto"/>
              </w:rPr>
              <w:t>Dated: May 4, 2020</w:t>
            </w:r>
          </w:p>
        </w:tc>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760" w:type="dxa"/>
            <w:vAlign w:val="bottom"/>
            <w:gridSpan w:val="2"/>
          </w:tcPr>
          <w:p>
            <w:pPr>
              <w:ind w:left="5640"/>
              <w:spacing w:after="0"/>
              <w:rPr>
                <w:sz w:val="20"/>
                <w:szCs w:val="20"/>
                <w:color w:val="auto"/>
              </w:rPr>
            </w:pPr>
            <w:r>
              <w:rPr>
                <w:rFonts w:ascii="Arial" w:cs="Arial" w:eastAsia="Arial" w:hAnsi="Arial"/>
                <w:sz w:val="18"/>
                <w:szCs w:val="18"/>
                <w:color w:val="auto"/>
                <w:w w:val="99"/>
              </w:rPr>
              <w:t>LAZARD LTD</w:t>
            </w:r>
          </w:p>
        </w:tc>
        <w:tc>
          <w:tcPr>
            <w:tcW w:w="4480" w:type="dxa"/>
            <w:vAlign w:val="bottom"/>
          </w:tcPr>
          <w:p>
            <w:pPr>
              <w:spacing w:after="0"/>
              <w:rPr>
                <w:sz w:val="24"/>
                <w:szCs w:val="24"/>
                <w:color w:val="auto"/>
              </w:rPr>
            </w:pP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Evan L. Russo</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Dominick Ragone</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8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Lazard Ltd (the “Registrant”);</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firstLine="483"/>
        <w:spacing w:after="0" w:line="263" w:lineRule="auto"/>
        <w:tabs>
          <w:tab w:leader="none" w:pos="12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483"/>
        <w:spacing w:after="0" w:line="342" w:lineRule="auto"/>
        <w:tabs>
          <w:tab w:leader="none" w:pos="125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140" w:firstLine="483"/>
        <w:spacing w:after="0" w:line="263"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500" w:firstLine="483"/>
        <w:spacing w:after="0" w:line="308" w:lineRule="auto"/>
        <w:tabs>
          <w:tab w:leader="none" w:pos="1251"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483"/>
        <w:spacing w:after="0" w:line="277"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82"/>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Lazard Ltd (the “Registrant”);</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firstLine="483"/>
        <w:spacing w:after="0" w:line="263" w:lineRule="auto"/>
        <w:tabs>
          <w:tab w:leader="none" w:pos="12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483"/>
        <w:spacing w:after="0" w:line="342" w:lineRule="auto"/>
        <w:tabs>
          <w:tab w:leader="none" w:pos="125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140" w:firstLine="483"/>
        <w:spacing w:after="0" w:line="263" w:lineRule="auto"/>
        <w:tabs>
          <w:tab w:leader="none" w:pos="12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500" w:firstLine="483"/>
        <w:spacing w:after="0" w:line="308" w:lineRule="auto"/>
        <w:tabs>
          <w:tab w:leader="none" w:pos="1251"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483"/>
        <w:spacing w:after="0" w:line="277" w:lineRule="auto"/>
        <w:tabs>
          <w:tab w:leader="none" w:pos="12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2"/>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decimal"/>
      <w:start w:val="5"/>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decimal"/>
      <w:start w:val="6"/>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decimal"/>
      <w:start w:val="7"/>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decimal"/>
      <w:start w:val="8"/>
    </w:lvl>
  </w:abstractNum>
  <w:abstractNum w:abstractNumId="18">
    <w:nsid w:val="153EA438"/>
    <w:multiLevelType w:val="hybridMultilevel"/>
    <w:lvl w:ilvl="0">
      <w:lvlJc w:val="left"/>
      <w:lvlText w:val="%1."/>
      <w:numFmt w:val="decimal"/>
      <w:start w:val="9"/>
    </w:lvl>
  </w:abstractNum>
  <w:abstractNum w:abstractNumId="19">
    <w:nsid w:val="3855585C"/>
    <w:multiLevelType w:val="hybridMultilevel"/>
    <w:lvl w:ilvl="0">
      <w:lvlJc w:val="left"/>
      <w:lvlText w:val="%1."/>
      <w:numFmt w:val="decimal"/>
      <w:start w:val="10"/>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decimal"/>
      <w:start w:val="11"/>
    </w:lvl>
  </w:abstractNum>
  <w:abstractNum w:abstractNumId="22">
    <w:nsid w:val="2A487CB0"/>
    <w:multiLevelType w:val="hybridMultilevel"/>
    <w:lvl w:ilvl="0">
      <w:lvlJc w:val="left"/>
      <w:lvlText w:val="%1."/>
      <w:numFmt w:val="decimal"/>
      <w:start w:val="12"/>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decimal"/>
      <w:start w:val="13"/>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decimal"/>
      <w:start w:val="14"/>
    </w:lvl>
  </w:abstractNum>
  <w:abstractNum w:abstractNumId="27">
    <w:nsid w:val="7A6D8D3C"/>
    <w:multiLevelType w:val="hybridMultilevel"/>
    <w:lvl w:ilvl="0">
      <w:lvlJc w:val="left"/>
      <w:lvlText w:val="%1."/>
      <w:numFmt w:val="decimal"/>
      <w:start w:val="15"/>
    </w:lvl>
  </w:abstractNum>
  <w:abstractNum w:abstractNumId="28">
    <w:nsid w:val="4B588F54"/>
    <w:multiLevelType w:val="hybridMultilevel"/>
    <w:lvl w:ilvl="0">
      <w:lvlJc w:val="left"/>
      <w:lvlText w:val="%1."/>
      <w:numFmt w:val="decimal"/>
      <w:start w:val="16"/>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decimal"/>
      <w:start w:val="17"/>
    </w:lvl>
  </w:abstractNum>
  <w:abstractNum w:abstractNumId="31">
    <w:nsid w:val="38437FDB"/>
    <w:multiLevelType w:val="hybridMultilevel"/>
    <w:lvl w:ilvl="0">
      <w:lvlJc w:val="left"/>
      <w:lvlText w:val="%1."/>
      <w:numFmt w:val="decimal"/>
      <w:start w:val="18"/>
    </w:lvl>
  </w:abstractNum>
  <w:abstractNum w:abstractNumId="32">
    <w:nsid w:val="7644A45C"/>
    <w:multiLevelType w:val="hybridMultilevel"/>
    <w:lvl w:ilvl="0">
      <w:lvlJc w:val="left"/>
      <w:lvlText w:val="(%1)"/>
      <w:numFmt w:val="lowerRoman"/>
      <w:start w:val="1"/>
    </w:lvl>
  </w:abstractNum>
  <w:abstractNum w:abstractNumId="33">
    <w:nsid w:val="32FFF902"/>
    <w:multiLevelType w:val="hybridMultilevel"/>
    <w:lvl w:ilvl="0">
      <w:lvlJc w:val="left"/>
      <w:lvlText w:val="%1."/>
      <w:numFmt w:val="decimal"/>
      <w:start w:val="19"/>
    </w:lvl>
  </w:abstractNum>
  <w:abstractNum w:abstractNumId="34">
    <w:nsid w:val="684A481A"/>
    <w:multiLevelType w:val="hybridMultilevel"/>
    <w:lvl w:ilvl="0">
      <w:lvlJc w:val="left"/>
      <w:lvlText w:val="%1."/>
      <w:numFmt w:val="decimal"/>
      <w:start w:val="20"/>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2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decimal"/>
      <w:start w:val="22"/>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lvl w:ilvl="1">
      <w:lvlJc w:val="left"/>
      <w:lvlText w:val="(%2)"/>
      <w:numFmt w:val="lowerRoman"/>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1"/>
    </w:lvl>
    <w:lvl w:ilvl="1">
      <w:lvlJc w:val="left"/>
      <w:lvlText w:val="(%2)"/>
      <w:numFmt w:val="lowerLetter"/>
      <w:start w:val="2"/>
    </w:lvl>
  </w:abstractNum>
  <w:abstractNum w:abstractNumId="47">
    <w:nsid w:val="649BB77C"/>
    <w:multiLevelType w:val="hybridMultilevel"/>
    <w:lvl w:ilvl="0">
      <w:lvlJc w:val="left"/>
      <w:lvlText w:val="%1"/>
      <w:numFmt w:val="lowerLetter"/>
      <w:start w:val="1"/>
    </w:lvl>
    <w:lvl w:ilvl="1">
      <w:lvlJc w:val="left"/>
      <w:lvlText w:val="(%2)"/>
      <w:numFmt w:val="lowerLetter"/>
      <w:start w:val="1"/>
    </w:lvl>
  </w:abstractNum>
  <w:abstractNum w:abstractNumId="48">
    <w:nsid w:val="275AC794"/>
    <w:multiLevelType w:val="hybridMultilevel"/>
    <w:lvl w:ilvl="0">
      <w:lvlJc w:val="left"/>
      <w:lvlText w:val="(%1)"/>
      <w:numFmt w:val="lowerLetter"/>
      <w:start w:val="3"/>
    </w:lvl>
    <w:lvl w:ilvl="1">
      <w:lvlJc w:val="left"/>
      <w:lvlText w:val="%2"/>
      <w:numFmt w:val="lowerLetter"/>
      <w:start w:val="1"/>
    </w:lvl>
  </w:abstractNum>
  <w:abstractNum w:abstractNumId="49">
    <w:nsid w:val="39386575"/>
    <w:multiLevelType w:val="hybridMultilevel"/>
    <w:lvl w:ilvl="0">
      <w:lvlJc w:val="left"/>
      <w:lvlText w:val="(%1)"/>
      <w:numFmt w:val="lowerRoman"/>
      <w:start w:val="2"/>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lowerLetter"/>
      <w:start w:val="2"/>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2"/>
    </w:lvl>
  </w:abstractNum>
  <w:abstractNum w:abstractNumId="60">
    <w:nsid w:val="61574095"/>
    <w:multiLevelType w:val="hybridMultilevel"/>
    <w:lvl w:ilvl="0">
      <w:lvlJc w:val="left"/>
      <w:lvlText w:val="%1"/>
      <w:numFmt w:val="decimal"/>
      <w:start w:val="104"/>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47"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11" Type="http://schemas.openxmlformats.org/officeDocument/2006/relationships/hyperlink" Target="http://www.sec.gov/Archives/edgar/data/1311370/000119312505056426/dex31.htm" TargetMode="External"/><Relationship Id="rId112" Type="http://schemas.openxmlformats.org/officeDocument/2006/relationships/hyperlink" Target="http://www.sec.gov/Archives/edgar/data/1311370/000119312505056426/dex32.htm" TargetMode="External"/><Relationship Id="rId113" Type="http://schemas.openxmlformats.org/officeDocument/2006/relationships/hyperlink" Target="http://www.sec.gov/Archives/edgar/data/1311370/000119312505126336/dex33.htm" TargetMode="External"/><Relationship Id="rId114" Type="http://schemas.openxmlformats.org/officeDocument/2006/relationships/hyperlink" Target="http://www.sec.gov/Archives/edgar/data/1311370/000119312508108332/dex34.htm" TargetMode="External"/><Relationship Id="rId115" Type="http://schemas.openxmlformats.org/officeDocument/2006/relationships/hyperlink" Target="http://www.sec.gov/Archives/edgar/data/1311370/000119312510102269/dex35.htm" TargetMode="External"/><Relationship Id="rId116" Type="http://schemas.openxmlformats.org/officeDocument/2006/relationships/hyperlink" Target="http://www.sec.gov/Archives/edgar/data/1311370/000119312505073325/dex41.htm" TargetMode="External"/><Relationship Id="rId117" Type="http://schemas.openxmlformats.org/officeDocument/2006/relationships/hyperlink" Target="http://www.sec.gov/Archives/edgar/data/1326141/000119312505145683/dex41.htm" TargetMode="External"/><Relationship Id="rId118" Type="http://schemas.openxmlformats.org/officeDocument/2006/relationships/hyperlink" Target="http://www.sec.gov/Archives/edgar/data/1311370/000119312515050385/d871111dex41.htm" TargetMode="External"/><Relationship Id="rId119" Type="http://schemas.openxmlformats.org/officeDocument/2006/relationships/hyperlink" Target="http://www.sec.gov/Archives/edgar/data/1311370/000119312516760477/d43064dex41.htm" TargetMode="External"/><Relationship Id="rId120" Type="http://schemas.openxmlformats.org/officeDocument/2006/relationships/hyperlink" Target="http://www.sec.gov/Archives/edgar/data/1311370/000119312518277695/d614135dex41.htm" TargetMode="External"/><Relationship Id="rId121" Type="http://schemas.openxmlformats.org/officeDocument/2006/relationships/hyperlink" Target="http://www.sec.gov/Archives/edgar/data/1311370/000095015719000259/ex4-1.htm" TargetMode="External"/><Relationship Id="rId122" Type="http://schemas.openxmlformats.org/officeDocument/2006/relationships/hyperlink" Target="http://www.sec.gov/Archives/edgar/data/1311370/000119312519027570/d671906dex991.htm" TargetMode="External"/><Relationship Id="rId123" Type="http://schemas.openxmlformats.org/officeDocument/2006/relationships/hyperlink" Target="http://www.sec.gov/Archives/edgar/data/1311370/000119312515355042/d41332dex102.htm" TargetMode="External"/><Relationship Id="rId124" Type="http://schemas.openxmlformats.org/officeDocument/2006/relationships/hyperlink" Target="http://www.sec.gov/Archives/edgar/data/1311370/000119312505025486/dex1019.htm" TargetMode="External"/><Relationship Id="rId125" Type="http://schemas.openxmlformats.org/officeDocument/2006/relationships/hyperlink" Target="http://www.sec.gov/Archives/edgar/data/1311370/000119312511117012/dex1016.htm" TargetMode="External"/><Relationship Id="rId126" Type="http://schemas.openxmlformats.org/officeDocument/2006/relationships/hyperlink" Target="http://www.sec.gov/Archives/edgar/data/1311370/000119312505091140/dex1021.htm" TargetMode="External"/><Relationship Id="rId127" Type="http://schemas.openxmlformats.org/officeDocument/2006/relationships/hyperlink" Target="http://www.sec.gov/Archives/edgar/data/1311370/000119312508063107/ddef14a.htm" TargetMode="External"/><Relationship Id="rId128" Type="http://schemas.openxmlformats.org/officeDocument/2006/relationships/hyperlink" Target="http://www.sec.gov/Archives/edgar/data/1311370/000119312516500308/d128121ddef14a.htm" TargetMode="External"/><Relationship Id="rId131" Type="http://schemas.openxmlformats.org/officeDocument/2006/relationships/hyperlink" Target="http://www.sec.gov/Archives/edgar/data/1311370/000119312518082725/d525181ddef14a.htm" TargetMode="External"/><Relationship Id="rId132" Type="http://schemas.openxmlformats.org/officeDocument/2006/relationships/hyperlink" Target="http://www.sec.gov/Archives/edgar/data/1311370/000119312519096097/d642761dex101.htm" TargetMode="External"/><Relationship Id="rId133" Type="http://schemas.openxmlformats.org/officeDocument/2006/relationships/hyperlink" Target="http://www.sec.gov/Archives/edgar/data/1311370/000119312519096097/d642761dex103.htm" TargetMode="External"/><Relationship Id="rId134" Type="http://schemas.openxmlformats.org/officeDocument/2006/relationships/hyperlink" Target="http://www.sec.gov/Archives/edgar/data/1311370/000119312519096097/d642761dex104.htm" TargetMode="External"/><Relationship Id="rId135" Type="http://schemas.openxmlformats.org/officeDocument/2006/relationships/hyperlink" Target="http://www.sec.gov/Archives/edgar/data/1311370/000119312519096097/d642761dex102.htm" TargetMode="External"/><Relationship Id="rId136" Type="http://schemas.openxmlformats.org/officeDocument/2006/relationships/hyperlink" Target="http://www.sec.gov/Archives/edgar/data/1311370/000119312519096097/d642761dex105.htm" TargetMode="External"/><Relationship Id="rId137" Type="http://schemas.openxmlformats.org/officeDocument/2006/relationships/hyperlink" Target="http://www.sec.gov/Archives/edgar/data/1311370/000089882205001180/sept9_exhibit.txt" TargetMode="External"/><Relationship Id="rId138" Type="http://schemas.openxmlformats.org/officeDocument/2006/relationships/hyperlink" Target="http://www.sec.gov/Archives/edgar/data/1311370/000119312509041325/dex1041.htm" TargetMode="External"/><Relationship Id="rId139" Type="http://schemas.openxmlformats.org/officeDocument/2006/relationships/hyperlink" Target="http://www.sec.gov/Archives/edgar/data/1311370/000119312509041325/dex1042.htm" TargetMode="External"/><Relationship Id="rId140" Type="http://schemas.openxmlformats.org/officeDocument/2006/relationships/hyperlink" Target="http://www.sec.gov/Archives/edgar/data/1311370/000119312506109044/dex1039.htm" TargetMode="External"/><Relationship Id="rId141" Type="http://schemas.openxmlformats.org/officeDocument/2006/relationships/hyperlink" Target="http://www.sec.gov/Archives/edgar/data/1311370/000119312515355042/d41332dex1027.htm" TargetMode="External"/><Relationship Id="rId142" Type="http://schemas.openxmlformats.org/officeDocument/2006/relationships/hyperlink" Target="http://www.sec.gov/Archives/edgar/data/1311370/000119312513188120/d498095dex1055.htm" TargetMode="External"/><Relationship Id="rId143" Type="http://schemas.openxmlformats.org/officeDocument/2006/relationships/hyperlink" Target="http://www.sec.gov/Archives/edgar/data/1311370/000119312514184963/d687179dex1055.htm" TargetMode="External"/><Relationship Id="rId144" Type="http://schemas.openxmlformats.org/officeDocument/2006/relationships/hyperlink" Target="http://www.sec.gov/Archives/edgar/data/1311370/000119312514184963/d687179dex1056.htm" TargetMode="External"/><Relationship Id="rId145" Type="http://schemas.openxmlformats.org/officeDocument/2006/relationships/hyperlink" Target="http://www.sec.gov/Archives/edgar/data/1311370/000119312510102269/dex1055.htm" TargetMode="External"/><Relationship Id="rId146" Type="http://schemas.openxmlformats.org/officeDocument/2006/relationships/hyperlink" Target="http://www.sec.gov/Archives/edgar/data/1311370/000119312511117012/dex1055.htm" TargetMode="External"/><Relationship Id="rId148" Type="http://schemas.openxmlformats.org/officeDocument/2006/relationships/hyperlink" Target="http://www.sec.gov/Archives/edgar/data/1311370/000156459019013924/laz-ex1024_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2020-05-04T16:15:20Z</dcterms:created>
  <dcterms:modified xsi:type="dcterms:W3CDTF">2020-05-04T16:15:20Z</dcterms:modified>
</cp:coreProperties>
</file>