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22"/>
        </w:trPr>
        <w:tc>
          <w:tcPr>
            <w:tcW w:w="2380" w:type="dxa"/>
            <w:vAlign w:val="bottom"/>
          </w:tcPr>
          <w:p>
            <w:pPr>
              <w:jc w:val="right"/>
              <w:ind w:right="56"/>
              <w:spacing w:after="0"/>
              <w:rPr>
                <w:sz w:val="20"/>
                <w:szCs w:val="20"/>
                <w:color w:val="auto"/>
              </w:rPr>
            </w:pPr>
            <w:r>
              <w:rPr>
                <w:rFonts w:ascii="Arial" w:cs="Arial" w:eastAsia="Arial" w:hAnsi="Arial"/>
                <w:sz w:val="18"/>
                <w:szCs w:val="18"/>
                <w:b w:val="1"/>
                <w:bCs w:val="1"/>
                <w:color w:val="auto"/>
              </w:rPr>
              <w:t>001-32492</w:t>
            </w: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6"/>
        </w:trPr>
        <w:tc>
          <w:tcPr>
            <w:tcW w:w="292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auto"/>
                <w:w w:val="93"/>
              </w:rPr>
              <w:t>(Commission File Number)</w:t>
            </w:r>
          </w:p>
        </w:tc>
        <w:tc>
          <w:tcPr>
            <w:tcW w:w="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-334645</wp:posOffset>
            </wp:positionV>
            <wp:extent cx="342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LAZARD LTD</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40"/>
          </w:cols>
          <w:pgMar w:left="240" w:top="571" w:right="319" w:bottom="1440" w:gutter="0" w:footer="0" w:header="0"/>
        </w:sectPr>
      </w:pPr>
    </w:p>
    <w:p>
      <w:pPr>
        <w:spacing w:after="0" w:line="2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Bermuda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98-0437848</w:t>
      </w:r>
    </w:p>
    <w:p>
      <w:pPr>
        <w:spacing w:after="0" w:line="50" w:lineRule="exact"/>
        <w:rPr>
          <w:sz w:val="24"/>
          <w:szCs w:val="24"/>
          <w:color w:val="auto"/>
        </w:rPr>
      </w:pPr>
    </w:p>
    <w:p>
      <w:pPr>
        <w:sectPr>
          <w:pgSz w:w="11900" w:h="16838" w:orient="portrait"/>
          <w:cols w:equalWidth="0" w:num="2">
            <w:col w:w="7480" w:space="720"/>
            <w:col w:w="3140"/>
          </w:cols>
          <w:pgMar w:left="240" w:top="571" w:right="319" w:bottom="1440" w:gutter="0" w:footer="0" w:header="0"/>
          <w:type w:val="continuous"/>
        </w:sectPr>
      </w:pPr>
    </w:p>
    <w:p>
      <w:pPr>
        <w:jc w:val="center"/>
        <w:ind w:right="110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49" w:lineRule="exact"/>
        <w:rPr>
          <w:sz w:val="24"/>
          <w:szCs w:val="24"/>
          <w:color w:val="auto"/>
        </w:rPr>
      </w:pPr>
    </w:p>
    <w:p>
      <w:pPr>
        <w:sectPr>
          <w:pgSz w:w="11900" w:h="16838" w:orient="portrait"/>
          <w:cols w:equalWidth="0" w:num="2">
            <w:col w:w="6820" w:space="720"/>
            <w:col w:w="3800"/>
          </w:cols>
          <w:pgMar w:left="240" w:top="571" w:right="31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 Church Street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Hamilton HM11, Bermuda</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340"/>
          </w:cols>
          <w:pgMar w:left="240" w:top="571" w:right="319" w:bottom="1440" w:gutter="0" w:footer="0" w:header="0"/>
          <w:type w:val="continuous"/>
        </w:sectPr>
      </w:pPr>
    </w:p>
    <w:p>
      <w:pPr>
        <w:spacing w:after="0" w:line="1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(441) 295-1422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20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8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1" w:lineRule="exact"/>
        <w:rPr>
          <w:sz w:val="24"/>
          <w:szCs w:val="24"/>
          <w:color w:val="auto"/>
        </w:rPr>
      </w:pPr>
    </w:p>
    <w:tbl>
      <w:tblPr>
        <w:tblLayout w:type="fixed"/>
        <w:tblInd w:w="580" w:type="dxa"/>
        <w:tblCellMar>
          <w:top w:w="0" w:type="dxa"/>
          <w:left w:w="0" w:type="dxa"/>
          <w:bottom w:w="0" w:type="dxa"/>
          <w:right w:w="0" w:type="dxa"/>
        </w:tblCellMar>
      </w:tblP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178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178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220" w:type="dxa"/>
            <w:vAlign w:val="bottom"/>
          </w:tcPr>
          <w:p>
            <w:pPr>
              <w:ind w:left="178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firstLine="518"/>
        <w:spacing w:after="0" w:line="214" w:lineRule="exact"/>
        <w:rPr>
          <w:sz w:val="20"/>
          <w:szCs w:val="20"/>
          <w:color w:val="auto"/>
        </w:rPr>
      </w:pPr>
      <w:r>
        <w:rPr>
          <w:rFonts w:ascii="Arial" w:cs="Arial" w:eastAsia="Arial" w:hAnsi="Arial"/>
          <w:sz w:val="16"/>
          <w:szCs w:val="16"/>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spacing w:after="0" w:line="184" w:lineRule="exact"/>
        <w:tabs>
          <w:tab w:leader="none" w:pos="7860" w:val="left"/>
          <w:tab w:leader="none" w:pos="84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57" w:lineRule="exact"/>
        <w:rPr>
          <w:sz w:val="24"/>
          <w:szCs w:val="24"/>
          <w:color w:val="auto"/>
        </w:rPr>
      </w:pPr>
    </w:p>
    <w:p>
      <w:pPr>
        <w:ind w:left="520"/>
        <w:spacing w:after="0"/>
        <w:rPr>
          <w:sz w:val="20"/>
          <w:szCs w:val="20"/>
          <w:color w:val="auto"/>
        </w:rPr>
      </w:pPr>
      <w:r>
        <w:rPr>
          <w:rFonts w:ascii="Arial" w:cs="Arial" w:eastAsia="Arial" w:hAnsi="Arial"/>
          <w:sz w:val="15"/>
          <w:szCs w:val="15"/>
          <w:color w:val="auto"/>
        </w:rPr>
        <w:t>As of April 20, 2018, there were 129,766,091 shares of the Registrant’s Class A common stock outstanding (including 10,308,410 shares held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827405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71"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March 31, 2018 of all of the common membership interests in Lazard Group and its controlling interest in Lazard Group.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5"/>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480" w:type="dxa"/>
            <w:vAlign w:val="bottom"/>
            <w:gridSpan w:val="9"/>
            <w:vMerge w:val="restart"/>
          </w:tcPr>
          <w:p>
            <w:pPr>
              <w:spacing w:after="0"/>
              <w:rPr>
                <w:sz w:val="14"/>
                <w:szCs w:val="14"/>
                <w:color w:val="auto"/>
              </w:rPr>
            </w:pPr>
          </w:p>
        </w:tc>
        <w:tc>
          <w:tcPr>
            <w:tcW w:w="6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480" w:type="dxa"/>
            <w:vAlign w:val="bottom"/>
            <w:gridSpan w:val="9"/>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Item 4. Controls and Procedures</w:t>
              </w:r>
            </w:hyperlink>
          </w:p>
        </w:tc>
        <w:tc>
          <w:tcPr>
            <w:tcW w:w="7960" w:type="dxa"/>
            <w:vAlign w:val="bottom"/>
            <w:gridSpan w:val="6"/>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Item 1. Legal Proceedings</w:t>
              </w:r>
            </w:hyperlink>
          </w:p>
        </w:tc>
        <w:tc>
          <w:tcPr>
            <w:tcW w:w="8400" w:type="dxa"/>
            <w:vAlign w:val="bottom"/>
            <w:gridSpan w:val="7"/>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Item 1A. Risk Factors</w:t>
              </w:r>
            </w:hyperlink>
          </w:p>
        </w:tc>
        <w:tc>
          <w:tcPr>
            <w:tcW w:w="8680" w:type="dxa"/>
            <w:vAlign w:val="bottom"/>
            <w:gridSpan w:val="10"/>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Item 2. Unregistered Sales of Equity Securities and Use of Proceeds</w:t>
              </w:r>
            </w:hyperlink>
          </w:p>
        </w:tc>
        <w:tc>
          <w:tcPr>
            <w:tcW w:w="5380" w:type="dxa"/>
            <w:vAlign w:val="bottom"/>
            <w:gridSpan w:val="3"/>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3. Defaults Upon Senior Securities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7420" w:type="dxa"/>
            <w:vAlign w:val="bottom"/>
            <w:gridSpan w:val="5"/>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Item 5. Other Information</w:t>
              </w:r>
            </w:hyperlink>
          </w:p>
        </w:tc>
        <w:tc>
          <w:tcPr>
            <w:tcW w:w="8420" w:type="dxa"/>
            <w:vAlign w:val="bottom"/>
            <w:gridSpan w:val="8"/>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6. Exhibits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14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Signatures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740" w:type="dxa"/>
            <w:vAlign w:val="bottom"/>
            <w:gridSpan w:val="6"/>
          </w:tcPr>
          <w:p>
            <w:pPr>
              <w:ind w:left="12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940" w:type="dxa"/>
            <w:vAlign w:val="bottom"/>
            <w:gridSpan w:val="7"/>
          </w:tcPr>
          <w:p>
            <w:pPr>
              <w:ind w:left="300"/>
              <w:spacing w:after="0"/>
              <w:rPr>
                <w:sz w:val="20"/>
                <w:szCs w:val="20"/>
                <w:color w:val="auto"/>
              </w:rPr>
            </w:pPr>
            <w:r>
              <w:rPr>
                <w:rFonts w:ascii="Arial" w:cs="Arial" w:eastAsia="Arial" w:hAnsi="Arial"/>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Page</w:t>
            </w:r>
          </w:p>
        </w:tc>
      </w:tr>
      <w:tr>
        <w:trPr>
          <w:trHeight w:val="291"/>
        </w:trPr>
        <w:tc>
          <w:tcPr>
            <w:tcW w:w="60" w:type="dxa"/>
            <w:vAlign w:val="bottom"/>
          </w:tcPr>
          <w:p>
            <w:pPr>
              <w:spacing w:after="0"/>
              <w:rPr>
                <w:sz w:val="24"/>
                <w:szCs w:val="24"/>
                <w:color w:val="auto"/>
              </w:rPr>
            </w:pPr>
          </w:p>
        </w:tc>
        <w:tc>
          <w:tcPr>
            <w:tcW w:w="76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Financial Condition as of March 31, 2018 and December 31, 2017</w:t>
              </w:r>
            </w:hyperlink>
          </w:p>
        </w:tc>
        <w:tc>
          <w:tcPr>
            <w:tcW w:w="3080" w:type="dxa"/>
            <w:vAlign w:val="bottom"/>
            <w:gridSpan w:val="5"/>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2</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 periods ended March 31, 2018 and 2017</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20"/>
        </w:trPr>
        <w:tc>
          <w:tcPr>
            <w:tcW w:w="6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89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 periods ended March 31, 2018 and 2017</w:t>
              </w:r>
            </w:hyperlink>
          </w:p>
        </w:tc>
        <w:tc>
          <w:tcPr>
            <w:tcW w:w="1760" w:type="dxa"/>
            <w:vAlign w:val="bottom"/>
            <w:gridSpan w:val="2"/>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5</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 periods ended March 31, 2018 and 2017</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6</w:t>
            </w:r>
          </w:p>
        </w:tc>
      </w:tr>
      <w:tr>
        <w:trPr>
          <w:trHeight w:val="20"/>
        </w:trPr>
        <w:tc>
          <w:tcPr>
            <w:tcW w:w="6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96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Condensed Consolidated Statements of Changes in Stockholders’ Equity for the three month periods ended March 31, 2018 and 2017</w:t>
              </w:r>
            </w:hyperlink>
          </w:p>
        </w:tc>
        <w:tc>
          <w:tcPr>
            <w:tcW w:w="110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7</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0"/>
        </w:trPr>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 AND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962,280</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1,483,836</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862,865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935,431</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38,643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35,539</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$38,557 and $23,746 at</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March 31, 2018 and December 31, 2017, respectively):</w:t>
            </w: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Fees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543,758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487,800</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8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83,816</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674,686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571,616</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427,186</w:t>
            </w:r>
          </w:p>
        </w:tc>
        <w:tc>
          <w:tcPr>
            <w:tcW w:w="120" w:type="dxa"/>
            <w:vAlign w:val="bottom"/>
            <w:shd w:val="clear" w:color="auto" w:fill="CFF0FC"/>
          </w:tcPr>
          <w:p>
            <w:pPr>
              <w:spacing w:after="0"/>
              <w:rPr>
                <w:sz w:val="19"/>
                <w:szCs w:val="19"/>
                <w:color w:val="auto"/>
              </w:rPr>
            </w:pP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Property (net of accumulated amortization and depreciation of $329,094 and $317,827</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at March 31, 2018 and December 31, 2017, respectively)</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213,923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205,301</w:t>
            </w:r>
          </w:p>
        </w:tc>
        <w:tc>
          <w:tcPr>
            <w:tcW w:w="120" w:type="dxa"/>
            <w:vAlign w:val="bottom"/>
          </w:tcPr>
          <w:p>
            <w:pPr>
              <w:spacing w:after="0"/>
              <w:rPr>
                <w:sz w:val="20"/>
                <w:szCs w:val="20"/>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 (net of accumulated amortization of $63,874 and</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$63,099 at March 31, 2018 and December 31, 2017, respectively)</w:t>
            </w: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388,328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391,364</w:t>
            </w: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638,381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650,260</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351,037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228,144</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4,485,095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4,928,677</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 AND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00" w:type="dxa"/>
            <w:vAlign w:val="bottom"/>
            <w:tcBorders>
              <w:bottom w:val="single" w:sz="8" w:color="CFF0FC"/>
            </w:tcBorders>
          </w:tcPr>
          <w:p>
            <w:pPr>
              <w:spacing w:after="0"/>
              <w:rPr>
                <w:sz w:val="14"/>
                <w:szCs w:val="14"/>
                <w:color w:val="auto"/>
              </w:rPr>
            </w:pPr>
          </w:p>
        </w:tc>
        <w:tc>
          <w:tcPr>
            <w:tcW w:w="9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Liabilities:</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2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955,723</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992,338</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331,734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593,781</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1,190,830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1,190,383</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Tax receivable agreement obligation</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277,215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310,275</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9,407</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9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663,892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573,588</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3,428,914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3,669,772</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Series A - no shares issued and outstanding</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Series B - no shares issued and outstanding</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900" w:type="dxa"/>
            <w:vAlign w:val="bottom"/>
          </w:tcPr>
          <w:p>
            <w:pPr>
              <w:ind w:left="500"/>
              <w:spacing w:after="0"/>
              <w:rPr>
                <w:sz w:val="20"/>
                <w:szCs w:val="20"/>
                <w:color w:val="auto"/>
              </w:rPr>
            </w:pPr>
            <w:r>
              <w:rPr>
                <w:rFonts w:ascii="Arial" w:cs="Arial" w:eastAsia="Arial" w:hAnsi="Arial"/>
                <w:sz w:val="18"/>
                <w:szCs w:val="18"/>
                <w:color w:val="auto"/>
              </w:rPr>
              <w:t>Class A, par value $.01 per share (500,000,000 shares authorized;</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00" w:type="dxa"/>
            <w:vAlign w:val="bottom"/>
          </w:tcPr>
          <w:p>
            <w:pPr>
              <w:ind w:left="640"/>
              <w:spacing w:after="0"/>
              <w:rPr>
                <w:sz w:val="20"/>
                <w:szCs w:val="20"/>
                <w:color w:val="auto"/>
              </w:rPr>
            </w:pPr>
            <w:r>
              <w:rPr>
                <w:rFonts w:ascii="Arial" w:cs="Arial" w:eastAsia="Arial" w:hAnsi="Arial"/>
                <w:sz w:val="18"/>
                <w:szCs w:val="18"/>
                <w:color w:val="auto"/>
              </w:rPr>
              <w:t>129,766,091 shares issued at March 31, 2018 and December 31, 2017,</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00" w:type="dxa"/>
            <w:vAlign w:val="bottom"/>
          </w:tcPr>
          <w:p>
            <w:pPr>
              <w:ind w:left="640"/>
              <w:spacing w:after="0"/>
              <w:rPr>
                <w:sz w:val="20"/>
                <w:szCs w:val="20"/>
                <w:color w:val="auto"/>
              </w:rPr>
            </w:pPr>
            <w:r>
              <w:rPr>
                <w:rFonts w:ascii="Arial" w:cs="Arial" w:eastAsia="Arial" w:hAnsi="Arial"/>
                <w:sz w:val="18"/>
                <w:szCs w:val="18"/>
                <w:color w:val="auto"/>
              </w:rPr>
              <w:t>including shares held by subsidiaries as indicated below)</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0"/>
                <w:szCs w:val="20"/>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paid-in-capital</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619,430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788,140</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1,005,548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1,080,413</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(219,124)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(232,518)</w:t>
            </w:r>
          </w:p>
        </w:tc>
      </w:tr>
      <w:tr>
        <w:trPr>
          <w:trHeight w:val="223"/>
        </w:trPr>
        <w:tc>
          <w:tcPr>
            <w:tcW w:w="6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1,407,152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1,637,333</w:t>
            </w:r>
          </w:p>
        </w:tc>
        <w:tc>
          <w:tcPr>
            <w:tcW w:w="120" w:type="dxa"/>
            <w:vAlign w:val="bottom"/>
          </w:tcPr>
          <w:p>
            <w:pPr>
              <w:spacing w:after="0"/>
              <w:rPr>
                <w:sz w:val="19"/>
                <w:szCs w:val="19"/>
                <w:color w:val="auto"/>
              </w:rPr>
            </w:pPr>
          </w:p>
        </w:tc>
      </w:tr>
      <w:tr>
        <w:trPr>
          <w:trHeight w:val="215"/>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held by subsidiaries, at cost (9,359,466 and 10,747,142</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at March 31, 2018 and December 31, 2017, respectively)</w:t>
            </w: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(410,591)</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(437,530)</w:t>
            </w:r>
          </w:p>
        </w:tc>
      </w:tr>
      <w:tr>
        <w:trPr>
          <w:trHeight w:val="223"/>
        </w:trPr>
        <w:tc>
          <w:tcPr>
            <w:tcW w:w="6900" w:type="dxa"/>
            <w:vAlign w:val="bottom"/>
          </w:tcPr>
          <w:p>
            <w:pPr>
              <w:ind w:left="500"/>
              <w:spacing w:after="0"/>
              <w:rPr>
                <w:sz w:val="20"/>
                <w:szCs w:val="20"/>
                <w:color w:val="auto"/>
              </w:rPr>
            </w:pPr>
            <w:r>
              <w:rPr>
                <w:rFonts w:ascii="Arial" w:cs="Arial" w:eastAsia="Arial" w:hAnsi="Arial"/>
                <w:sz w:val="18"/>
                <w:szCs w:val="18"/>
                <w:color w:val="auto"/>
              </w:rPr>
              <w:t>Total Lazard Ltd Stockholders’ Equity</w:t>
            </w:r>
          </w:p>
        </w:tc>
        <w:tc>
          <w:tcPr>
            <w:tcW w:w="9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996,561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1,199,803</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9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59,102</w:t>
            </w:r>
          </w:p>
        </w:tc>
        <w:tc>
          <w:tcPr>
            <w:tcW w:w="120" w:type="dxa"/>
            <w:vAlign w:val="bottom"/>
            <w:shd w:val="clear" w:color="auto" w:fill="CFF0FC"/>
          </w:tcPr>
          <w:p>
            <w:pPr>
              <w:spacing w:after="0"/>
              <w:rPr>
                <w:sz w:val="19"/>
                <w:szCs w:val="19"/>
                <w:color w:val="auto"/>
              </w:rPr>
            </w:pPr>
          </w:p>
        </w:tc>
      </w:tr>
      <w:tr>
        <w:trPr>
          <w:trHeight w:val="223"/>
        </w:trPr>
        <w:tc>
          <w:tcPr>
            <w:tcW w:w="6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9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1,056,181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1,258,905</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9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4,485,095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4,928,677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408,726</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334,916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338,096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18,673</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768,205</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13,507</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754,698</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405,047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30,238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25,659</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33,252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12,431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26,193</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568,870</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185,828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24,167</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161,661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880" w:type="dxa"/>
            <w:vAlign w:val="bottom"/>
          </w:tcPr>
          <w:p>
            <w:pPr>
              <w:spacing w:after="0"/>
              <w:rPr>
                <w:sz w:val="20"/>
                <w:szCs w:val="20"/>
                <w:color w:val="auto"/>
              </w:rPr>
            </w:pPr>
            <w:r>
              <w:rPr>
                <w:rFonts w:ascii="Arial" w:cs="Arial" w:eastAsia="Arial" w:hAnsi="Arial"/>
                <w:sz w:val="18"/>
                <w:szCs w:val="18"/>
                <w:b w:val="1"/>
                <w:bCs w:val="1"/>
                <w:color w:val="auto"/>
              </w:rPr>
              <w:t>LESS - NET INCOME ATTRIBUTABLE TO</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280" w:type="dxa"/>
            <w:vAlign w:val="bottom"/>
            <w:tcBorders>
              <w:bottom w:val="single" w:sz="8" w:color="CFF0FC"/>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159,692</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ATTRIBUTABLE TO LAZARD LTD CLASS A</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280"/>
              <w:spacing w:after="0"/>
              <w:rPr>
                <w:sz w:val="20"/>
                <w:szCs w:val="20"/>
                <w:color w:val="auto"/>
              </w:rPr>
            </w:pPr>
            <w:r>
              <w:rPr>
                <w:rFonts w:ascii="Arial" w:cs="Arial" w:eastAsia="Arial" w:hAnsi="Arial"/>
                <w:sz w:val="18"/>
                <w:szCs w:val="18"/>
                <w:b w:val="1"/>
                <w:bCs w:val="1"/>
                <w:color w:val="auto"/>
              </w:rPr>
              <w:t>COMMON STOCKHOLDERS: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WEIGHTED AVERAGE SHARES OF COMMON STOCK</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rPr>
              <w:t>OUTSTANDING:</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119,930,106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122,815,163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132,142,394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132,689,375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b w:val="1"/>
                <w:bCs w:val="1"/>
                <w:color w:val="auto"/>
              </w:rPr>
              <w:t>NET INCOME PER SHARE OF COMMON STOCK:</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50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Borders>
              <w:bottom w:val="single" w:sz="8" w:color="CFF0FC"/>
            </w:tcBorders>
          </w:tcPr>
          <w:p>
            <w:pPr>
              <w:spacing w:after="0"/>
              <w:rPr>
                <w:sz w:val="21"/>
                <w:szCs w:val="21"/>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7880" w:type="dxa"/>
            <w:vAlign w:val="bottom"/>
            <w:shd w:val="clear" w:color="auto" w:fill="CFF0FC"/>
          </w:tcPr>
          <w:p>
            <w:pPr>
              <w:ind w:left="260"/>
              <w:spacing w:after="0" w:line="192" w:lineRule="exact"/>
              <w:rPr>
                <w:sz w:val="20"/>
                <w:szCs w:val="20"/>
                <w:color w:val="auto"/>
              </w:rPr>
            </w:pPr>
            <w:r>
              <w:rPr>
                <w:rFonts w:ascii="Arial" w:cs="Arial" w:eastAsia="Arial" w:hAnsi="Arial"/>
                <w:sz w:val="18"/>
                <w:szCs w:val="18"/>
                <w:b w:val="1"/>
                <w:bCs w:val="1"/>
                <w:color w:val="auto"/>
              </w:rPr>
              <w:t>DIVIDENDS DECLARED PER SHARE OF</w:t>
            </w: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COMMON STOCK</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360" w:type="dxa"/>
            <w:vAlign w:val="bottom"/>
            <w:tcBorders>
              <w:bottom w:val="single" w:sz="8" w:color="CFF0FC"/>
            </w:tcBorders>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6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161,661</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110,430</w:t>
            </w:r>
          </w:p>
        </w:tc>
        <w:tc>
          <w:tcPr>
            <w:tcW w:w="100" w:type="dxa"/>
            <w:vAlign w:val="bottom"/>
            <w:shd w:val="clear" w:color="auto" w:fill="CFF0FC"/>
          </w:tcPr>
          <w:p>
            <w:pPr>
              <w:spacing w:after="0"/>
              <w:rPr>
                <w:sz w:val="19"/>
                <w:szCs w:val="19"/>
                <w:color w:val="auto"/>
              </w:rPr>
            </w:pPr>
          </w:p>
        </w:tc>
      </w:tr>
      <w:tr>
        <w:trPr>
          <w:trHeight w:val="205"/>
        </w:trPr>
        <w:tc>
          <w:tcPr>
            <w:tcW w:w="636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1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6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1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16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17,346</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16,932</w:t>
            </w:r>
          </w:p>
        </w:tc>
        <w:tc>
          <w:tcPr>
            <w:tcW w:w="100" w:type="dxa"/>
            <w:vAlign w:val="bottom"/>
            <w:shd w:val="clear" w:color="auto" w:fill="CFF0FC"/>
          </w:tcPr>
          <w:p>
            <w:pPr>
              <w:spacing w:after="0"/>
              <w:rPr>
                <w:sz w:val="19"/>
                <w:szCs w:val="19"/>
                <w:color w:val="auto"/>
              </w:rPr>
            </w:pPr>
          </w:p>
        </w:tc>
      </w:tr>
      <w:tr>
        <w:trPr>
          <w:trHeight w:val="230"/>
        </w:trPr>
        <w:tc>
          <w:tcPr>
            <w:tcW w:w="636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loss (net of tax benefit of $1,342 and $261</w:t>
            </w:r>
          </w:p>
        </w:tc>
        <w:tc>
          <w:tcPr>
            <w:tcW w:w="16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 the three months ended March 31, 2018 and 2017,</w:t>
            </w:r>
          </w:p>
        </w:tc>
        <w:tc>
          <w:tcPr>
            <w:tcW w:w="16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3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respectively)</w:t>
            </w:r>
          </w:p>
        </w:tc>
        <w:tc>
          <w:tcPr>
            <w:tcW w:w="1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(5,014)</w:t>
            </w:r>
          </w:p>
        </w:tc>
        <w:tc>
          <w:tcPr>
            <w:tcW w:w="5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(495)</w:t>
            </w:r>
          </w:p>
        </w:tc>
      </w:tr>
      <w:tr>
        <w:trPr>
          <w:trHeight w:val="215"/>
        </w:trPr>
        <w:tc>
          <w:tcPr>
            <w:tcW w:w="6360" w:type="dxa"/>
            <w:vAlign w:val="bottom"/>
          </w:tcPr>
          <w:p>
            <w:pPr>
              <w:ind w:left="500"/>
              <w:spacing w:after="0"/>
              <w:rPr>
                <w:sz w:val="20"/>
                <w:szCs w:val="20"/>
                <w:color w:val="auto"/>
              </w:rPr>
            </w:pPr>
            <w:r>
              <w:rPr>
                <w:rFonts w:ascii="Arial" w:cs="Arial" w:eastAsia="Arial" w:hAnsi="Arial"/>
                <w:sz w:val="18"/>
                <w:szCs w:val="18"/>
                <w:color w:val="auto"/>
              </w:rPr>
              <w:t>Adjustment for items reclassified to earnings (net of</w:t>
            </w: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tcPr>
          <w:p>
            <w:pPr>
              <w:ind w:left="640"/>
              <w:spacing w:after="0"/>
              <w:rPr>
                <w:sz w:val="20"/>
                <w:szCs w:val="20"/>
                <w:color w:val="auto"/>
              </w:rPr>
            </w:pPr>
            <w:r>
              <w:rPr>
                <w:rFonts w:ascii="Arial" w:cs="Arial" w:eastAsia="Arial" w:hAnsi="Arial"/>
                <w:sz w:val="18"/>
                <w:szCs w:val="18"/>
                <w:color w:val="auto"/>
              </w:rPr>
              <w:t>tax expense of $216 and $276 for the three months</w:t>
            </w: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6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ended March 31, 2018 and 2017, respectively)</w:t>
            </w:r>
          </w:p>
        </w:tc>
        <w:tc>
          <w:tcPr>
            <w:tcW w:w="160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300" w:type="dxa"/>
            <w:vAlign w:val="bottom"/>
            <w:tcBorders>
              <w:bottom w:val="single" w:sz="8" w:color="CFF0FC"/>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FF0FC"/>
            </w:tcBorders>
          </w:tcPr>
          <w:p>
            <w:pPr>
              <w:spacing w:after="0"/>
              <w:rPr>
                <w:sz w:val="20"/>
                <w:szCs w:val="20"/>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6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13,394</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shd w:val="clear" w:color="auto" w:fill="CFF0FC"/>
          </w:tcPr>
          <w:p>
            <w:pPr>
              <w:spacing w:after="0"/>
              <w:rPr>
                <w:sz w:val="19"/>
                <w:szCs w:val="19"/>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175,055</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127,953</w:t>
            </w:r>
          </w:p>
        </w:tc>
        <w:tc>
          <w:tcPr>
            <w:tcW w:w="100" w:type="dxa"/>
            <w:vAlign w:val="bottom"/>
          </w:tcPr>
          <w:p>
            <w:pPr>
              <w:spacing w:after="0"/>
              <w:rPr>
                <w:sz w:val="19"/>
                <w:szCs w:val="19"/>
                <w:color w:val="auto"/>
              </w:rPr>
            </w:pPr>
          </w:p>
        </w:tc>
      </w:tr>
      <w:tr>
        <w:trPr>
          <w:trHeight w:val="211"/>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16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3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1600" w:type="dxa"/>
            <w:vAlign w:val="bottom"/>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30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2,877</w:t>
            </w:r>
          </w:p>
        </w:tc>
        <w:tc>
          <w:tcPr>
            <w:tcW w:w="100" w:type="dxa"/>
            <w:vAlign w:val="bottom"/>
            <w:shd w:val="clear" w:color="auto" w:fill="CFF0FC"/>
          </w:tcPr>
          <w:p>
            <w:pPr>
              <w:spacing w:after="0"/>
              <w:rPr>
                <w:sz w:val="20"/>
                <w:szCs w:val="20"/>
                <w:color w:val="auto"/>
              </w:rPr>
            </w:pPr>
          </w:p>
        </w:tc>
      </w:tr>
      <w:tr>
        <w:trPr>
          <w:trHeight w:val="205"/>
        </w:trPr>
        <w:tc>
          <w:tcPr>
            <w:tcW w:w="636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1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60" w:type="dxa"/>
            <w:vAlign w:val="bottom"/>
          </w:tcPr>
          <w:p>
            <w:pPr>
              <w:ind w:left="140"/>
              <w:spacing w:after="0"/>
              <w:rPr>
                <w:sz w:val="20"/>
                <w:szCs w:val="20"/>
                <w:color w:val="auto"/>
              </w:rPr>
            </w:pPr>
            <w:r>
              <w:rPr>
                <w:rFonts w:ascii="Arial" w:cs="Arial" w:eastAsia="Arial" w:hAnsi="Arial"/>
                <w:sz w:val="18"/>
                <w:szCs w:val="18"/>
                <w:b w:val="1"/>
                <w:bCs w:val="1"/>
                <w:color w:val="auto"/>
              </w:rPr>
              <w:t>LAZARD LTD</w:t>
            </w:r>
          </w:p>
        </w:tc>
        <w:tc>
          <w:tcPr>
            <w:tcW w:w="2520" w:type="dxa"/>
            <w:vAlign w:val="bottom"/>
            <w:gridSpan w:val="2"/>
          </w:tcPr>
          <w:p>
            <w:pPr>
              <w:jc w:val="right"/>
              <w:ind w:right="73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173,086</w:t>
            </w:r>
          </w:p>
        </w:tc>
        <w:tc>
          <w:tcPr>
            <w:tcW w:w="300" w:type="dxa"/>
            <w:vAlign w:val="bottom"/>
          </w:tcPr>
          <w:p>
            <w:pPr>
              <w:spacing w:after="0"/>
              <w:rPr>
                <w:sz w:val="20"/>
                <w:szCs w:val="20"/>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125,076</w:t>
            </w:r>
          </w:p>
        </w:tc>
        <w:tc>
          <w:tcPr>
            <w:tcW w:w="100" w:type="dxa"/>
            <w:vAlign w:val="bottom"/>
          </w:tcPr>
          <w:p>
            <w:pPr>
              <w:spacing w:after="0"/>
              <w:rPr>
                <w:sz w:val="20"/>
                <w:szCs w:val="20"/>
                <w:color w:val="auto"/>
              </w:rPr>
            </w:pPr>
          </w:p>
        </w:tc>
      </w:tr>
      <w:tr>
        <w:trPr>
          <w:trHeight w:val="20"/>
        </w:trPr>
        <w:tc>
          <w:tcPr>
            <w:tcW w:w="6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6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161,661</w:t>
            </w:r>
          </w:p>
        </w:tc>
        <w:tc>
          <w:tcPr>
            <w:tcW w:w="160" w:type="dxa"/>
            <w:vAlign w:val="bottom"/>
          </w:tcPr>
          <w:p>
            <w:pPr>
              <w:spacing w:after="0"/>
              <w:rPr>
                <w:sz w:val="18"/>
                <w:szCs w:val="18"/>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110,430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expenses and share-based incentive compensation</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100,892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92,766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Amortization and other acquisition-related costs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 provision</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(Increase) decrease in operating assets: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Receivables-net</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(95,308)</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115,043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Investments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74,124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66,979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(137,635)</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(73,026)</w:t>
            </w: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Increase (decrease) in operating liabilities: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compensation and benefits and other liabilities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(157,941)</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(241,624)</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740"/>
              <w:spacing w:after="0"/>
              <w:rPr>
                <w:sz w:val="20"/>
                <w:szCs w:val="20"/>
                <w:color w:val="auto"/>
              </w:rPr>
            </w:pPr>
            <w:r>
              <w:rPr>
                <w:rFonts w:ascii="Arial" w:cs="Arial" w:eastAsia="Arial" w:hAnsi="Arial"/>
                <w:sz w:val="16"/>
                <w:szCs w:val="16"/>
                <w:color w:val="auto"/>
              </w:rPr>
              <w:t>Net cash (used in) provided by operating activities</w:t>
            </w:r>
          </w:p>
        </w:tc>
        <w:tc>
          <w:tcPr>
            <w:tcW w:w="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1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(38,709)</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99,324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Additions to property</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(16,158)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(3,847)</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Disposals of property</w:t>
            </w:r>
          </w:p>
        </w:tc>
        <w:tc>
          <w:tcPr>
            <w:tcW w:w="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160" w:type="dxa"/>
            <w:vAlign w:val="bottom"/>
          </w:tcPr>
          <w:p>
            <w:pPr>
              <w:ind w:left="740"/>
              <w:spacing w:after="0"/>
              <w:rPr>
                <w:sz w:val="20"/>
                <w:szCs w:val="20"/>
                <w:color w:val="auto"/>
              </w:rPr>
            </w:pPr>
            <w:r>
              <w:rPr>
                <w:rFonts w:ascii="Arial" w:cs="Arial" w:eastAsia="Arial" w:hAnsi="Arial"/>
                <w:sz w:val="16"/>
                <w:szCs w:val="16"/>
                <w:color w:val="auto"/>
              </w:rPr>
              <w:t>Net cash used in investing activities</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(14,927)</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(3,712)</w:t>
            </w:r>
          </w:p>
        </w:tc>
        <w:tc>
          <w:tcPr>
            <w:tcW w:w="0" w:type="dxa"/>
            <w:vAlign w:val="bottom"/>
          </w:tcPr>
          <w:p>
            <w:pPr>
              <w:spacing w:after="0"/>
              <w:rPr>
                <w:sz w:val="1"/>
                <w:szCs w:val="1"/>
                <w:color w:val="auto"/>
              </w:rPr>
            </w:pPr>
          </w:p>
        </w:tc>
      </w:tr>
      <w:tr>
        <w:trPr>
          <w:trHeight w:val="213"/>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Proceeds from:</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Customer deposits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145,843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Payments for:</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Capital lease obligations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Customer deposits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(100,341)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Distributions to noncontrolling interests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(1,451)</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Payments under tax receivable agreement</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(31,845)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 of Class A common stock</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(145,949)</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(106,048)</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Class A common stock dividends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(202,384)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(192,264)</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Settlement of vested share-based incentive compensation</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(101,043)</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(61,478)</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(3,767)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(7,947)</w:t>
            </w:r>
          </w:p>
        </w:tc>
        <w:tc>
          <w:tcPr>
            <w:tcW w:w="0" w:type="dxa"/>
            <w:vAlign w:val="bottom"/>
          </w:tcPr>
          <w:p>
            <w:pPr>
              <w:spacing w:after="0"/>
              <w:rPr>
                <w:sz w:val="1"/>
                <w:szCs w:val="1"/>
                <w:color w:val="auto"/>
              </w:rPr>
            </w:pPr>
          </w:p>
        </w:tc>
      </w:tr>
      <w:tr>
        <w:trPr>
          <w:trHeight w:val="20"/>
        </w:trPr>
        <w:tc>
          <w:tcPr>
            <w:tcW w:w="716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used in financing activities</w:t>
            </w:r>
          </w:p>
        </w:tc>
        <w:tc>
          <w:tcPr>
            <w:tcW w:w="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60" w:type="dxa"/>
            <w:vAlign w:val="bottom"/>
            <w:vMerge w:val="continue"/>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(586,788)</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(224,027)</w:t>
            </w:r>
          </w:p>
        </w:tc>
        <w:tc>
          <w:tcPr>
            <w:tcW w:w="0" w:type="dxa"/>
            <w:vAlign w:val="bottom"/>
          </w:tcPr>
          <w:p>
            <w:pPr>
              <w:spacing w:after="0"/>
              <w:rPr>
                <w:sz w:val="1"/>
                <w:szCs w:val="1"/>
                <w:color w:val="auto"/>
              </w:rPr>
            </w:pPr>
          </w:p>
        </w:tc>
      </w:tr>
      <w:tr>
        <w:trPr>
          <w:trHeight w:val="196"/>
        </w:trPr>
        <w:tc>
          <w:tcPr>
            <w:tcW w:w="7160" w:type="dxa"/>
            <w:vAlign w:val="bottom"/>
          </w:tcPr>
          <w:p>
            <w:pPr>
              <w:spacing w:after="0"/>
              <w:rPr>
                <w:sz w:val="20"/>
                <w:szCs w:val="20"/>
                <w:color w:val="auto"/>
              </w:rPr>
            </w:pPr>
            <w:r>
              <w:rPr>
                <w:rFonts w:ascii="Arial" w:cs="Arial" w:eastAsia="Arial" w:hAnsi="Arial"/>
                <w:sz w:val="16"/>
                <w:szCs w:val="16"/>
                <w:b w:val="1"/>
                <w:bCs w:val="1"/>
                <w:color w:val="auto"/>
              </w:rPr>
              <w:t>EFFECT OF EXCHANGE RATE CHANGES ON CASH AND CASH EQUIVALENTS AND</w:t>
            </w:r>
          </w:p>
        </w:tc>
        <w:tc>
          <w:tcPr>
            <w:tcW w:w="7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RESTRICTED CASH</w:t>
            </w:r>
          </w:p>
        </w:tc>
        <w:tc>
          <w:tcPr>
            <w:tcW w:w="7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49,406</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DECREASE IN CASH AND CASH EQUIVALENTS AND</w:t>
            </w:r>
          </w:p>
        </w:tc>
        <w:tc>
          <w:tcPr>
            <w:tcW w:w="7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RESTRICTED CASH</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(591,018)</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(109,845)</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CASH AND CASH EQUIVALENTS AND RESTRICTED CASH—January 1</w:t>
            </w:r>
          </w:p>
        </w:tc>
        <w:tc>
          <w:tcPr>
            <w:tcW w:w="7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2,454,806</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1,607,483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AND RESTRICTED CASH—March 31</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1,863,788</w:t>
            </w:r>
          </w:p>
        </w:tc>
        <w:tc>
          <w:tcPr>
            <w:tcW w:w="1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1,497,638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WITHIN THE CONDENSED CONSOLIDATED STATEMENTS OF FINANCIAL</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CONDITION:</w:t>
      </w:r>
    </w:p>
    <w:p>
      <w:pPr>
        <w:spacing w:after="0" w:line="69" w:lineRule="exact"/>
        <w:rPr>
          <w:sz w:val="20"/>
          <w:szCs w:val="20"/>
          <w:color w:val="auto"/>
        </w:rPr>
      </w:pPr>
    </w:p>
    <w:p>
      <w:pPr>
        <w:jc w:val="center"/>
        <w:ind w:left="7940"/>
        <w:spacing w:after="0"/>
        <w:rPr>
          <w:sz w:val="20"/>
          <w:szCs w:val="20"/>
          <w:color w:val="auto"/>
        </w:rPr>
      </w:pPr>
      <w:r>
        <w:rPr>
          <w:rFonts w:ascii="Arial" w:cs="Arial" w:eastAsia="Arial" w:hAnsi="Arial"/>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7"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6350</wp:posOffset>
            </wp:positionV>
            <wp:extent cx="995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00"/>
        <w:spacing w:after="0"/>
        <w:rPr>
          <w:sz w:val="20"/>
          <w:szCs w:val="20"/>
          <w:color w:val="auto"/>
        </w:rPr>
      </w:pPr>
      <w:r>
        <w:rPr>
          <w:rFonts w:ascii="Arial" w:cs="Arial" w:eastAsia="Arial" w:hAnsi="Arial"/>
          <w:sz w:val="12"/>
          <w:szCs w:val="12"/>
          <w:b w:val="1"/>
          <w:bCs w:val="1"/>
          <w:color w:val="auto"/>
        </w:rPr>
        <w:t>December 31,</w:t>
      </w:r>
    </w:p>
    <w:p>
      <w:pPr>
        <w:spacing w:after="0" w:line="78"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6350</wp:posOffset>
            </wp:positionV>
            <wp:extent cx="10033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60" w:space="720"/>
            <w:col w:w="1340"/>
          </w:cols>
          <w:pgMar w:left="240" w:top="337" w:right="23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88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962,280</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1,483,836</w:t>
            </w:r>
          </w:p>
        </w:tc>
        <w:tc>
          <w:tcPr>
            <w:tcW w:w="120" w:type="dxa"/>
            <w:vAlign w:val="bottom"/>
            <w:shd w:val="clear" w:color="auto" w:fill="CFF0FC"/>
          </w:tcPr>
          <w:p>
            <w:pPr>
              <w:spacing w:after="0"/>
              <w:rPr>
                <w:sz w:val="18"/>
                <w:szCs w:val="18"/>
                <w:color w:val="auto"/>
              </w:rPr>
            </w:pPr>
          </w:p>
        </w:tc>
      </w:tr>
      <w:tr>
        <w:trPr>
          <w:trHeight w:val="213"/>
        </w:trPr>
        <w:tc>
          <w:tcPr>
            <w:tcW w:w="6480" w:type="dxa"/>
            <w:vAlign w:val="bottom"/>
          </w:tcPr>
          <w:p>
            <w:pPr>
              <w:ind w:left="260"/>
              <w:spacing w:after="0"/>
              <w:rPr>
                <w:sz w:val="20"/>
                <w:szCs w:val="20"/>
                <w:color w:val="auto"/>
              </w:rPr>
            </w:pPr>
            <w:r>
              <w:rPr>
                <w:rFonts w:ascii="Arial" w:cs="Arial" w:eastAsia="Arial" w:hAnsi="Arial"/>
                <w:sz w:val="16"/>
                <w:szCs w:val="16"/>
                <w:color w:val="auto"/>
              </w:rPr>
              <w:t>Deposits with banks and short-term investments</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862,865</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935,431</w:t>
            </w:r>
          </w:p>
        </w:tc>
        <w:tc>
          <w:tcPr>
            <w:tcW w:w="120" w:type="dxa"/>
            <w:vAlign w:val="bottom"/>
          </w:tcPr>
          <w:p>
            <w:pPr>
              <w:spacing w:after="0"/>
              <w:rPr>
                <w:sz w:val="18"/>
                <w:szCs w:val="18"/>
                <w:color w:val="auto"/>
              </w:rPr>
            </w:pPr>
          </w:p>
        </w:tc>
      </w:tr>
      <w:tr>
        <w:trPr>
          <w:trHeight w:val="219"/>
        </w:trPr>
        <w:tc>
          <w:tcPr>
            <w:tcW w:w="6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13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38,643</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35,539</w:t>
            </w:r>
          </w:p>
        </w:tc>
        <w:tc>
          <w:tcPr>
            <w:tcW w:w="120" w:type="dxa"/>
            <w:vAlign w:val="bottom"/>
            <w:shd w:val="clear" w:color="auto" w:fill="CFF0FC"/>
          </w:tcPr>
          <w:p>
            <w:pPr>
              <w:spacing w:after="0"/>
              <w:rPr>
                <w:sz w:val="19"/>
                <w:szCs w:val="19"/>
                <w:color w:val="auto"/>
              </w:rPr>
            </w:pPr>
          </w:p>
        </w:tc>
      </w:tr>
      <w:tr>
        <w:trPr>
          <w:trHeight w:val="207"/>
        </w:trPr>
        <w:tc>
          <w:tcPr>
            <w:tcW w:w="6480" w:type="dxa"/>
            <w:vAlign w:val="bottom"/>
          </w:tcPr>
          <w:p>
            <w:pPr>
              <w:spacing w:after="0"/>
              <w:rPr>
                <w:sz w:val="20"/>
                <w:szCs w:val="20"/>
                <w:color w:val="auto"/>
              </w:rPr>
            </w:pPr>
            <w:r>
              <w:rPr>
                <w:rFonts w:ascii="Arial" w:cs="Arial" w:eastAsia="Arial" w:hAnsi="Arial"/>
                <w:sz w:val="16"/>
                <w:szCs w:val="16"/>
                <w:b w:val="1"/>
                <w:bCs w:val="1"/>
                <w:color w:val="auto"/>
              </w:rPr>
              <w:t>TOTAL CASH AND CASH EQUIVALENTS AND RESTRICTED CASH</w:t>
            </w:r>
          </w:p>
        </w:tc>
        <w:tc>
          <w:tcPr>
            <w:tcW w:w="18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1,863,788</w:t>
            </w:r>
          </w:p>
        </w:tc>
        <w:tc>
          <w:tcPr>
            <w:tcW w:w="280" w:type="dxa"/>
            <w:vAlign w:val="bottom"/>
          </w:tcPr>
          <w:p>
            <w:pPr>
              <w:spacing w:after="0"/>
              <w:rPr>
                <w:sz w:val="17"/>
                <w:szCs w:val="17"/>
                <w:color w:val="auto"/>
              </w:rPr>
            </w:pP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2,454,806</w:t>
            </w:r>
          </w:p>
        </w:tc>
        <w:tc>
          <w:tcPr>
            <w:tcW w:w="120" w:type="dxa"/>
            <w:vAlign w:val="bottom"/>
          </w:tcPr>
          <w:p>
            <w:pPr>
              <w:spacing w:after="0"/>
              <w:rPr>
                <w:sz w:val="17"/>
                <w:szCs w:val="17"/>
                <w:color w:val="auto"/>
              </w:rPr>
            </w:pPr>
          </w:p>
        </w:tc>
      </w:tr>
      <w:tr>
        <w:trPr>
          <w:trHeight w:val="20"/>
        </w:trPr>
        <w:tc>
          <w:tcPr>
            <w:tcW w:w="6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8" w:name="page9"/>
    <w:bookmarkEnd w:id="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119"/>
              <w:spacing w:after="0"/>
              <w:rPr>
                <w:sz w:val="20"/>
                <w:szCs w:val="20"/>
                <w:color w:val="auto"/>
              </w:rPr>
            </w:pPr>
            <w:r>
              <w:rPr>
                <w:rFonts w:ascii="Arial" w:cs="Arial" w:eastAsia="Arial" w:hAnsi="Arial"/>
                <w:sz w:val="14"/>
                <w:szCs w:val="14"/>
                <w:b w:val="1"/>
                <w:bCs w:val="1"/>
                <w:color w:val="auto"/>
                <w:w w:val="86"/>
              </w:rPr>
              <w:t>Accumulated</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0"/>
              </w:rPr>
              <w:t>Other</w:t>
            </w:r>
          </w:p>
        </w:tc>
        <w:tc>
          <w:tcPr>
            <w:tcW w:w="1800" w:type="dxa"/>
            <w:vAlign w:val="bottom"/>
            <w:gridSpan w:val="4"/>
          </w:tcPr>
          <w:p>
            <w:pPr>
              <w:jc w:val="center"/>
              <w:ind w:right="39"/>
              <w:spacing w:after="0" w:line="149"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1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Additional</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85"/>
              </w:rPr>
              <w:t>Comprehensive</w:t>
            </w:r>
          </w:p>
        </w:tc>
        <w:tc>
          <w:tcPr>
            <w:tcW w:w="180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Lazard Ltd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Total</w:t>
            </w:r>
          </w:p>
        </w:tc>
      </w:tr>
      <w:tr>
        <w:trPr>
          <w:trHeight w:val="161"/>
        </w:trPr>
        <w:tc>
          <w:tcPr>
            <w:tcW w:w="1980" w:type="dxa"/>
            <w:vAlign w:val="bottom"/>
          </w:tcPr>
          <w:p>
            <w:pPr>
              <w:spacing w:after="0"/>
              <w:rPr>
                <w:sz w:val="14"/>
                <w:szCs w:val="14"/>
                <w:color w:val="auto"/>
              </w:rPr>
            </w:pPr>
          </w:p>
        </w:tc>
        <w:tc>
          <w:tcPr>
            <w:tcW w:w="176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Paid-In-</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1080" w:type="dxa"/>
            <w:vAlign w:val="bottom"/>
            <w:gridSpan w:val="3"/>
          </w:tcPr>
          <w:p>
            <w:pPr>
              <w:jc w:val="center"/>
              <w:ind w:right="119"/>
              <w:spacing w:after="0"/>
              <w:rPr>
                <w:sz w:val="20"/>
                <w:szCs w:val="20"/>
                <w:color w:val="auto"/>
              </w:rPr>
            </w:pPr>
            <w:r>
              <w:rPr>
                <w:rFonts w:ascii="Arial" w:cs="Arial" w:eastAsia="Arial" w:hAnsi="Arial"/>
                <w:sz w:val="14"/>
                <w:szCs w:val="14"/>
                <w:b w:val="1"/>
                <w:bCs w:val="1"/>
                <w:color w:val="auto"/>
                <w:w w:val="84"/>
              </w:rPr>
              <w:t>Income (Loss),</w:t>
            </w:r>
          </w:p>
        </w:tc>
        <w:tc>
          <w:tcPr>
            <w:tcW w:w="180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86"/>
              </w:rPr>
              <w:t>Held By Subsidiaries</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Stockholders’</w:t>
            </w:r>
          </w:p>
        </w:tc>
        <w:tc>
          <w:tcPr>
            <w:tcW w:w="1100" w:type="dxa"/>
            <w:vAlign w:val="bottom"/>
            <w:gridSpan w:val="4"/>
          </w:tcPr>
          <w:p>
            <w:pPr>
              <w:ind w:left="60"/>
              <w:spacing w:after="0"/>
              <w:rPr>
                <w:sz w:val="20"/>
                <w:szCs w:val="20"/>
                <w:color w:val="auto"/>
              </w:rPr>
            </w:pPr>
            <w:r>
              <w:rPr>
                <w:rFonts w:ascii="Arial" w:cs="Arial" w:eastAsia="Arial" w:hAnsi="Arial"/>
                <w:sz w:val="14"/>
                <w:szCs w:val="14"/>
                <w:b w:val="1"/>
                <w:bCs w:val="1"/>
                <w:color w:val="auto"/>
              </w:rPr>
              <w:t>Noncontrolling</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Stockholders’</w:t>
            </w:r>
          </w:p>
        </w:tc>
      </w:tr>
      <w:tr>
        <w:trPr>
          <w:trHeight w:val="156"/>
        </w:trPr>
        <w:tc>
          <w:tcPr>
            <w:tcW w:w="1980" w:type="dxa"/>
            <w:vAlign w:val="bottom"/>
          </w:tcPr>
          <w:p>
            <w:pPr>
              <w:spacing w:after="0"/>
              <w:rPr>
                <w:sz w:val="13"/>
                <w:szCs w:val="13"/>
                <w:color w:val="auto"/>
              </w:rPr>
            </w:pPr>
          </w:p>
        </w:tc>
        <w:tc>
          <w:tcPr>
            <w:tcW w:w="900" w:type="dxa"/>
            <w:vAlign w:val="bottom"/>
            <w:tcBorders>
              <w:top w:val="single" w:sz="8" w:color="auto"/>
            </w:tcBorders>
          </w:tcPr>
          <w:p>
            <w:pPr>
              <w:jc w:val="right"/>
              <w:ind w:right="184"/>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89"/>
              </w:rPr>
              <w:t>Capital</w:t>
            </w: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39"/>
              <w:spacing w:after="0" w:line="155" w:lineRule="exact"/>
              <w:rPr>
                <w:sz w:val="20"/>
                <w:szCs w:val="20"/>
                <w:color w:val="auto"/>
              </w:rPr>
            </w:pPr>
            <w:r>
              <w:rPr>
                <w:rFonts w:ascii="Arial" w:cs="Arial" w:eastAsia="Arial" w:hAnsi="Arial"/>
                <w:sz w:val="14"/>
                <w:szCs w:val="14"/>
                <w:b w:val="1"/>
                <w:bCs w:val="1"/>
                <w:color w:val="auto"/>
                <w:w w:val="88"/>
              </w:rPr>
              <w:t>Net of Tax</w:t>
            </w:r>
          </w:p>
        </w:tc>
        <w:tc>
          <w:tcPr>
            <w:tcW w:w="98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2"/>
              </w:rPr>
              <w:t>Interests</w:t>
            </w:r>
          </w:p>
        </w:tc>
        <w:tc>
          <w:tcPr>
            <w:tcW w:w="20" w:type="dxa"/>
            <w:vAlign w:val="bottom"/>
          </w:tcPr>
          <w:p>
            <w:pPr>
              <w:spacing w:after="0"/>
              <w:rPr>
                <w:sz w:val="13"/>
                <w:szCs w:val="13"/>
                <w:color w:val="auto"/>
              </w:rPr>
            </w:pPr>
          </w:p>
        </w:tc>
        <w:tc>
          <w:tcPr>
            <w:tcW w:w="8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3"/>
              </w:rPr>
              <w:t>Equity</w:t>
            </w:r>
          </w:p>
        </w:tc>
      </w:tr>
      <w:tr>
        <w:trPr>
          <w:trHeight w:val="210"/>
        </w:trPr>
        <w:tc>
          <w:tcPr>
            <w:tcW w:w="1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January 1, 2017</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1,298</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688,231</w:t>
            </w:r>
          </w:p>
        </w:tc>
        <w:tc>
          <w:tcPr>
            <w:tcW w:w="1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5"/>
              </w:rPr>
              <w:t>$ 1,134,186</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(314,222)</w:t>
            </w:r>
          </w:p>
        </w:tc>
        <w:tc>
          <w:tcPr>
            <w:tcW w:w="1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7,628,786</w:t>
            </w: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3"/>
              </w:rPr>
              <w:t>$ (273,506)</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$ 1,235,987</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57,826</w:t>
            </w: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$ 1,293,813</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rPr>
              <w:t>Adjustment for the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cumulative effect on prior</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80" w:type="dxa"/>
            <w:vAlign w:val="bottom"/>
          </w:tcPr>
          <w:p>
            <w:pPr>
              <w:ind w:left="120"/>
              <w:spacing w:after="0"/>
              <w:rPr>
                <w:sz w:val="20"/>
                <w:szCs w:val="20"/>
                <w:color w:val="auto"/>
              </w:rPr>
            </w:pPr>
            <w:r>
              <w:rPr>
                <w:rFonts w:ascii="Arial" w:cs="Arial" w:eastAsia="Arial" w:hAnsi="Arial"/>
                <w:sz w:val="16"/>
                <w:szCs w:val="16"/>
                <w:color w:val="auto"/>
                <w:w w:val="98"/>
              </w:rPr>
              <w:t>years from the adoption of</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new accounting</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80" w:type="dxa"/>
            <w:vAlign w:val="bottom"/>
          </w:tcPr>
          <w:p>
            <w:pPr>
              <w:ind w:left="120"/>
              <w:spacing w:after="0"/>
              <w:rPr>
                <w:sz w:val="20"/>
                <w:szCs w:val="20"/>
                <w:color w:val="auto"/>
              </w:rPr>
            </w:pPr>
            <w:r>
              <w:rPr>
                <w:rFonts w:ascii="Arial" w:cs="Arial" w:eastAsia="Arial" w:hAnsi="Arial"/>
                <w:sz w:val="16"/>
                <w:szCs w:val="16"/>
                <w:color w:val="auto"/>
                <w:w w:val="98"/>
              </w:rPr>
              <w:t>guidance related to share-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based incentive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8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81,544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81,544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81,544</w:t>
            </w:r>
          </w:p>
        </w:tc>
        <w:tc>
          <w:tcPr>
            <w:tcW w:w="100" w:type="dxa"/>
            <w:vAlign w:val="bottom"/>
          </w:tcPr>
          <w:p>
            <w:pPr>
              <w:spacing w:after="0"/>
              <w:rPr>
                <w:sz w:val="18"/>
                <w:szCs w:val="18"/>
                <w:color w:val="auto"/>
              </w:rPr>
            </w:pPr>
          </w:p>
        </w:tc>
      </w:tr>
      <w:tr>
        <w:trPr>
          <w:trHeight w:val="203"/>
        </w:trPr>
        <w:tc>
          <w:tcPr>
            <w:tcW w:w="1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as adjusted -</w:t>
            </w: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2"/>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January 1, 2017</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129,766,091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1,298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688,231</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1,215,730</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(314,222)</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7,628,786</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(273,506)</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1,317,531</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57,826</w:t>
            </w: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1,375,357</w:t>
            </w:r>
          </w:p>
        </w:tc>
        <w:tc>
          <w:tcPr>
            <w:tcW w:w="100" w:type="dxa"/>
            <w:vAlign w:val="bottom"/>
            <w:shd w:val="clear" w:color="auto" w:fill="CFF0FC"/>
          </w:tcPr>
          <w:p>
            <w:pPr>
              <w:spacing w:after="0"/>
              <w:rPr>
                <w:sz w:val="18"/>
                <w:szCs w:val="18"/>
                <w:color w:val="auto"/>
              </w:rPr>
            </w:pPr>
          </w:p>
        </w:tc>
      </w:tr>
      <w:tr>
        <w:trPr>
          <w:trHeight w:val="213"/>
        </w:trPr>
        <w:tc>
          <w:tcPr>
            <w:tcW w:w="1980" w:type="dxa"/>
            <w:vAlign w:val="bottom"/>
          </w:tcPr>
          <w:p>
            <w:pPr>
              <w:spacing w:after="0"/>
              <w:rPr>
                <w:sz w:val="20"/>
                <w:szCs w:val="20"/>
                <w:color w:val="auto"/>
              </w:rPr>
            </w:pPr>
            <w:r>
              <w:rPr>
                <w:rFonts w:ascii="Arial" w:cs="Arial" w:eastAsia="Arial" w:hAnsi="Arial"/>
                <w:sz w:val="16"/>
                <w:szCs w:val="16"/>
                <w:color w:val="auto"/>
              </w:rPr>
              <w:t>Comprehensive income: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1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107,553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107,553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2,877</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110,430</w:t>
            </w:r>
          </w:p>
        </w:tc>
        <w:tc>
          <w:tcPr>
            <w:tcW w:w="100" w:type="dxa"/>
            <w:vAlign w:val="bottom"/>
            <w:shd w:val="clear" w:color="auto" w:fill="CFF0FC"/>
          </w:tcPr>
          <w:p>
            <w:pPr>
              <w:spacing w:after="0"/>
              <w:rPr>
                <w:sz w:val="19"/>
                <w:szCs w:val="19"/>
                <w:color w:val="auto"/>
              </w:rPr>
            </w:pPr>
          </w:p>
        </w:tc>
      </w:tr>
      <w:tr>
        <w:trPr>
          <w:trHeight w:val="206"/>
        </w:trPr>
        <w:tc>
          <w:tcPr>
            <w:tcW w:w="1980" w:type="dxa"/>
            <w:vAlign w:val="bottom"/>
          </w:tcPr>
          <w:p>
            <w:pPr>
              <w:ind w:left="140"/>
              <w:spacing w:after="0"/>
              <w:rPr>
                <w:sz w:val="20"/>
                <w:szCs w:val="20"/>
                <w:color w:val="auto"/>
              </w:rPr>
            </w:pPr>
            <w:r>
              <w:rPr>
                <w:rFonts w:ascii="Arial" w:cs="Arial" w:eastAsia="Arial" w:hAnsi="Arial"/>
                <w:sz w:val="16"/>
                <w:szCs w:val="16"/>
                <w:color w:val="auto"/>
              </w:rPr>
              <w:t>Other comprehensive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80" w:type="dxa"/>
            <w:vAlign w:val="bottom"/>
          </w:tcPr>
          <w:p>
            <w:pPr>
              <w:ind w:left="140"/>
              <w:spacing w:after="0"/>
              <w:rPr>
                <w:sz w:val="20"/>
                <w:szCs w:val="20"/>
                <w:color w:val="auto"/>
              </w:rPr>
            </w:pPr>
            <w:r>
              <w:rPr>
                <w:rFonts w:ascii="Arial" w:cs="Arial" w:eastAsia="Arial" w:hAnsi="Arial"/>
                <w:sz w:val="16"/>
                <w:szCs w:val="16"/>
                <w:color w:val="auto"/>
              </w:rPr>
              <w:t>income - net</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80" w:type="dxa"/>
            <w:vAlign w:val="bottom"/>
          </w:tcPr>
          <w:p>
            <w:pPr>
              <w:ind w:left="260"/>
              <w:spacing w:after="0"/>
              <w:rPr>
                <w:sz w:val="20"/>
                <w:szCs w:val="20"/>
                <w:color w:val="auto"/>
              </w:rPr>
            </w:pPr>
            <w:r>
              <w:rPr>
                <w:rFonts w:ascii="Arial" w:cs="Arial" w:eastAsia="Arial" w:hAnsi="Arial"/>
                <w:sz w:val="16"/>
                <w:szCs w:val="16"/>
                <w:color w:val="auto"/>
              </w:rPr>
              <w:t>of tax</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17,523</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17,523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17,523</w:t>
            </w:r>
          </w:p>
        </w:tc>
        <w:tc>
          <w:tcPr>
            <w:tcW w:w="100" w:type="dxa"/>
            <w:vAlign w:val="bottom"/>
          </w:tcPr>
          <w:p>
            <w:pPr>
              <w:spacing w:after="0"/>
              <w:rPr>
                <w:sz w:val="18"/>
                <w:szCs w:val="18"/>
                <w:color w:val="auto"/>
              </w:rPr>
            </w:pPr>
          </w:p>
        </w:tc>
      </w:tr>
      <w:tr>
        <w:trPr>
          <w:trHeight w:val="209"/>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w w:val="97"/>
              </w:rPr>
              <w:t>Amortization of share-based</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77,527</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77,527</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77,527</w:t>
            </w:r>
          </w:p>
        </w:tc>
        <w:tc>
          <w:tcPr>
            <w:tcW w:w="100" w:type="dxa"/>
            <w:vAlign w:val="bottom"/>
            <w:shd w:val="clear" w:color="auto" w:fill="CFF0FC"/>
          </w:tcPr>
          <w:p>
            <w:pPr>
              <w:spacing w:after="0"/>
              <w:rPr>
                <w:sz w:val="18"/>
                <w:szCs w:val="18"/>
                <w:color w:val="auto"/>
              </w:rPr>
            </w:pPr>
          </w:p>
        </w:tc>
      </w:tr>
      <w:tr>
        <w:trPr>
          <w:trHeight w:val="213"/>
        </w:trPr>
        <w:tc>
          <w:tcPr>
            <w:tcW w:w="1980" w:type="dxa"/>
            <w:vAlign w:val="bottom"/>
          </w:tcPr>
          <w:p>
            <w:pPr>
              <w:spacing w:after="0"/>
              <w:rPr>
                <w:sz w:val="20"/>
                <w:szCs w:val="20"/>
                <w:color w:val="auto"/>
              </w:rPr>
            </w:pPr>
            <w:r>
              <w:rPr>
                <w:rFonts w:ascii="Arial" w:cs="Arial" w:eastAsia="Arial" w:hAnsi="Arial"/>
                <w:sz w:val="16"/>
                <w:szCs w:val="16"/>
                <w:color w:val="auto"/>
              </w:rPr>
              <w:t>Dividend-equivalents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25,977</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(29,031)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(3,054)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(3,054)</w:t>
            </w:r>
          </w:p>
        </w:tc>
      </w:tr>
      <w:tr>
        <w:trPr>
          <w:trHeight w:val="209"/>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dividends</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(192,264)</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(192,264)</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(192,264)</w:t>
            </w: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rPr>
              <w:t>Purchase of Class A</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80" w:type="dxa"/>
            <w:vAlign w:val="bottom"/>
          </w:tcPr>
          <w:p>
            <w:pPr>
              <w:spacing w:after="0"/>
              <w:rPr>
                <w:sz w:val="20"/>
                <w:szCs w:val="20"/>
                <w:color w:val="auto"/>
              </w:rPr>
            </w:pPr>
            <w:r>
              <w:rPr>
                <w:rFonts w:ascii="Arial" w:cs="Arial" w:eastAsia="Arial" w:hAnsi="Arial"/>
                <w:sz w:val="16"/>
                <w:szCs w:val="16"/>
                <w:color w:val="auto"/>
              </w:rPr>
              <w:t>common stock</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2,464,967</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(106,048)</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(106,048)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(106,048)</w:t>
            </w:r>
          </w:p>
        </w:tc>
      </w:tr>
      <w:tr>
        <w:trPr>
          <w:trHeight w:val="209"/>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Delivery of Class A</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common stock in</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share-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8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9"/>
              </w:rPr>
              <w:t>compensation and related</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tax expense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$4,287</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3"/>
              </w:rPr>
              <w:t>(183,736)</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(3,214,282)</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117,971</w:t>
            </w:r>
          </w:p>
        </w:tc>
        <w:tc>
          <w:tcPr>
            <w:tcW w:w="1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(65,765)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(65,765)</w:t>
            </w: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related equity</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8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1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issuable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(including related</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FF0FC"/>
          </w:tcPr>
          <w:p>
            <w:pPr>
              <w:spacing w:after="0"/>
              <w:rPr>
                <w:sz w:val="18"/>
                <w:szCs w:val="18"/>
                <w:color w:val="auto"/>
              </w:rPr>
            </w:pP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rPr>
              <w:t>Distributions to</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80" w:type="dxa"/>
            <w:vAlign w:val="bottom"/>
          </w:tcPr>
          <w:p>
            <w:pPr>
              <w:spacing w:after="0"/>
              <w:rPr>
                <w:sz w:val="20"/>
                <w:szCs w:val="20"/>
                <w:color w:val="auto"/>
              </w:rPr>
            </w:pPr>
            <w:r>
              <w:rPr>
                <w:rFonts w:ascii="Arial" w:cs="Arial" w:eastAsia="Arial" w:hAnsi="Arial"/>
                <w:sz w:val="16"/>
                <w:szCs w:val="16"/>
                <w:color w:val="auto"/>
              </w:rPr>
              <w:t>noncontrolling interests, net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(1,001)</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(1,001)</w:t>
            </w:r>
          </w:p>
        </w:tc>
      </w:tr>
      <w:tr>
        <w:trPr>
          <w:trHeight w:val="219"/>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FF0FC"/>
          </w:tcPr>
          <w:p>
            <w:pPr>
              <w:spacing w:after="0"/>
              <w:rPr>
                <w:sz w:val="19"/>
                <w:szCs w:val="19"/>
                <w:color w:val="auto"/>
              </w:rPr>
            </w:pPr>
          </w:p>
        </w:tc>
      </w:tr>
      <w:tr>
        <w:trPr>
          <w:trHeight w:val="207"/>
        </w:trPr>
        <w:tc>
          <w:tcPr>
            <w:tcW w:w="1980" w:type="dxa"/>
            <w:vAlign w:val="bottom"/>
          </w:tcPr>
          <w:p>
            <w:pPr>
              <w:spacing w:after="0"/>
              <w:rPr>
                <w:sz w:val="20"/>
                <w:szCs w:val="20"/>
                <w:color w:val="auto"/>
              </w:rPr>
            </w:pPr>
            <w:r>
              <w:rPr>
                <w:rFonts w:ascii="Arial" w:cs="Arial" w:eastAsia="Arial" w:hAnsi="Arial"/>
                <w:sz w:val="16"/>
                <w:szCs w:val="16"/>
                <w:b w:val="1"/>
                <w:bCs w:val="1"/>
                <w:color w:val="auto"/>
              </w:rPr>
              <w:t>Balance - March 31, 2017</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1,298</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608,073</w:t>
            </w: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5"/>
              </w:rPr>
              <w:t>$ 1,101,988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(296,699</w:t>
            </w:r>
          </w:p>
        </w:tc>
        <w:tc>
          <w:tcPr>
            <w:tcW w:w="180" w:type="dxa"/>
            <w:vAlign w:val="bottom"/>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6,879,471</w:t>
            </w:r>
          </w:p>
        </w:tc>
        <w:tc>
          <w:tcPr>
            <w:tcW w:w="1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 (261,583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$ 1,153,077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60,110</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$ 1,213,187</w:t>
            </w:r>
          </w:p>
        </w:tc>
        <w:tc>
          <w:tcPr>
            <w:tcW w:w="100" w:type="dxa"/>
            <w:vAlign w:val="bottom"/>
          </w:tcPr>
          <w:p>
            <w:pPr>
              <w:spacing w:after="0"/>
              <w:rPr>
                <w:sz w:val="17"/>
                <w:szCs w:val="17"/>
                <w:color w:val="auto"/>
              </w:rPr>
            </w:pPr>
          </w:p>
        </w:tc>
      </w:tr>
      <w:tr>
        <w:trPr>
          <w:trHeight w:val="20"/>
        </w:trPr>
        <w:tc>
          <w:tcPr>
            <w:tcW w:w="1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119"/>
              <w:spacing w:after="0"/>
              <w:rPr>
                <w:sz w:val="20"/>
                <w:szCs w:val="20"/>
                <w:color w:val="auto"/>
              </w:rPr>
            </w:pPr>
            <w:r>
              <w:rPr>
                <w:rFonts w:ascii="Arial" w:cs="Arial" w:eastAsia="Arial" w:hAnsi="Arial"/>
                <w:sz w:val="14"/>
                <w:szCs w:val="14"/>
                <w:b w:val="1"/>
                <w:bCs w:val="1"/>
                <w:color w:val="auto"/>
                <w:w w:val="86"/>
              </w:rPr>
              <w:t>Accumulated</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1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6"/>
              </w:rPr>
              <w:t>Other</w:t>
            </w:r>
          </w:p>
        </w:tc>
        <w:tc>
          <w:tcPr>
            <w:tcW w:w="1800" w:type="dxa"/>
            <w:vAlign w:val="bottom"/>
            <w:gridSpan w:val="4"/>
          </w:tcPr>
          <w:p>
            <w:pPr>
              <w:jc w:val="center"/>
              <w:ind w:right="79"/>
              <w:spacing w:after="0" w:line="149"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Total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1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99"/>
              <w:spacing w:after="0"/>
              <w:rPr>
                <w:sz w:val="20"/>
                <w:szCs w:val="20"/>
                <w:color w:val="auto"/>
              </w:rPr>
            </w:pPr>
            <w:r>
              <w:rPr>
                <w:rFonts w:ascii="Arial" w:cs="Arial" w:eastAsia="Arial" w:hAnsi="Arial"/>
                <w:sz w:val="14"/>
                <w:szCs w:val="14"/>
                <w:b w:val="1"/>
                <w:bCs w:val="1"/>
                <w:color w:val="auto"/>
                <w:w w:val="85"/>
              </w:rPr>
              <w:t>Comprehensive</w:t>
            </w:r>
          </w:p>
        </w:tc>
        <w:tc>
          <w:tcPr>
            <w:tcW w:w="1800" w:type="dxa"/>
            <w:vAlign w:val="bottom"/>
            <w:gridSpan w:val="4"/>
          </w:tcPr>
          <w:p>
            <w:pPr>
              <w:jc w:val="center"/>
              <w:ind w:right="79"/>
              <w:spacing w:after="0"/>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Lazard Ltd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19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Paid-In-</w:t>
            </w:r>
          </w:p>
        </w:tc>
        <w:tc>
          <w:tcPr>
            <w:tcW w:w="6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Retained</w:t>
            </w:r>
          </w:p>
        </w:tc>
        <w:tc>
          <w:tcPr>
            <w:tcW w:w="1080" w:type="dxa"/>
            <w:vAlign w:val="bottom"/>
            <w:gridSpan w:val="3"/>
          </w:tcPr>
          <w:p>
            <w:pPr>
              <w:jc w:val="center"/>
              <w:ind w:right="119"/>
              <w:spacing w:after="0"/>
              <w:rPr>
                <w:sz w:val="20"/>
                <w:szCs w:val="20"/>
                <w:color w:val="auto"/>
              </w:rPr>
            </w:pPr>
            <w:r>
              <w:rPr>
                <w:rFonts w:ascii="Arial" w:cs="Arial" w:eastAsia="Arial" w:hAnsi="Arial"/>
                <w:sz w:val="14"/>
                <w:szCs w:val="14"/>
                <w:b w:val="1"/>
                <w:bCs w:val="1"/>
                <w:color w:val="auto"/>
                <w:w w:val="84"/>
              </w:rPr>
              <w:t>Income (Loss),</w:t>
            </w:r>
          </w:p>
        </w:tc>
        <w:tc>
          <w:tcPr>
            <w:tcW w:w="1800" w:type="dxa"/>
            <w:vAlign w:val="bottom"/>
            <w:gridSpan w:val="4"/>
          </w:tcPr>
          <w:p>
            <w:pPr>
              <w:jc w:val="center"/>
              <w:ind w:right="79"/>
              <w:spacing w:after="0"/>
              <w:rPr>
                <w:sz w:val="20"/>
                <w:szCs w:val="20"/>
                <w:color w:val="auto"/>
              </w:rPr>
            </w:pPr>
            <w:r>
              <w:rPr>
                <w:rFonts w:ascii="Arial" w:cs="Arial" w:eastAsia="Arial" w:hAnsi="Arial"/>
                <w:sz w:val="14"/>
                <w:szCs w:val="14"/>
                <w:b w:val="1"/>
                <w:bCs w:val="1"/>
                <w:color w:val="auto"/>
                <w:w w:val="86"/>
              </w:rPr>
              <w:t>Held By Subsidiaries</w:t>
            </w:r>
          </w:p>
        </w:tc>
        <w:tc>
          <w:tcPr>
            <w:tcW w:w="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Stockholders’</w:t>
            </w: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Noncontrolling</w:t>
            </w: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Stockholders’</w:t>
            </w:r>
          </w:p>
        </w:tc>
      </w:tr>
      <w:tr>
        <w:trPr>
          <w:trHeight w:val="156"/>
        </w:trPr>
        <w:tc>
          <w:tcPr>
            <w:tcW w:w="1960" w:type="dxa"/>
            <w:vAlign w:val="bottom"/>
          </w:tcPr>
          <w:p>
            <w:pPr>
              <w:spacing w:after="0"/>
              <w:rPr>
                <w:sz w:val="13"/>
                <w:szCs w:val="13"/>
                <w:color w:val="auto"/>
              </w:rPr>
            </w:pPr>
          </w:p>
        </w:tc>
        <w:tc>
          <w:tcPr>
            <w:tcW w:w="106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163"/>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9"/>
              </w:rPr>
              <w:t>Capital</w:t>
            </w:r>
          </w:p>
        </w:tc>
        <w:tc>
          <w:tcPr>
            <w:tcW w:w="60" w:type="dxa"/>
            <w:vAlign w:val="bottom"/>
          </w:tcPr>
          <w:p>
            <w:pPr>
              <w:spacing w:after="0"/>
              <w:rPr>
                <w:sz w:val="13"/>
                <w:szCs w:val="13"/>
                <w:color w:val="auto"/>
              </w:rPr>
            </w:pPr>
          </w:p>
        </w:tc>
        <w:tc>
          <w:tcPr>
            <w:tcW w:w="9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980" w:type="dxa"/>
            <w:vAlign w:val="bottom"/>
            <w:gridSpan w:val="2"/>
          </w:tcPr>
          <w:p>
            <w:pPr>
              <w:jc w:val="center"/>
              <w:ind w:right="219"/>
              <w:spacing w:after="0" w:line="155" w:lineRule="exact"/>
              <w:rPr>
                <w:sz w:val="20"/>
                <w:szCs w:val="20"/>
                <w:color w:val="auto"/>
              </w:rPr>
            </w:pPr>
            <w:r>
              <w:rPr>
                <w:rFonts w:ascii="Arial" w:cs="Arial" w:eastAsia="Arial" w:hAnsi="Arial"/>
                <w:sz w:val="14"/>
                <w:szCs w:val="14"/>
                <w:b w:val="1"/>
                <w:bCs w:val="1"/>
                <w:color w:val="auto"/>
                <w:w w:val="88"/>
              </w:rPr>
              <w:t>Net of Tax</w:t>
            </w:r>
          </w:p>
        </w:tc>
        <w:tc>
          <w:tcPr>
            <w:tcW w:w="100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3"/>
                <w:szCs w:val="13"/>
                <w:color w:val="auto"/>
              </w:rPr>
            </w:pPr>
          </w:p>
        </w:tc>
        <w:tc>
          <w:tcPr>
            <w:tcW w:w="84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88"/>
              </w:rPr>
              <w:t>Equity</w:t>
            </w:r>
          </w:p>
        </w:tc>
      </w:tr>
      <w:tr>
        <w:trPr>
          <w:trHeight w:val="210"/>
        </w:trPr>
        <w:tc>
          <w:tcPr>
            <w:tcW w:w="1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w w:val="99"/>
              </w:rPr>
              <w:t>Balance - January 1, 2018</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129,766,091</w:t>
            </w: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1,298</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788,140</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$ 1,080,413</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(232,518)</w:t>
            </w:r>
          </w:p>
        </w:tc>
        <w:tc>
          <w:tcPr>
            <w:tcW w:w="1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10,747,142</w:t>
            </w: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3"/>
              </w:rPr>
              <w:t>$ (437,530)</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1,199,803</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59,102</w:t>
            </w: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$ 1,258,905</w:t>
            </w:r>
          </w:p>
        </w:tc>
        <w:tc>
          <w:tcPr>
            <w:tcW w:w="60" w:type="dxa"/>
            <w:vAlign w:val="bottom"/>
            <w:tcBorders>
              <w:top w:val="single" w:sz="8" w:color="CFF0FC"/>
            </w:tcBorders>
            <w:shd w:val="clear" w:color="auto" w:fill="CFF0FC"/>
          </w:tcPr>
          <w:p>
            <w:pPr>
              <w:spacing w:after="0"/>
              <w:rPr>
                <w:sz w:val="18"/>
                <w:szCs w:val="18"/>
                <w:color w:val="auto"/>
              </w:rPr>
            </w:pPr>
          </w:p>
        </w:tc>
      </w:tr>
      <w:tr>
        <w:trPr>
          <w:trHeight w:val="213"/>
        </w:trPr>
        <w:tc>
          <w:tcPr>
            <w:tcW w:w="1960" w:type="dxa"/>
            <w:vAlign w:val="bottom"/>
          </w:tcPr>
          <w:p>
            <w:pPr>
              <w:spacing w:after="0"/>
              <w:rPr>
                <w:sz w:val="20"/>
                <w:szCs w:val="20"/>
                <w:color w:val="auto"/>
              </w:rPr>
            </w:pPr>
            <w:r>
              <w:rPr>
                <w:rFonts w:ascii="Arial" w:cs="Arial" w:eastAsia="Arial" w:hAnsi="Arial"/>
                <w:sz w:val="16"/>
                <w:szCs w:val="16"/>
                <w:color w:val="auto"/>
              </w:rPr>
              <w:t>Comprehensive income: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1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159,692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159,692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1,969</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161,661</w:t>
            </w:r>
          </w:p>
        </w:tc>
        <w:tc>
          <w:tcPr>
            <w:tcW w:w="60" w:type="dxa"/>
            <w:vAlign w:val="bottom"/>
            <w:shd w:val="clear" w:color="auto" w:fill="CFF0FC"/>
          </w:tcPr>
          <w:p>
            <w:pPr>
              <w:spacing w:after="0"/>
              <w:rPr>
                <w:sz w:val="19"/>
                <w:szCs w:val="19"/>
                <w:color w:val="auto"/>
              </w:rPr>
            </w:pPr>
          </w:p>
        </w:tc>
      </w:tr>
      <w:tr>
        <w:trPr>
          <w:trHeight w:val="206"/>
        </w:trPr>
        <w:tc>
          <w:tcPr>
            <w:tcW w:w="1960" w:type="dxa"/>
            <w:vAlign w:val="bottom"/>
          </w:tcPr>
          <w:p>
            <w:pPr>
              <w:ind w:left="260"/>
              <w:spacing w:after="0"/>
              <w:rPr>
                <w:sz w:val="20"/>
                <w:szCs w:val="20"/>
                <w:color w:val="auto"/>
              </w:rPr>
            </w:pPr>
            <w:r>
              <w:rPr>
                <w:rFonts w:ascii="Arial" w:cs="Arial" w:eastAsia="Arial" w:hAnsi="Arial"/>
                <w:sz w:val="16"/>
                <w:szCs w:val="16"/>
                <w:color w:val="auto"/>
              </w:rPr>
              <w:t>Other comprehensive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960" w:type="dxa"/>
            <w:vAlign w:val="bottom"/>
          </w:tcPr>
          <w:p>
            <w:pPr>
              <w:ind w:left="260"/>
              <w:spacing w:after="0"/>
              <w:rPr>
                <w:sz w:val="20"/>
                <w:szCs w:val="20"/>
                <w:color w:val="auto"/>
              </w:rPr>
            </w:pPr>
            <w:r>
              <w:rPr>
                <w:rFonts w:ascii="Arial" w:cs="Arial" w:eastAsia="Arial" w:hAnsi="Arial"/>
                <w:sz w:val="16"/>
                <w:szCs w:val="16"/>
                <w:color w:val="auto"/>
              </w:rPr>
              <w:t>income - net of tax</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13,394</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13,394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13,394</w:t>
            </w:r>
          </w:p>
        </w:tc>
        <w:tc>
          <w:tcPr>
            <w:tcW w:w="60" w:type="dxa"/>
            <w:vAlign w:val="bottom"/>
          </w:tcPr>
          <w:p>
            <w:pPr>
              <w:spacing w:after="0"/>
              <w:rPr>
                <w:sz w:val="18"/>
                <w:szCs w:val="18"/>
                <w:color w:val="auto"/>
              </w:rPr>
            </w:pPr>
          </w:p>
        </w:tc>
      </w:tr>
      <w:tr>
        <w:trPr>
          <w:trHeight w:val="209"/>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w w:val="96"/>
              </w:rPr>
              <w:t>Amortization of share-based</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1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82,820</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82,820</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82,820</w:t>
            </w:r>
          </w:p>
        </w:tc>
        <w:tc>
          <w:tcPr>
            <w:tcW w:w="60" w:type="dxa"/>
            <w:vAlign w:val="bottom"/>
            <w:shd w:val="clear" w:color="auto" w:fill="CFF0FC"/>
          </w:tcPr>
          <w:p>
            <w:pPr>
              <w:spacing w:after="0"/>
              <w:rPr>
                <w:sz w:val="18"/>
                <w:szCs w:val="18"/>
                <w:color w:val="auto"/>
              </w:rPr>
            </w:pPr>
          </w:p>
        </w:tc>
      </w:tr>
      <w:tr>
        <w:trPr>
          <w:trHeight w:val="213"/>
        </w:trPr>
        <w:tc>
          <w:tcPr>
            <w:tcW w:w="1960" w:type="dxa"/>
            <w:vAlign w:val="bottom"/>
          </w:tcPr>
          <w:p>
            <w:pPr>
              <w:spacing w:after="0"/>
              <w:rPr>
                <w:sz w:val="20"/>
                <w:szCs w:val="20"/>
                <w:color w:val="auto"/>
              </w:rPr>
            </w:pPr>
            <w:r>
              <w:rPr>
                <w:rFonts w:ascii="Arial" w:cs="Arial" w:eastAsia="Arial" w:hAnsi="Arial"/>
                <w:sz w:val="16"/>
                <w:szCs w:val="16"/>
                <w:color w:val="auto"/>
              </w:rPr>
              <w:t>Dividend-equivalents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28,406</w:t>
            </w: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(32,173)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(3,767)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(3,767)</w:t>
            </w:r>
          </w:p>
        </w:tc>
      </w:tr>
      <w:tr>
        <w:trPr>
          <w:trHeight w:val="209"/>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2"/>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dividends</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(202,384)</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(202,384)</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(202,384)</w:t>
            </w:r>
          </w:p>
        </w:tc>
      </w:tr>
      <w:tr>
        <w:trPr>
          <w:trHeight w:val="206"/>
        </w:trPr>
        <w:tc>
          <w:tcPr>
            <w:tcW w:w="1960" w:type="dxa"/>
            <w:vAlign w:val="bottom"/>
          </w:tcPr>
          <w:p>
            <w:pPr>
              <w:spacing w:after="0"/>
              <w:rPr>
                <w:sz w:val="20"/>
                <w:szCs w:val="20"/>
                <w:color w:val="auto"/>
              </w:rPr>
            </w:pPr>
            <w:r>
              <w:rPr>
                <w:rFonts w:ascii="Arial" w:cs="Arial" w:eastAsia="Arial" w:hAnsi="Arial"/>
                <w:sz w:val="16"/>
                <w:szCs w:val="16"/>
                <w:color w:val="auto"/>
              </w:rPr>
              <w:t>Purchase of Class A</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960" w:type="dxa"/>
            <w:vAlign w:val="bottom"/>
          </w:tcPr>
          <w:p>
            <w:pPr>
              <w:spacing w:after="0"/>
              <w:rPr>
                <w:sz w:val="20"/>
                <w:szCs w:val="20"/>
                <w:color w:val="auto"/>
              </w:rPr>
            </w:pPr>
            <w:r>
              <w:rPr>
                <w:rFonts w:ascii="Arial" w:cs="Arial" w:eastAsia="Arial" w:hAnsi="Arial"/>
                <w:sz w:val="16"/>
                <w:szCs w:val="16"/>
                <w:color w:val="auto"/>
              </w:rPr>
              <w:t>common stock</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2,662,286</w:t>
            </w:r>
          </w:p>
        </w:tc>
        <w:tc>
          <w:tcPr>
            <w:tcW w:w="180" w:type="dxa"/>
            <w:vAlign w:val="bottom"/>
          </w:tcPr>
          <w:p>
            <w:pPr>
              <w:spacing w:after="0"/>
              <w:rPr>
                <w:sz w:val="18"/>
                <w:szCs w:val="18"/>
                <w:color w:val="auto"/>
              </w:rPr>
            </w:pPr>
          </w:p>
        </w:tc>
        <w:tc>
          <w:tcPr>
            <w:tcW w:w="800" w:type="dxa"/>
            <w:vAlign w:val="bottom"/>
            <w:gridSpan w:val="2"/>
          </w:tcPr>
          <w:p>
            <w:pPr>
              <w:jc w:val="right"/>
              <w:ind w:right="19"/>
              <w:spacing w:after="0"/>
              <w:rPr>
                <w:sz w:val="20"/>
                <w:szCs w:val="20"/>
                <w:color w:val="auto"/>
              </w:rPr>
            </w:pPr>
            <w:r>
              <w:rPr>
                <w:rFonts w:ascii="Arial" w:cs="Arial" w:eastAsia="Arial" w:hAnsi="Arial"/>
                <w:sz w:val="16"/>
                <w:szCs w:val="16"/>
                <w:color w:val="auto"/>
              </w:rPr>
              <w:t>(145,949)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(145,949)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(145,949)</w:t>
            </w:r>
          </w:p>
        </w:tc>
      </w:tr>
      <w:tr>
        <w:trPr>
          <w:trHeight w:val="209"/>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Delivery of Class A</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common stock in</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share-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96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8"/>
              </w:rPr>
              <w:t>compensation and related</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tax expense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1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$6,150</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3"/>
              </w:rPr>
              <w:t>(280,020)</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(4,048,104)</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172,827</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(107,193)</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(107,193)</w:t>
            </w:r>
          </w:p>
        </w:tc>
      </w:tr>
      <w:tr>
        <w:trPr>
          <w:trHeight w:val="206"/>
        </w:trPr>
        <w:tc>
          <w:tcPr>
            <w:tcW w:w="196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60" w:type="dxa"/>
            <w:vAlign w:val="bottom"/>
          </w:tcPr>
          <w:p>
            <w:pPr>
              <w:spacing w:after="0"/>
              <w:rPr>
                <w:sz w:val="20"/>
                <w:szCs w:val="20"/>
                <w:color w:val="auto"/>
              </w:rPr>
            </w:pPr>
            <w:r>
              <w:rPr>
                <w:rFonts w:ascii="Arial" w:cs="Arial" w:eastAsia="Arial" w:hAnsi="Arial"/>
                <w:sz w:val="16"/>
                <w:szCs w:val="16"/>
                <w:color w:val="auto"/>
              </w:rPr>
              <w:t>related equity</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96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1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Delivery of Class A</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2"/>
        </w:trPr>
        <w:tc>
          <w:tcPr>
            <w:tcW w:w="1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(1,858)</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r>
      <w:tr>
        <w:trPr>
          <w:trHeight w:val="206"/>
        </w:trPr>
        <w:tc>
          <w:tcPr>
            <w:tcW w:w="1960" w:type="dxa"/>
            <w:vAlign w:val="bottom"/>
          </w:tcPr>
          <w:p>
            <w:pPr>
              <w:ind w:left="260"/>
              <w:spacing w:after="0"/>
              <w:rPr>
                <w:sz w:val="20"/>
                <w:szCs w:val="20"/>
                <w:color w:val="auto"/>
              </w:rPr>
            </w:pPr>
            <w:r>
              <w:rPr>
                <w:rFonts w:ascii="Arial" w:cs="Arial" w:eastAsia="Arial" w:hAnsi="Arial"/>
                <w:sz w:val="16"/>
                <w:szCs w:val="16"/>
                <w:color w:val="auto"/>
              </w:rPr>
              <w:t>Class A common stock</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60" w:type="dxa"/>
            <w:vAlign w:val="bottom"/>
          </w:tcPr>
          <w:p>
            <w:pPr>
              <w:ind w:left="260"/>
              <w:spacing w:after="0"/>
              <w:rPr>
                <w:sz w:val="20"/>
                <w:szCs w:val="20"/>
                <w:color w:val="auto"/>
              </w:rPr>
            </w:pPr>
            <w:r>
              <w:rPr>
                <w:rFonts w:ascii="Arial" w:cs="Arial" w:eastAsia="Arial" w:hAnsi="Arial"/>
                <w:sz w:val="16"/>
                <w:szCs w:val="16"/>
                <w:color w:val="auto"/>
              </w:rPr>
              <w:t>issuable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60" w:type="dxa"/>
            <w:vAlign w:val="bottom"/>
          </w:tcPr>
          <w:p>
            <w:pPr>
              <w:ind w:left="380"/>
              <w:spacing w:after="0"/>
              <w:rPr>
                <w:sz w:val="20"/>
                <w:szCs w:val="20"/>
                <w:color w:val="auto"/>
              </w:rPr>
            </w:pPr>
            <w:r>
              <w:rPr>
                <w:rFonts w:ascii="Arial" w:cs="Arial" w:eastAsia="Arial" w:hAnsi="Arial"/>
                <w:sz w:val="16"/>
                <w:szCs w:val="16"/>
                <w:color w:val="auto"/>
              </w:rPr>
              <w:t>(including related</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960" w:type="dxa"/>
            <w:vAlign w:val="bottom"/>
          </w:tcPr>
          <w:p>
            <w:pPr>
              <w:ind w:left="260"/>
              <w:spacing w:after="0"/>
              <w:rPr>
                <w:sz w:val="20"/>
                <w:szCs w:val="20"/>
                <w:color w:val="auto"/>
              </w:rPr>
            </w:pPr>
            <w:r>
              <w:rPr>
                <w:rFonts w:ascii="Arial" w:cs="Arial" w:eastAsia="Arial" w:hAnsi="Arial"/>
                <w:sz w:val="16"/>
                <w:szCs w:val="16"/>
                <w:color w:val="auto"/>
              </w:rPr>
              <w:t>amortization)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145</w:t>
            </w:r>
          </w:p>
        </w:tc>
        <w:tc>
          <w:tcPr>
            <w:tcW w:w="60" w:type="dxa"/>
            <w:vAlign w:val="bottom"/>
          </w:tcPr>
          <w:p>
            <w:pPr>
              <w:spacing w:after="0"/>
              <w:rPr>
                <w:sz w:val="18"/>
                <w:szCs w:val="18"/>
                <w:color w:val="auto"/>
              </w:rPr>
            </w:pPr>
          </w:p>
        </w:tc>
      </w:tr>
      <w:tr>
        <w:trPr>
          <w:trHeight w:val="209"/>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Distributions to</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2"/>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w w:val="99"/>
              </w:rPr>
              <w:t>noncontrolling interests, net</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(1,451)</w:t>
            </w: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(1,451)</w:t>
            </w:r>
          </w:p>
        </w:tc>
      </w:tr>
      <w:tr>
        <w:trPr>
          <w:trHeight w:val="207"/>
        </w:trPr>
        <w:tc>
          <w:tcPr>
            <w:tcW w:w="1960" w:type="dxa"/>
            <w:vAlign w:val="bottom"/>
          </w:tcPr>
          <w:p>
            <w:pPr>
              <w:spacing w:after="0"/>
              <w:rPr>
                <w:sz w:val="20"/>
                <w:szCs w:val="20"/>
                <w:color w:val="auto"/>
              </w:rPr>
            </w:pPr>
            <w:r>
              <w:rPr>
                <w:rFonts w:ascii="Arial" w:cs="Arial" w:eastAsia="Arial" w:hAnsi="Arial"/>
                <w:sz w:val="16"/>
                <w:szCs w:val="16"/>
                <w:b w:val="1"/>
                <w:bCs w:val="1"/>
                <w:color w:val="auto"/>
              </w:rPr>
              <w:t>Balance - March 31, 2018</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129,766,091</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1,298</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619,430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$ 1,005,548</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(219,124</w:t>
            </w:r>
          </w:p>
        </w:tc>
        <w:tc>
          <w:tcPr>
            <w:tcW w:w="180" w:type="dxa"/>
            <w:vAlign w:val="bottom"/>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9,359,466</w:t>
            </w:r>
          </w:p>
        </w:tc>
        <w:tc>
          <w:tcPr>
            <w:tcW w:w="1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6"/>
              </w:rPr>
              <w:t>$ (410,591</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996,561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59,620</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$ 1,056,181</w:t>
            </w:r>
          </w:p>
        </w:tc>
        <w:tc>
          <w:tcPr>
            <w:tcW w:w="6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38"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Lazard Ltd indirectly held 100% of all outstanding Lazard Group common membership interests as of March 31, 2018 and December 31, 2017. Lazard Ltd, through its control of the managing members of Lazard Group, controls Lazard Group, which is governed by an Amended and Restated Operating Agreement dated as of October 26, 2015, as amended (the “Operating Agreement”).</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62" w:lineRule="exact"/>
        <w:rPr>
          <w:sz w:val="20"/>
          <w:szCs w:val="20"/>
          <w:color w:val="auto"/>
        </w:rPr>
      </w:pPr>
    </w:p>
    <w:p>
      <w:pPr>
        <w:jc w:val="both"/>
        <w:ind w:left="900" w:right="6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capital advisory, capital raising, restructurings, shareholder advisory, sovereign advisory and other strategic advisory, and</w:t>
      </w:r>
    </w:p>
    <w:p>
      <w:pPr>
        <w:spacing w:after="0" w:line="73" w:lineRule="exact"/>
        <w:rPr>
          <w:rFonts w:ascii="Arial" w:cs="Arial" w:eastAsia="Arial" w:hAnsi="Arial"/>
          <w:sz w:val="18"/>
          <w:szCs w:val="18"/>
          <w:color w:val="auto"/>
        </w:rPr>
      </w:pPr>
    </w:p>
    <w:p>
      <w:pPr>
        <w:ind w:left="900" w:right="20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2017. The accompanying December 31, 2017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consolidated results of operations for the three month period ended March 31, 2018 are not indicative of the results to be expected for any future interim or annual period.</w:t>
      </w:r>
    </w:p>
    <w:p>
      <w:pPr>
        <w:spacing w:after="0" w:line="170" w:lineRule="exact"/>
        <w:rPr>
          <w:sz w:val="20"/>
          <w:szCs w:val="20"/>
          <w:color w:val="auto"/>
        </w:rPr>
      </w:pPr>
    </w:p>
    <w:p>
      <w:pPr>
        <w:ind w:right="500" w:firstLine="518"/>
        <w:spacing w:after="0" w:line="264" w:lineRule="auto"/>
        <w:rPr>
          <w:sz w:val="20"/>
          <w:szCs w:val="20"/>
          <w:color w:val="auto"/>
        </w:rPr>
      </w:pPr>
      <w:r>
        <w:rPr>
          <w:rFonts w:ascii="Arial" w:cs="Arial" w:eastAsia="Arial" w:hAnsi="Arial"/>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900" w:right="240" w:hanging="379"/>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8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18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specifically related to the adoption of new guidance impacting the condensed consolidated statements of cash flows (see Note 2).</w:t>
      </w:r>
    </w:p>
    <w:p>
      <w:pPr>
        <w:spacing w:after="0" w:line="360"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In May 2014, the FASB issued comprehensive new revenue recognition guidance.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recognize revenue when it transfers promised services to customers in an amount that reflects the consideration to which the company expects to be entitled in exchange for those services and requires enhanced disclosures. The guidance also changes the accounting for certain contract costs, including whether they may be offset against revenue in the condensed consolidated statements of operations. On July 9, 2015, the FASB approved the deferral of the effective date of the new revenue guidance by one year to annual reporting periods beginning after December 15, 2017. The guidance may be adopted using a full retrospective approach or a modified cumulative effect approach. The Company adopted the revenue recognition guidance upon its effective date of January 1, 2018 using the modified cumulative effect approach. The Company applied the new guidance to contracts that have not yet been completed as of the adoption date. The Company’s adoption efforts included the identification of revenue within the scope of the guidance and the evaluation of revenue contracts.</w:t>
      </w:r>
    </w:p>
    <w:p>
      <w:pPr>
        <w:spacing w:after="0" w:line="182"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The Company evaluated the potential impact of the new guidance, including (i) the timing of revenue recognition for Financial Advisory and Asset Management fees and (ii) the presentation of certain contract costs. With respect to revenue recognition, the Company assessed the impact of the new guidance on the recognition of fees for Financial Advisory (e.g., transaction completion, transaction announcement and retainers), and Asset Management (e.g., management and incentive fees). This assessment included an analysis of whether the Company’s fulfillment of its performance obligations would be deemed to occur over time, or at specific points in time, under the new guidance. Specifically, recognition would be deemed to occur over time if the client receives and consumes benefits from the services as the Company performs the services.The Company concluded that Financial Advisory and Asset Management fees would typically be recognized over time as performance occurs, subject to constraints, using an appropriate measure of progress based on resources consumed, which is consistent with when the client receives benefits. There was no material impact to the Company’s recognition of revenue upon adoption of the new guidance.</w:t>
      </w:r>
    </w:p>
    <w:p>
      <w:pPr>
        <w:spacing w:after="0" w:line="18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new guidance requires the Company to prospectively present certain contract costs on a gross basis. The most significant changes with respect to presentation relate to (a) certain distribution costs within our Asset Management business and (b) certain reimbursable deal costs within our Financial Advisory business, both of which were previously presented net against revenues and are now presented as expenses on a gross basis under the new guidance because the Company is primarily responsible for fulfilling the promise of the arrangement. For the first quarter of 2018, the presentation of such costs on a gross basis resulted in an increase to net revenue of $23,562, primarily comprised of increases to asset management fees and investment banking and other advisory fees. In addition, there was a corresponding increase to operating expenses of $23,562, primarily comprised of an increase to distribution costs presented within fund administration and outsourced services and an increase to reimbursable deal costs presented within marketing and business development. These amounts would have been presented on a net basis prior to the adoption of the new guidance, and there was no material impact to net income as a result of the gross basis of presentation under the new guidance.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3 for further information on contracts within the scope of the new guidance.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 w:name="page13"/>
    <w:bookmarkEnd w:id="1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In August and November 2016, the FASB issued updated guidance which clarifies how</w:t>
      </w:r>
      <w:r>
        <w:rPr>
          <w:rFonts w:ascii="Arial" w:cs="Arial" w:eastAsia="Arial" w:hAnsi="Arial"/>
          <w:sz w:val="17"/>
          <w:szCs w:val="17"/>
          <w:i w:val="1"/>
          <w:iCs w:val="1"/>
          <w:color w:val="auto"/>
        </w:rPr>
        <w:t xml:space="preserve"> </w:t>
      </w:r>
      <w:r>
        <w:rPr>
          <w:rFonts w:ascii="Arial" w:cs="Arial" w:eastAsia="Arial" w:hAnsi="Arial"/>
          <w:sz w:val="17"/>
          <w:szCs w:val="17"/>
          <w:color w:val="auto"/>
        </w:rPr>
        <w:t>a company should classify certain cash receipts and cash payments on the statement of cash flows and clarifies that restricted cash should be included in the total of cash and cash equivalents on the statement of cash flows. The new guidance for both updates is effective for annual and interim periods beginning after December 15, 2017 and is to be applied on a retrospective basis. The Company adopted this new guidance on January 1, 2018. The adoption of the new guidance in the first quarter of 2018 resulted in the reclassification of “cash deposited with clearing organization and other segregated cash” and “deposits with banks and short-term investments” from operating activities to components of “cash and cash equivalents and restricted cash” on the condensed consolidated statement of cash flows. In addition, the Company reclassified cash flows related to customer deposits from operating activities to financing activities. This resulted in changes in deposits with banks and short-term investments and customer deposits no longer being reflected in cash flows from operating activities. Except for the reclassification of these items on the condensed consolidated statement of cash flows, the new guidance had no impact on the Company’s financial statements.</w:t>
      </w:r>
    </w:p>
    <w:p>
      <w:pPr>
        <w:spacing w:after="0" w:line="178"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In January 2017, the FASB issued updated guidance to clarify the definition of a business within the context</w:t>
      </w:r>
      <w:r>
        <w:rPr>
          <w:rFonts w:ascii="Arial" w:cs="Arial" w:eastAsia="Arial" w:hAnsi="Arial"/>
          <w:sz w:val="17"/>
          <w:szCs w:val="17"/>
          <w:i w:val="1"/>
          <w:iCs w:val="1"/>
          <w:color w:val="auto"/>
        </w:rPr>
        <w:t xml:space="preserve"> </w:t>
      </w:r>
      <w:r>
        <w:rPr>
          <w:rFonts w:ascii="Arial" w:cs="Arial" w:eastAsia="Arial" w:hAnsi="Arial"/>
          <w:sz w:val="17"/>
          <w:szCs w:val="17"/>
          <w:color w:val="auto"/>
        </w:rPr>
        <w:t>of business combinations. The updated guidance requires that when substantially all of the fair value of the gross assets acquired (or disposed of) is concentrated in a single identifiable asset or a group of similar identifiable assets, the set is not a business. This updated guidance is expected to reduce the number of transactions that need to be further evaluated as business combinations. If further evaluation is necessary, the updated guidance will require that a business set include, at a minimum, an input and a substantive process that together significantly contribute to the ability to create output. The updated guidance will remove the evaluation of whether a market participant could replace missing elements. The new guidance is effective for annual and interim periods beginning after December 15, 2017 and is to be applied on a prospective basis. The Company adopted the new guidance on January 1, 2018 and it will be applied to business combinations on a prospective basis.</w:t>
      </w:r>
    </w:p>
    <w:p>
      <w:pPr>
        <w:spacing w:after="0" w:line="179" w:lineRule="exact"/>
        <w:rPr>
          <w:sz w:val="20"/>
          <w:szCs w:val="20"/>
          <w:color w:val="auto"/>
        </w:rPr>
      </w:pPr>
    </w:p>
    <w:p>
      <w:pPr>
        <w:ind w:right="240" w:firstLine="518"/>
        <w:spacing w:after="0" w:line="271" w:lineRule="auto"/>
        <w:rPr>
          <w:sz w:val="20"/>
          <w:szCs w:val="20"/>
          <w:color w:val="auto"/>
        </w:rPr>
      </w:pPr>
      <w:r>
        <w:rPr>
          <w:rFonts w:ascii="Arial" w:cs="Arial" w:eastAsia="Arial" w:hAnsi="Arial"/>
          <w:sz w:val="17"/>
          <w:szCs w:val="17"/>
          <w:i w:val="1"/>
          <w:iCs w:val="1"/>
          <w:color w:val="auto"/>
        </w:rPr>
        <w:t>Compensation</w:t>
      </w:r>
      <w:r>
        <w:rPr>
          <w:rFonts w:ascii="Arial" w:cs="Arial" w:eastAsia="Arial" w:hAnsi="Arial"/>
          <w:sz w:val="17"/>
          <w:szCs w:val="17"/>
          <w:color w:val="auto"/>
        </w:rPr>
        <w:t>—</w:t>
      </w:r>
      <w:r>
        <w:rPr>
          <w:rFonts w:ascii="Arial" w:cs="Arial" w:eastAsia="Arial" w:hAnsi="Arial"/>
          <w:sz w:val="17"/>
          <w:szCs w:val="17"/>
          <w:i w:val="1"/>
          <w:iCs w:val="1"/>
          <w:color w:val="auto"/>
        </w:rPr>
        <w:t>Retirement Benefits</w:t>
      </w:r>
      <w:r>
        <w:rPr>
          <w:rFonts w:ascii="Arial" w:cs="Arial" w:eastAsia="Arial" w:hAnsi="Arial"/>
          <w:sz w:val="17"/>
          <w:szCs w:val="17"/>
          <w:color w:val="auto"/>
        </w:rPr>
        <w:t>—</w:t>
      </w:r>
      <w:r>
        <w:rPr>
          <w:rFonts w:ascii="Arial" w:cs="Arial" w:eastAsia="Arial" w:hAnsi="Arial"/>
          <w:sz w:val="17"/>
          <w:szCs w:val="17"/>
          <w:i w:val="1"/>
          <w:iCs w:val="1"/>
          <w:color w:val="auto"/>
        </w:rPr>
        <w:t>Improving the Presentation of Net Periodic Pension Cost and Net Periodic Postretirement Benefit Cost</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2016, the FASB issued updated guidance on the presentation of net benefit cost in the statement of operations and the components eligible for capitalization. The new guidance requires that only the service cost component of net periodic pension cost and net periodic postretirement benefit cost be presented with other employee compensation costs in operating expenses, applied on a retrospective basis. The other components of net benefit cost, including amortization of prior service cost, and gains and losses from settlements and curtailments, are to be included in non-operating expenses. The new guidance also stipulates that only the service cost component of net benefit cost is eligible for capitalization, applied on a prospective basis. This new guidance is effective for annual and interim periods beginning after December 15, 2017. The Company adopted the new guidance on January 1, 2018 and there was no material impact to the Company’s financial statements.</w:t>
      </w:r>
    </w:p>
    <w:p>
      <w:pPr>
        <w:spacing w:after="0" w:line="17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Compensation—Stock Compensation: Scope of Modification Accounting—</w:t>
      </w:r>
      <w:r>
        <w:rPr>
          <w:rFonts w:ascii="Arial" w:cs="Arial" w:eastAsia="Arial" w:hAnsi="Arial"/>
          <w:sz w:val="18"/>
          <w:szCs w:val="18"/>
          <w:color w:val="auto"/>
        </w:rPr>
        <w:t>In May 2017, the FASB issued updated guidance on modifications to share-based payment awards. The updated guidance requires entities to account for the effects of a modification to a share-based payment award unless the following are all the same immediately before and after the modification: (i) the fair value of the award, (ii) the vesting conditions of the award, and (iii) the classification of the award as an equity instrument or a liability instrument. This new guidance is effective for annual and interim periods beginning after December 15, 2017 and is to be applied on a prospective basis. The Company adopted the new guidance on January 1, 2018, and there was no material impact to the Company’s financial statements.</w:t>
      </w:r>
    </w:p>
    <w:p>
      <w:pPr>
        <w:spacing w:after="0" w:line="193" w:lineRule="exact"/>
        <w:rPr>
          <w:sz w:val="20"/>
          <w:szCs w:val="20"/>
          <w:color w:val="auto"/>
        </w:rPr>
      </w:pPr>
    </w:p>
    <w:p>
      <w:pPr>
        <w:ind w:right="20" w:firstLine="552"/>
        <w:spacing w:after="0" w:line="271" w:lineRule="auto"/>
        <w:rPr>
          <w:sz w:val="20"/>
          <w:szCs w:val="20"/>
          <w:color w:val="auto"/>
        </w:rPr>
      </w:pP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In February 2018, the FASB issued updated guidance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effects of items in “accumulated other comprehensive income (loss), net of tax” (“AOCI”). Specifically, the new guidance will permit, but not require, a reclassification from AOCI to retained earnings for stranded tax effects resulting from the newly enacted federal corporate income tax rate under the Tax Cuts and Jobs Act of 2017 (see Note 15). The amount of the reclassification would be the difference between the historical corporate income tax rate and the newly enacted 21% corporate income tax rate. The new guidance is effective for annual and interim periods beginning after December 15, 2018, with an option to apply it in the period of adoption or on a retrospective basis for each period in which the effect of the change in the U.S. federal corporate income tax rate is recognized. Early adoption of the new guidance is permitted for public business entities for reporting periods for which financial statements have not yet been issued. The Company is currently evaluating the new guidance.</w:t>
      </w:r>
    </w:p>
    <w:p>
      <w:pPr>
        <w:spacing w:after="0" w:line="179"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—In February 2016, the FASB issued updated guidance for leases. The guidance requires a lessee to (i) recognize a right-of-use asset and a</w:t>
      </w:r>
      <w:r>
        <w:rPr>
          <w:rFonts w:ascii="Arial" w:cs="Arial" w:eastAsia="Arial" w:hAnsi="Arial"/>
          <w:sz w:val="18"/>
          <w:szCs w:val="18"/>
          <w:i w:val="1"/>
          <w:iCs w:val="1"/>
          <w:color w:val="auto"/>
        </w:rPr>
        <w:t xml:space="preserve"> </w:t>
      </w:r>
      <w:r>
        <w:rPr>
          <w:rFonts w:ascii="Arial" w:cs="Arial" w:eastAsia="Arial" w:hAnsi="Arial"/>
          <w:sz w:val="18"/>
          <w:szCs w:val="18"/>
          <w:color w:val="auto"/>
        </w:rPr>
        <w:t>lease 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 within operating activities in the statement of cash flows. The new guidance is effective for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annual and interim periods beginning after December 15, 2018, with early adoption permitted. The new guidance is to be applied on a modified retrospective basis. The Company is currently evaluating the new guidance.</w:t>
      </w:r>
    </w:p>
    <w:p>
      <w:pPr>
        <w:spacing w:after="0" w:line="170"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—In June 2016, the FASB issued new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173"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—In January 2017, the FASB issued updated guidance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368"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b w:val="1"/>
          <w:bCs w:val="1"/>
          <w:i w:val="1"/>
          <w:iCs w:val="1"/>
          <w:color w:val="auto"/>
        </w:rPr>
        <w:t>Investment Banking and Other Advisory Fees</w:t>
      </w:r>
      <w:r>
        <w:rPr>
          <w:rFonts w:ascii="Arial" w:cs="Arial" w:eastAsia="Arial" w:hAnsi="Arial"/>
          <w:sz w:val="17"/>
          <w:szCs w:val="17"/>
          <w:color w:val="auto"/>
        </w:rPr>
        <w:t>—Fees for Financial Advisory services are recorded when: (i) a contract with a client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identified, (ii) the performance obligations in the contract have been identified, (iii) the fee or other transaction price has been determined; (iv) the fee or other transaction price has been allocated to each performance obligation in the contract; and (v) the Company has satisfied the applicable performance obligation. The expenses that are directly related to such transactions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investment banking and other advisory fees.</w:t>
      </w:r>
    </w:p>
    <w:p>
      <w:pPr>
        <w:spacing w:after="0" w:line="178"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b w:val="1"/>
          <w:bCs w:val="1"/>
          <w:i w:val="1"/>
          <w:iCs w:val="1"/>
          <w:color w:val="auto"/>
        </w:rPr>
        <w:t>Asset Management Fees</w:t>
      </w:r>
      <w:r>
        <w:rPr>
          <w:rFonts w:ascii="Arial" w:cs="Arial" w:eastAsia="Arial" w:hAnsi="Arial"/>
          <w:sz w:val="16"/>
          <w:szCs w:val="16"/>
          <w:color w:val="auto"/>
        </w:rPr>
        <w:t>—Fees for Asset Management services are primarily comprised of management fees and incentive fees. Management fees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derived from fees for investment management and other services provided to clients. Revenue is recorded in accordance with the same five criteria as Financial Advisory fees, which generally results in management fees being recorded on an accrual basis, primarily based on a percentage of client assets managed. Fees vary with the type of assets managed, with higher fees earned on equity assets, alternative investment (such as hedge fund) and private equity funds, and lower fees earned on fixed income and money market products. Expenses that are directly related to the sale or distribution of fund interests are recorded as incurred and presented within operating expenses when the Company is primarily responsible for fulfilling the promise of the</w:t>
      </w:r>
    </w:p>
    <w:p>
      <w:pPr>
        <w:spacing w:after="0" w:line="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arrangement. Revenues associated with the reimbursement of such expenses are recorded when the Company is contractually entitled to reimbursement and presented within asset management fees.</w:t>
      </w:r>
    </w:p>
    <w:p>
      <w:pPr>
        <w:spacing w:after="0" w:line="184"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For hedge funds, incentive fees are calculated based on a specific percentage of a fund’s net appreciation, in some cases in excess of established benchmarks or thresholds. The Company records incentive fees on traditional products and hedge funds when a significant reversal in the amount of the cumulative revenue to be recognized is not probable, which is typically at the end of the relevant performance measurement period. The incentive fee measurement period is generally an annual period (unless an account is terminated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8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the Company records incentive fees earned on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private equity funds when a significant reversal in the amount of the cumulative revenue to be recognized is not probable, which is typically at the end of the relevant performance period.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248" w:lineRule="exact"/>
        <w:rPr>
          <w:sz w:val="20"/>
          <w:szCs w:val="20"/>
          <w:color w:val="auto"/>
        </w:rPr>
      </w:pPr>
    </w:p>
    <w:p>
      <w:pPr>
        <w:ind w:right="680" w:firstLine="518"/>
        <w:spacing w:after="0" w:line="308" w:lineRule="auto"/>
        <w:rPr>
          <w:sz w:val="20"/>
          <w:szCs w:val="20"/>
          <w:color w:val="auto"/>
        </w:rPr>
      </w:pPr>
      <w:r>
        <w:rPr>
          <w:rFonts w:ascii="Arial" w:cs="Arial" w:eastAsia="Arial" w:hAnsi="Arial"/>
          <w:sz w:val="17"/>
          <w:szCs w:val="17"/>
          <w:color w:val="auto"/>
        </w:rPr>
        <w:t>The Company disaggregates revenue based on its business segment results and believes that the following information provides a reasonable representation of how performance obligations relate to the nature, amount, timing and uncertainty of revenue and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March 31, 2018 (d)</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2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Financial Advisory (a)</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409,121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4200" w:type="dxa"/>
            <w:vAlign w:val="bottom"/>
            <w:tcBorders>
              <w:top w:val="single" w:sz="8" w:color="CFF0FC"/>
            </w:tcBorders>
            <w:shd w:val="clear" w:color="auto" w:fill="CFF0FC"/>
          </w:tcPr>
          <w:p>
            <w:pPr>
              <w:spacing w:after="0"/>
              <w:rPr>
                <w:sz w:val="18"/>
                <w:szCs w:val="18"/>
                <w:color w:val="auto"/>
              </w:rPr>
            </w:pPr>
          </w:p>
        </w:tc>
        <w:tc>
          <w:tcPr>
            <w:tcW w:w="25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Management Fees and Other (b)</w:t>
            </w:r>
          </w:p>
        </w:tc>
        <w:tc>
          <w:tcPr>
            <w:tcW w:w="2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348,684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6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Incentive Fees (c)</w:t>
            </w:r>
          </w:p>
        </w:tc>
        <w:tc>
          <w:tcPr>
            <w:tcW w:w="2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Asset Management</w:t>
            </w:r>
          </w:p>
        </w:tc>
        <w:tc>
          <w:tcPr>
            <w:tcW w:w="2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354,283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20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80" w:right="120" w:hanging="372"/>
        <w:spacing w:after="0" w:line="271"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Financial Advisory is comprised of M&amp;A Advisory, Capital Advisory, Capital Raising, Restructuring, Shareholder Advisory, Sovereign Advisory,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178" w:lineRule="exact"/>
        <w:rPr>
          <w:rFonts w:ascii="Arial" w:cs="Arial" w:eastAsia="Arial" w:hAnsi="Arial"/>
          <w:sz w:val="17"/>
          <w:szCs w:val="17"/>
          <w:color w:val="auto"/>
        </w:rPr>
      </w:pPr>
    </w:p>
    <w:p>
      <w:pPr>
        <w:ind w:left="380" w:hanging="372"/>
        <w:spacing w:after="0" w:line="25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fees and other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other, and the benefits of such services are transferred to the Company’s clients at the point in time that such fund interests are sold or distributed.</w:t>
      </w:r>
    </w:p>
    <w:p>
      <w:pPr>
        <w:spacing w:after="0" w:line="188" w:lineRule="exact"/>
        <w:rPr>
          <w:rFonts w:ascii="Arial" w:cs="Arial" w:eastAsia="Arial" w:hAnsi="Arial"/>
          <w:sz w:val="18"/>
          <w:szCs w:val="18"/>
          <w:color w:val="auto"/>
        </w:rPr>
      </w:pPr>
    </w:p>
    <w:p>
      <w:pPr>
        <w:ind w:left="380" w:right="20" w:hanging="372"/>
        <w:spacing w:after="0" w:line="259"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186" w:lineRule="exact"/>
        <w:rPr>
          <w:rFonts w:ascii="Arial" w:cs="Arial" w:eastAsia="Arial" w:hAnsi="Arial"/>
          <w:sz w:val="18"/>
          <w:szCs w:val="18"/>
          <w:color w:val="auto"/>
        </w:rPr>
      </w:pPr>
    </w:p>
    <w:p>
      <w:pPr>
        <w:ind w:left="380" w:right="360" w:hanging="372"/>
        <w:spacing w:after="0" w:line="264"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addition to the above, contracts with clients include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73"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 Therefore, when applying the practical expedients, amounts related to remaining performance obligations are not material to the Company’s financial statements.</w:t>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5" w:name="page16"/>
    <w:bookmarkEnd w:id="1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fee receivables, amounts due from customers and other receivables.</w:t>
      </w:r>
    </w:p>
    <w:p>
      <w:pPr>
        <w:spacing w:after="0" w:line="225"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in the allowance for doubtful accounts for the three month periods ended March 31, 2018 and 2017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80" w:type="dxa"/>
            <w:vAlign w:val="bottom"/>
            <w:gridSpan w:val="4"/>
          </w:tcPr>
          <w:p>
            <w:pPr>
              <w:jc w:val="right"/>
              <w:ind w:right="85"/>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25"/>
              <w:spacing w:after="0"/>
              <w:rPr>
                <w:sz w:val="20"/>
                <w:szCs w:val="20"/>
                <w:color w:val="auto"/>
              </w:rPr>
            </w:pPr>
            <w:r>
              <w:rPr>
                <w:rFonts w:ascii="Arial" w:cs="Arial" w:eastAsia="Arial" w:hAnsi="Arial"/>
                <w:sz w:val="14"/>
                <w:szCs w:val="14"/>
                <w:b w:val="1"/>
                <w:bCs w:val="1"/>
                <w:color w:val="auto"/>
              </w:rPr>
              <w:t>March 31,</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ind w:right="86"/>
              <w:spacing w:after="0" w:line="155"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1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0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16,386</w:t>
            </w: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1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15,952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13,651</w:t>
            </w:r>
          </w:p>
        </w:tc>
        <w:tc>
          <w:tcPr>
            <w:tcW w:w="120" w:type="dxa"/>
            <w:vAlign w:val="bottom"/>
          </w:tcPr>
          <w:p>
            <w:pPr>
              <w:spacing w:after="0"/>
              <w:rPr>
                <w:sz w:val="19"/>
                <w:szCs w:val="19"/>
                <w:color w:val="auto"/>
              </w:rPr>
            </w:pPr>
          </w:p>
        </w:tc>
      </w:tr>
      <w:tr>
        <w:trPr>
          <w:trHeight w:val="215"/>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16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16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(1,141)</w:t>
            </w:r>
          </w:p>
        </w:tc>
        <w:tc>
          <w:tcPr>
            <w:tcW w:w="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(375)</w:t>
            </w: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Ending Balance</w:t>
            </w:r>
          </w:p>
        </w:tc>
        <w:tc>
          <w:tcPr>
            <w:tcW w:w="16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10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29,662</w:t>
            </w:r>
          </w:p>
        </w:tc>
        <w:tc>
          <w:tcPr>
            <w:tcW w:w="1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Bad debt expense, net of recoveries is included in “operating expenses</w:t>
      </w:r>
      <w:r>
        <w:rPr>
          <w:rFonts w:ascii="Arial" w:cs="Arial" w:eastAsia="Arial" w:hAnsi="Arial"/>
          <w:sz w:val="18"/>
          <w:szCs w:val="18"/>
          <w:i w:val="1"/>
          <w:iCs w:val="1"/>
          <w:color w:val="auto"/>
        </w:rPr>
        <w:t>—</w:t>
      </w:r>
      <w:r>
        <w:rPr>
          <w:rFonts w:ascii="Arial" w:cs="Arial" w:eastAsia="Arial" w:hAnsi="Arial"/>
          <w:sz w:val="18"/>
          <w:szCs w:val="18"/>
          <w:color w:val="auto"/>
        </w:rPr>
        <w:t>other” on the condensed consolidated statements of operations.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March 31, 2018 and December 31, 2017, the Company had receivables past due or deemed uncollectible of $40,438 and $34,865, respectively.</w:t>
      </w:r>
    </w:p>
    <w:p>
      <w:pPr>
        <w:spacing w:after="0" w:line="248"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Of the Company’s fee receivables at March 31, 2018 and December 31, 2017, $81,572 and $80,536,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81"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$593,114 and $491,080 at March 31, 2018 and December 31, 2017, respectively, approximates fair value.</w:t>
      </w:r>
    </w:p>
    <w:p>
      <w:pPr>
        <w:spacing w:after="0" w:line="360"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March 31, 2018 and December 31,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3"/>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40" w:type="dxa"/>
            <w:vAlign w:val="bottom"/>
            <w:tcBorders>
              <w:bottom w:val="single" w:sz="8" w:color="CFF0FC"/>
            </w:tcBorders>
          </w:tcPr>
          <w:p>
            <w:pPr>
              <w:spacing w:after="0"/>
              <w:rPr>
                <w:sz w:val="14"/>
                <w:szCs w:val="14"/>
                <w:color w:val="auto"/>
              </w:rPr>
            </w:pPr>
          </w:p>
        </w:tc>
        <w:tc>
          <w:tcPr>
            <w:tcW w:w="10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Debt</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Equities</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40,778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Funds: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Debt (a)</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62,808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84,077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157,693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199,618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Private equity</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75,570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313,618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381,367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investments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354,952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427,186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Less: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Interest-bearing deposits</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0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354,403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426,630</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3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5620"/>
              <w:spacing w:after="0"/>
              <w:rPr>
                <w:sz w:val="20"/>
                <w:szCs w:val="20"/>
                <w:color w:val="auto"/>
              </w:rPr>
            </w:pPr>
            <w:r>
              <w:rPr>
                <w:rFonts w:ascii="Arial" w:cs="Arial" w:eastAsia="Arial" w:hAnsi="Arial"/>
                <w:sz w:val="18"/>
                <w:szCs w:val="18"/>
                <w:color w:val="auto"/>
              </w:rPr>
              <w:t>14</w:t>
            </w: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6" w:name="page17"/>
    <w:bookmarkEnd w:id="1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2090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39" w:lineRule="exact"/>
        <w:rPr>
          <w:sz w:val="20"/>
          <w:szCs w:val="20"/>
          <w:color w:val="auto"/>
        </w:rPr>
      </w:pPr>
    </w:p>
    <w:p>
      <w:pPr>
        <w:ind w:left="380" w:hanging="372"/>
        <w:spacing w:after="0" w:line="257"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$8,294, $32,190 and $89,491, respectively, at March 31, 2018 and $11,213, $48,391 and $131,893, respectively, at December 31, 2017,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7 and 13).</w:t>
      </w:r>
    </w:p>
    <w:p>
      <w:pPr>
        <w:spacing w:after="0" w:line="202" w:lineRule="exact"/>
        <w:rPr>
          <w:sz w:val="20"/>
          <w:szCs w:val="20"/>
          <w:color w:val="auto"/>
        </w:rPr>
      </w:pPr>
    </w:p>
    <w:p>
      <w:pPr>
        <w:ind w:right="900" w:firstLine="51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funds of funds and mutual funds.</w:t>
      </w:r>
    </w:p>
    <w:p>
      <w:pPr>
        <w:spacing w:after="0" w:line="225"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right="260" w:firstLine="518"/>
        <w:spacing w:after="0" w:line="297"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a fund targeting significant noncontrolling-stake investments in established private companies and (iii) until the second quarter of 2017, a mezzanine fund (the “Mezzanine Fund”), which invests in mezzanine debt of a diversified selection of small- to mid-cap European companies. Lazard sold its interest in the Mezzanine Fund in May 2017.</w:t>
      </w:r>
    </w:p>
    <w:p>
      <w:pPr>
        <w:spacing w:after="0" w:line="15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During the three month periods ended March 31, 2018 and 2017, the Company reported in “revenue-other” on its condensed consolidated statements of operations net unrealized investment gains and losses pertaining to “trading” securities still held as of the reporting date as follows:</w:t>
      </w:r>
    </w:p>
    <w:p>
      <w:pPr>
        <w:spacing w:after="0" w:line="152"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-3175</wp:posOffset>
            </wp:positionV>
            <wp:extent cx="21780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ind w:left="8500"/>
        <w:spacing w:after="0"/>
        <w:tabs>
          <w:tab w:leader="none" w:pos="103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tabs>
          <w:tab w:leader="none" w:pos="7840" w:val="left"/>
          <w:tab w:leader="none" w:pos="8940" w:val="left"/>
          <w:tab w:leader="none" w:pos="9700" w:val="left"/>
          <w:tab w:leader="none" w:pos="10780" w:val="left"/>
        </w:tabs>
        <w:rPr>
          <w:sz w:val="20"/>
          <w:szCs w:val="20"/>
          <w:color w:val="auto"/>
        </w:rPr>
      </w:pPr>
      <w:r>
        <w:rPr>
          <w:rFonts w:ascii="Arial" w:cs="Arial" w:eastAsia="Arial" w:hAnsi="Arial"/>
          <w:sz w:val="18"/>
          <w:szCs w:val="18"/>
          <w:color w:val="auto"/>
        </w:rPr>
        <w:t>Net unrealized investment gains (losses)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(9,291)</w:t>
        <w:tab/>
        <w:t>$</w:t>
      </w:r>
      <w:r>
        <w:rPr>
          <w:sz w:val="20"/>
          <w:szCs w:val="20"/>
          <w:color w:val="auto"/>
        </w:rPr>
        <w:tab/>
      </w:r>
      <w:r>
        <w:rPr>
          <w:rFonts w:ascii="Arial" w:cs="Arial" w:eastAsia="Arial" w:hAnsi="Arial"/>
          <w:sz w:val="15"/>
          <w:szCs w:val="15"/>
          <w:color w:val="auto"/>
        </w:rPr>
        <w:t>13,180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30480</wp:posOffset>
            </wp:positionV>
            <wp:extent cx="21780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580" w:right="380" w:hanging="58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580" w:right="160" w:hanging="58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7" w:name="page18"/>
    <w:bookmarkEnd w:id="1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19" w:lineRule="exact"/>
        <w:rPr>
          <w:sz w:val="20"/>
          <w:szCs w:val="20"/>
          <w:color w:val="auto"/>
        </w:rPr>
      </w:pPr>
    </w:p>
    <w:p>
      <w:pPr>
        <w:ind w:left="580" w:hanging="580"/>
        <w:spacing w:after="0" w:line="30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Assets and liabilities whose values are based on prices or valuation techniques that require inputs that are both unobservable and significant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54"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costs” in the condensed 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condensed consolidated statements of financial condition. See Note 11.</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9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The following tables present, as of March 31, 2018 and December 31, 2017, the classification of (i) investments and certain other assets and liabilities measured at fair value on a recurring basis within the fair value hierarchy and (ii) investments measured at NAV or its equivalent as a practical expedient: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6"/>
              </w:rPr>
              <w:t>March 31, 2018</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16,540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62,801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157,640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157,693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276,167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76,637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366,010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4,274</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214,975</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214,975</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28,974</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199,565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199,618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344,660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80,378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430,362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198,417</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9" w:name="page20"/>
    <w:bookmarkEnd w:id="1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and liabilities for the three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6"/>
              </w:rPr>
              <w:t>Three Months Ended March 31, 2018</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22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100" w:type="dxa"/>
            <w:vAlign w:val="bottom"/>
            <w:gridSpan w:val="3"/>
          </w:tcPr>
          <w:p>
            <w:pPr>
              <w:jc w:val="center"/>
              <w:ind w:right="6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Sales/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Dispositions</w:t>
            </w:r>
          </w:p>
        </w:tc>
        <w:tc>
          <w:tcPr>
            <w:tcW w:w="6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gridSpan w:val="2"/>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1,592</w:t>
            </w:r>
          </w:p>
        </w:tc>
        <w:tc>
          <w:tcPr>
            <w:tcW w:w="220" w:type="dxa"/>
            <w:vAlign w:val="bottom"/>
            <w:vMerge w:val="continue"/>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
              <w:spacing w:after="0"/>
              <w:rPr>
                <w:sz w:val="20"/>
                <w:szCs w:val="20"/>
                <w:color w:val="auto"/>
              </w:rPr>
            </w:pPr>
            <w:r>
              <w:rPr>
                <w:rFonts w:ascii="Arial" w:cs="Arial" w:eastAsia="Arial" w:hAnsi="Arial"/>
                <w:sz w:val="18"/>
                <w:szCs w:val="18"/>
                <w:color w:val="auto"/>
              </w:rPr>
              <w:t>(1)</w:t>
            </w:r>
          </w:p>
        </w:tc>
        <w:tc>
          <w:tcPr>
            <w:tcW w:w="8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vMerge w:val="continue"/>
          </w:tcPr>
          <w:p>
            <w:pPr>
              <w:spacing w:after="0"/>
              <w:rPr>
                <w:sz w:val="22"/>
                <w:szCs w:val="22"/>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2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28,941</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28,941</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6"/>
              </w:rPr>
              <w:t>Three Months Ended March 31, 2017</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22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100" w:type="dxa"/>
            <w:vAlign w:val="bottom"/>
            <w:gridSpan w:val="3"/>
          </w:tcPr>
          <w:p>
            <w:pPr>
              <w:jc w:val="center"/>
              <w:ind w:right="6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Sales/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Dispositions</w:t>
            </w:r>
          </w:p>
        </w:tc>
        <w:tc>
          <w:tcPr>
            <w:tcW w:w="6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gridSpan w:val="2"/>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1,508</w:t>
            </w:r>
          </w:p>
        </w:tc>
        <w:tc>
          <w:tcPr>
            <w:tcW w:w="220" w:type="dxa"/>
            <w:vAlign w:val="bottom"/>
            <w:vMerge w:val="continue"/>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22"/>
                <w:szCs w:val="22"/>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6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2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22,608</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(249)</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22,608</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2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20" w:hanging="372"/>
        <w:spacing w:after="0" w:line="286"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Earnings recorded in “other revenue” for investments in equities for the three month periods ended March 31, 2018 and 2017 include net unrealized losses of $1 and $0, respectively. Earnings recorded in “amortization and other acquisition-related costs” for the contingent consideration liability for the three month periods ended March 31, 2018 and 2017 include unrealized losses of $33 and $2,745, respectively.</w:t>
      </w:r>
    </w:p>
    <w:p>
      <w:pPr>
        <w:spacing w:after="0" w:line="166"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periods ended March 31, 2018 and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following tables present, at March 31, 2018 and December 31, 2017,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March 31, 2018</w:t>
            </w: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3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60" w:type="dxa"/>
            <w:vAlign w:val="bottom"/>
            <w:tcBorders>
              <w:top w:val="single" w:sz="8" w:color="auto"/>
            </w:tcBorders>
            <w:vMerge w:val="restart"/>
          </w:tcPr>
          <w:p>
            <w:pPr>
              <w:jc w:val="center"/>
              <w:ind w:right="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46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1060" w:type="dxa"/>
            <w:vAlign w:val="bottom"/>
          </w:tcPr>
          <w:p>
            <w:pPr>
              <w:jc w:val="right"/>
              <w:ind w:right="402"/>
              <w:spacing w:after="0" w:line="149" w:lineRule="exact"/>
              <w:rPr>
                <w:sz w:val="20"/>
                <w:szCs w:val="20"/>
                <w:color w:val="auto"/>
              </w:rPr>
            </w:pPr>
            <w:r>
              <w:rPr>
                <w:rFonts w:ascii="Arial" w:cs="Arial" w:eastAsia="Arial" w:hAnsi="Arial"/>
                <w:sz w:val="14"/>
                <w:szCs w:val="14"/>
                <w:b w:val="1"/>
                <w:bCs w:val="1"/>
                <w:color w:val="auto"/>
              </w:rPr>
              <w:t>5-10</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371</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 days</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2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75,570</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9,590</w:t>
            </w:r>
          </w:p>
        </w:tc>
        <w:tc>
          <w:tcPr>
            <w:tcW w:w="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80" w:type="dxa"/>
            <w:vAlign w:val="bottom"/>
            <w:tcBorders>
              <w:bottom w:val="single" w:sz="8" w:color="CFF0FC"/>
            </w:tcBorders>
            <w:gridSpan w:val="2"/>
          </w:tcPr>
          <w:p>
            <w:pPr>
              <w:ind w:left="660"/>
              <w:spacing w:after="0"/>
              <w:rPr>
                <w:sz w:val="20"/>
                <w:szCs w:val="20"/>
                <w:color w:val="auto"/>
              </w:rPr>
            </w:pPr>
            <w:r>
              <w:rPr>
                <w:rFonts w:ascii="Arial" w:cs="Arial" w:eastAsia="Arial" w:hAnsi="Arial"/>
                <w:sz w:val="16"/>
                <w:szCs w:val="16"/>
                <w:color w:val="auto"/>
              </w:rPr>
              <w:t>100%</w:t>
            </w:r>
          </w:p>
        </w:tc>
        <w:tc>
          <w:tcPr>
            <w:tcW w:w="10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w w:val="93"/>
              </w:rPr>
              <w:t>16%</w:t>
            </w:r>
          </w:p>
        </w:tc>
        <w:tc>
          <w:tcPr>
            <w:tcW w:w="1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w w:val="93"/>
              </w:rPr>
              <w:t>39%</w:t>
            </w:r>
          </w:p>
        </w:tc>
        <w:tc>
          <w:tcPr>
            <w:tcW w:w="12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w w:val="93"/>
              </w:rPr>
              <w:t>45%</w:t>
            </w:r>
          </w:p>
        </w:tc>
        <w:tc>
          <w:tcPr>
            <w:tcW w:w="12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76,637</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9,590</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weekly (10%) and monthly (90)%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(19%), monthly (49%) and quarterly (32%)</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$18,694 are excluded. Such commitments are required to be funded by capital contributions from noncontrolling interest holders.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December 31, 2017</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20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 of</w:t>
            </w:r>
          </w:p>
        </w:tc>
        <w:tc>
          <w:tcPr>
            <w:tcW w:w="35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Investments Not Redeemable</w:t>
            </w:r>
          </w:p>
        </w:tc>
        <w:tc>
          <w:tcPr>
            <w:tcW w:w="2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4"/>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Redemption</w:t>
            </w:r>
          </w:p>
        </w:tc>
        <w:tc>
          <w:tcPr>
            <w:tcW w:w="10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60" w:type="dxa"/>
            <w:vAlign w:val="bottom"/>
          </w:tcPr>
          <w:p>
            <w:pPr>
              <w:jc w:val="right"/>
              <w:ind w:right="4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w w:val="98"/>
              </w:rPr>
              <w:t>Alternative investment funds:</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2,517</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6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04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6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04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6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4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76,679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10,300</w:t>
            </w:r>
          </w:p>
        </w:tc>
        <w:tc>
          <w:tcPr>
            <w:tcW w:w="40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(f)</w:t>
            </w:r>
          </w:p>
        </w:tc>
        <w:tc>
          <w:tcPr>
            <w:tcW w:w="1160" w:type="dxa"/>
            <w:vAlign w:val="bottom"/>
            <w:tcBorders>
              <w:bottom w:val="single" w:sz="8" w:color="CFF0FC"/>
            </w:tcBorders>
            <w:gridSpan w:val="2"/>
          </w:tcPr>
          <w:p>
            <w:pPr>
              <w:ind w:left="64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16%</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38%</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46%</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80,378</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10,300</w:t>
            </w: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weekly (3%), monthly (5%) and quarterly (92%)</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monthly (97%) and quarterly (3%)</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(18%), monthly (50%) and quarterly (32%)</w:t>
      </w:r>
    </w:p>
    <w:p>
      <w:pPr>
        <w:spacing w:after="0" w:line="9" w:lineRule="exact"/>
        <w:rPr>
          <w:rFonts w:ascii="Arial" w:cs="Arial" w:eastAsia="Arial" w:hAnsi="Arial"/>
          <w:sz w:val="18"/>
          <w:szCs w:val="18"/>
          <w:color w:val="auto"/>
        </w:rPr>
      </w:pPr>
    </w:p>
    <w:p>
      <w:pPr>
        <w:ind w:left="380" w:right="100" w:hanging="372"/>
        <w:spacing w:after="0" w:line="261"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$5,902 are excluded. Such commitments are required to be funded by capital contributions from noncontrolling interest holders.</w:t>
      </w:r>
    </w:p>
    <w:p>
      <w:pPr>
        <w:spacing w:after="0" w:line="184"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March 31, 2018,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$8,613.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ectPr>
          <w:pgSz w:w="11900" w:h="16838" w:orient="portrait"/>
          <w:cols w:equalWidth="0" w:num="1">
            <w:col w:w="11420"/>
          </w:cols>
          <w:pgMar w:left="240" w:top="121"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1" w:name="page22"/>
    <w:bookmarkEnd w:id="2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8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6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13) on the accompanying condensed consolidated statements of financial condition as of March 31, 2018 and December 31, 2017: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4"/>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Borders>
              <w:bottom w:val="single" w:sz="8" w:color="CFF0FC"/>
            </w:tcBorders>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6,379</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3,314</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11,607</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2,535</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4,846</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11,270</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212,416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182,301</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214,975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3" w:lineRule="exact"/>
        <w:rPr>
          <w:sz w:val="20"/>
          <w:szCs w:val="20"/>
          <w:color w:val="auto"/>
        </w:rPr>
      </w:pPr>
    </w:p>
    <w:p>
      <w:pPr>
        <w:ind w:left="380" w:right="60" w:hanging="372"/>
        <w:spacing w:after="0" w:line="259"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$5,602 and $398 as of March 31, 2018, respectively, and $469 and $11,321 as of December 31, 2017, respectively, for contracts with the same counterparty under legally enforceable master netting agreements. Such amounts are recorded “net” in “other assets”, with receivables for net cash collateral under such contracts of $1,896 and $17,616 as of March 31, 2018 and December 31, 2017,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periods ended March 31, 2018 and 2017,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06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18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(2,483)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w:t>
            </w:r>
          </w:p>
        </w:tc>
        <w:tc>
          <w:tcPr>
            <w:tcW w:w="120" w:type="dxa"/>
            <w:vAlign w:val="bottom"/>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(7,353)</w:t>
            </w: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18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(5,385)</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(11,266)</w:t>
            </w:r>
          </w:p>
        </w:tc>
        <w:tc>
          <w:tcPr>
            <w:tcW w:w="12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March 31, 2018 and December 31, 2017, property consisted of the following:</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156,068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178,495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173,102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188,231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20,223</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543,017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523,128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329,094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317,827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213,923</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205,301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March 31, 2018 and December 31, 2017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57"/>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383,107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385,292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5,221</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388,328</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391,364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At March 31, 2018 and December 31, 2017, goodwill of $318,566 and $320,751, respectively, was attributable to the Company’s Financial Advisory segment and, at each such respective date, $64,541 of goodwill was attributable to the Company’s Asset Management segment.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three month periods ended March 31, 2018 and 2017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385,292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373,117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6,691</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383,107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379,808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All changes in the carrying amount of goodwill for the three month periods ended March 31, 2018 and 2017 are attributable to the Company’s Financial Advisory segment.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March 31, 2018 and December 31, 2017,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94"/>
              </w:rPr>
              <w:t>March 31, 2018</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Success/incentive fees</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35,355</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30,432</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35,422</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29,723</w:t>
            </w:r>
          </w:p>
        </w:tc>
        <w:tc>
          <w:tcPr>
            <w:tcW w:w="18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Management fees, customer relationships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non-compete agreements</w:t>
            </w:r>
          </w:p>
        </w:tc>
        <w:tc>
          <w:tcPr>
            <w:tcW w:w="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33,740</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33,442</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33,749</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33,376</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69,095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63,874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69,171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63,099</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Amortization expense of intangible assets, included in “amortization and other acquisition-related costs” in the condensed consolidated statements of operations, for the three month periods ended March 31, 2018 and 2017 was $833 and $829, respectively. Estimated future amortization expense is as follows: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8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gridSpan w:val="3"/>
            <w:vMerge w:val="continue"/>
          </w:tcPr>
          <w:p>
            <w:pPr>
              <w:spacing w:after="0"/>
              <w:rPr>
                <w:sz w:val="15"/>
                <w:szCs w:val="15"/>
                <w:color w:val="auto"/>
              </w:rPr>
            </w:pPr>
          </w:p>
        </w:tc>
        <w:tc>
          <w:tcPr>
            <w:tcW w:w="58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Expense (a)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2018 (April 1 through December 31)</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FF0FC"/>
          </w:tcPr>
          <w:p>
            <w:pPr>
              <w:spacing w:after="0"/>
              <w:rPr>
                <w:sz w:val="19"/>
                <w:szCs w:val="19"/>
                <w:color w:val="auto"/>
              </w:rPr>
            </w:pPr>
          </w:p>
        </w:tc>
        <w:tc>
          <w:tcPr>
            <w:tcW w:w="5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gridSpan w:val="4"/>
          </w:tcPr>
          <w:p>
            <w:pPr>
              <w:spacing w:after="0"/>
              <w:rPr>
                <w:sz w:val="20"/>
                <w:szCs w:val="20"/>
                <w:color w:val="auto"/>
              </w:rPr>
            </w:pPr>
            <w:r>
              <w:rPr>
                <w:rFonts w:ascii="Arial" w:cs="Arial" w:eastAsia="Arial" w:hAnsi="Arial"/>
                <w:sz w:val="18"/>
                <w:szCs w:val="18"/>
                <w:color w:val="auto"/>
              </w:rPr>
              <w:t>Total amortization expense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540" w:hanging="384"/>
        <w:spacing w:after="0"/>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Approximately 37% of intangible asset amortization is attributable to a noncontrolling interest.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March 31,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Outstanding as of</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4"/>
              </w:rPr>
              <w:t>March 31, 2018</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4"/>
          </w:tcPr>
          <w:p>
            <w:pPr>
              <w:ind w:left="8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Rate(a)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1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Lazard Group 2020</w:t>
            </w:r>
          </w:p>
        </w:tc>
        <w:tc>
          <w:tcPr>
            <w:tcW w:w="6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497,583</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4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Lazard Group 2025</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396,757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396,639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Lazard Group 2027</w:t>
            </w:r>
          </w:p>
        </w:tc>
        <w:tc>
          <w:tcPr>
            <w:tcW w:w="6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3,510</w:t>
            </w: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296,490</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296,391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Pr>
          <w:p>
            <w:pPr>
              <w:ind w:left="26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1,200,000</w:t>
            </w:r>
          </w:p>
        </w:tc>
        <w:tc>
          <w:tcPr>
            <w:tcW w:w="120" w:type="dxa"/>
            <w:vAlign w:val="bottom"/>
          </w:tcPr>
          <w:p>
            <w:pPr>
              <w:spacing w:after="0"/>
              <w:rPr>
                <w:sz w:val="19"/>
                <w:szCs w:val="19"/>
                <w:color w:val="auto"/>
              </w:rPr>
            </w:pPr>
          </w:p>
        </w:tc>
        <w:tc>
          <w:tcPr>
            <w:tcW w:w="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9,170</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1,190,830</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1,200,000</w:t>
            </w:r>
          </w:p>
        </w:tc>
        <w:tc>
          <w:tcPr>
            <w:tcW w:w="120" w:type="dxa"/>
            <w:vAlign w:val="bottom"/>
          </w:tcPr>
          <w:p>
            <w:pPr>
              <w:spacing w:after="0"/>
              <w:rPr>
                <w:sz w:val="19"/>
                <w:szCs w:val="19"/>
                <w:color w:val="auto"/>
              </w:rPr>
            </w:pPr>
          </w:p>
        </w:tc>
        <w:tc>
          <w:tcPr>
            <w:tcW w:w="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9,617</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1,190,383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200" w:hanging="372"/>
        <w:spacing w:after="0" w:line="26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 interest rates of Lazard Group’s 4.25% senior notes due November 14, 2020 (the “2020 Notes”), Lazard Group’s 3.75% senior notes due February 13, 2025 (the “2025 Notes”) and Lazard Group’s 3.625% senior notes due March 1, 2027 (the “2027 Notes”) are 4.43%, 3.87% and 3.76%, respectively.</w:t>
      </w:r>
    </w:p>
    <w:p>
      <w:pPr>
        <w:spacing w:after="0" w:line="18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March 31, 2018 and December 31, 2017, no amounts were outstanding under the Amended and Restated Credit Agreement.</w:t>
      </w:r>
    </w:p>
    <w:p>
      <w:pPr>
        <w:spacing w:after="0" w:line="193"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Amended and Restated Credit Agreement, the indenture and the supplemental indentures relating to Lazard Group’s senior notes contain certain covenants, events of default and other customary provisions, including a customary make-whole provision 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event of early redemption, where applicable. As of March 31, 2018, the Company was in compliance with such provisions. All of the Company’s senior debt obligations are unsecured.</w:t>
      </w:r>
    </w:p>
    <w:p>
      <w:pPr>
        <w:spacing w:after="0" w:line="170"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As of March 31, 2018, the Company had approximately $170,000 in unused lines of credit available to it, including the credit facility provided under the Amended and Restated Credit Agreement and unused lines of credit available to LFB of approximately $18,000 (at March 31, 2018 exchange rates).</w:t>
      </w:r>
    </w:p>
    <w:p>
      <w:pPr>
        <w:spacing w:after="0" w:line="124"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Company’s senior debt at March 31, 2018 and December 31, 2017 is carried at historical amounts of $1,190,830 and $1,190,383, respectively. At those dates, the fair value of such senior debt was approximately $1,205,000 and $1,230,000, respectively. The fair value of the Company’s senior debt is based on market quotations. The Company’s senior debt would be categorized within Level 2 of the hierarchy of fair value measurements if carried at fair value.</w:t>
      </w:r>
    </w:p>
    <w:p>
      <w:pPr>
        <w:spacing w:after="0" w:line="376"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w:t>
      </w:r>
    </w:p>
    <w:p>
      <w:pPr>
        <w:spacing w:after="0" w:line="22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March 31, 2018, LFB had $2,922 of such indemnifications and held $2,922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87"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b w:val="1"/>
          <w:bCs w:val="1"/>
          <w:i w:val="1"/>
          <w:iCs w:val="1"/>
          <w:color w:val="auto"/>
        </w:rPr>
        <w:t>Business Acquisitions</w:t>
      </w:r>
      <w:r>
        <w:rPr>
          <w:rFonts w:ascii="Arial" w:cs="Arial" w:eastAsia="Arial" w:hAnsi="Arial"/>
          <w:sz w:val="16"/>
          <w:szCs w:val="16"/>
          <w:color w:val="auto"/>
        </w:rPr>
        <w:t>—For businesses acquired in 2016, the remaining consideration consists of (i) 60,817 shares of Class A common stock subject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non-compete provisions, and non-contingent interests exchangeable into 202,793 shares of Class A common stock, and (ii) up to 810,742 additional shares of Class A common stock that are subject to certain performance thresholds. As of March 31, 2018, none of the contingent shares had been earned.</w:t>
      </w:r>
    </w:p>
    <w:p>
      <w:pPr>
        <w:spacing w:after="0" w:line="14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March 31, 2018, LFB and LFNY had no such underwriting commitments.</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See Notes 6 and 14 for information regarding commitments relating to investment capital funding commitments and obligations to fund our pension plans, respectively.</w:t>
      </w:r>
    </w:p>
    <w:p>
      <w:pPr>
        <w:spacing w:after="0" w:line="170"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5" w:name="page26"/>
    <w:bookmarkEnd w:id="2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three month period ended March 31, 2018 and since 2015, the Board of Directors of Lazard authorized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of Class A common stock as set forth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40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15"/>
              <w:spacing w:after="0"/>
              <w:rPr>
                <w:sz w:val="20"/>
                <w:szCs w:val="20"/>
                <w:color w:val="auto"/>
              </w:rPr>
            </w:pPr>
            <w:r>
              <w:rPr>
                <w:rFonts w:ascii="Arial" w:cs="Arial" w:eastAsia="Arial" w:hAnsi="Arial"/>
                <w:sz w:val="14"/>
                <w:szCs w:val="14"/>
                <w:b w:val="1"/>
                <w:bCs w:val="1"/>
                <w:color w:val="auto"/>
              </w:rPr>
              <w:t>Repurchase</w:t>
            </w:r>
          </w:p>
        </w:tc>
        <w:tc>
          <w:tcPr>
            <w:tcW w:w="2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gridSpan w:val="2"/>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w w:val="99"/>
              </w:rPr>
              <w:t>Authorization</w:t>
            </w: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February 2015</w:t>
            </w:r>
          </w:p>
        </w:tc>
        <w:tc>
          <w:tcPr>
            <w:tcW w:w="25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January 2016</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2016</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113,182</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November 2016</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236,000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2017</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2019</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2008 Incentive Compensation Plan (the “2008 Plan”) and the Lazard Ltd 2018 Incentive Compensation Plan (the “2018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78"/>
        </w:trPr>
        <w:tc>
          <w:tcPr>
            <w:tcW w:w="6280" w:type="dxa"/>
            <w:vAlign w:val="bottom"/>
            <w:gridSpan w:val="3"/>
            <w:vMerge w:val="continue"/>
          </w:tcPr>
          <w:p>
            <w:pPr>
              <w:spacing w:after="0"/>
              <w:rPr>
                <w:sz w:val="15"/>
                <w:szCs w:val="15"/>
                <w:color w:val="auto"/>
              </w:rPr>
            </w:pPr>
          </w:p>
        </w:tc>
        <w:tc>
          <w:tcPr>
            <w:tcW w:w="12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7"/>
        </w:trPr>
        <w:tc>
          <w:tcPr>
            <w:tcW w:w="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428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2,464,967</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43.02</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2018</w:t>
            </w:r>
          </w:p>
        </w:tc>
        <w:tc>
          <w:tcPr>
            <w:tcW w:w="4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2,662,286</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During the three month periods ended March 31, 2018 and 2017, certain of our executive officers received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Class A common stock from the executive officers equal in value to all or a portion of the estimated amount of such tax. In addition, during the three month periods ended March 31, 2018 and 2017, the Company purchased shares of Class A common stock from certain of our executive officers. The aggregate value of all such purchases during the three month periods ended March 31, 2018 and 2017 was approximately $16,400 and $14,700, respectively.</w:t>
      </w:r>
    </w:p>
    <w:p>
      <w:pPr>
        <w:spacing w:after="0" w:line="17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As of March 31, 2018, a total of $102,435 of share repurchase authorization remained available under the Company’s share repurchase program, which will expire on December 31, 2019.</w:t>
      </w:r>
    </w:p>
    <w:p>
      <w:pPr>
        <w:spacing w:after="0" w:line="1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In addition, on April 25, 2018, the Board of Directors of Lazard authorized the repurchase of up to $300,000 of additional shares of Class A common stock, which authorization will expire on December 31, 2020, bringing the total share repurchase authorization as of April 25, 2018 to approximately $351,000.</w:t>
      </w:r>
    </w:p>
    <w:p>
      <w:pPr>
        <w:spacing w:after="0" w:line="18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During the three month period ended March 31, 2018, the Company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—Lazard Ltd has 15,000,000 authorized shares of preferred stock, par value $0.01 per share, inclusive of its Series A and Series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Series A and Series B preferred shares were issued in connection with certain prior year business acquisitions and were each non-participating securities convertible into Class A common stock, and had no voting or dividend rights. As of both March 31, 2018 and December 31, 2017, no shares of Series A or Series B preferred stock were outstanding,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b w:val="1"/>
          <w:bCs w:val="1"/>
          <w:i w:val="1"/>
          <w:iCs w:val="1"/>
          <w:color w:val="auto"/>
        </w:rPr>
        <w:t>Accumulated Other Comprehensive Income (Loss), Net of Tax</w:t>
      </w:r>
      <w:r>
        <w:rPr>
          <w:rFonts w:ascii="Arial" w:cs="Arial" w:eastAsia="Arial" w:hAnsi="Arial"/>
          <w:sz w:val="18"/>
          <w:szCs w:val="18"/>
          <w:color w:val="auto"/>
        </w:rPr>
        <w:t>—The tables below reflect the balances of each component of AOCI at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and 2017 and activity during the three month periods then ended: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Three Months Ended March 31, 2018</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January 1, 2018</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(83,535)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(148,984</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(232,519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(232,518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17,346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(5,014)</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12,332</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2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13,394</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March 31, 2018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(152,936</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(219,125</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(219,124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Three Months Ended March 31, 2017</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January 1, 2017</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(155,204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(159,020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(314,224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(314,222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16,437</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2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other comprehensive income</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17,523</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March 31,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(138,272</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(158,429</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(296,701</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(296,699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table below reflects adjustments for items reclassified out of AOCI, by component, for the three month periods ended March 31, 2018 and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20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20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20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8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6" w:lineRule="exact"/>
        <w:rPr>
          <w:sz w:val="20"/>
          <w:szCs w:val="20"/>
          <w:color w:val="auto"/>
        </w:rPr>
      </w:pPr>
    </w:p>
    <w:p>
      <w:pPr>
        <w:ind w:left="380" w:right="560" w:hanging="372"/>
        <w:spacing w:after="0" w:line="277"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14). Such amounts are included in “compensation and benefits” expense on the condensed consolidated statements of operations.</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500" w:firstLine="518"/>
        <w:spacing w:after="0" w:line="308" w:lineRule="auto"/>
        <w:rPr>
          <w:sz w:val="20"/>
          <w:szCs w:val="20"/>
          <w:color w:val="auto"/>
        </w:rPr>
      </w:pPr>
      <w:r>
        <w:rPr>
          <w:rFonts w:ascii="Arial" w:cs="Arial" w:eastAsia="Arial" w:hAnsi="Arial"/>
          <w:sz w:val="17"/>
          <w:szCs w:val="17"/>
          <w:color w:val="auto"/>
        </w:rPr>
        <w:t>The tables below summarize net income attributable to noncontrolling interests for the three month periods ended March 31, 2018 and 2017 and noncontrolling interests as of March 31, 2018 and December 31, 2017 in the Company’s condensed consolidated financial statements:</w:t>
      </w:r>
    </w:p>
    <w:p>
      <w:pPr>
        <w:spacing w:after="0" w:line="152"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Net Income</w:t>
      </w:r>
    </w:p>
    <w:p>
      <w:pPr>
        <w:jc w:val="center"/>
        <w:ind w:left="7740"/>
        <w:spacing w:after="0" w:line="226" w:lineRule="auto"/>
        <w:rPr>
          <w:sz w:val="20"/>
          <w:szCs w:val="20"/>
          <w:color w:val="auto"/>
        </w:rPr>
      </w:pPr>
      <w:r>
        <w:rPr>
          <w:rFonts w:ascii="Arial" w:cs="Arial" w:eastAsia="Arial" w:hAnsi="Arial"/>
          <w:sz w:val="14"/>
          <w:szCs w:val="14"/>
          <w:b w:val="1"/>
          <w:bCs w:val="1"/>
          <w:color w:val="auto"/>
        </w:rPr>
        <w:t>Attributable to Noncontrolling</w:t>
      </w:r>
    </w:p>
    <w:p>
      <w:pPr>
        <w:jc w:val="center"/>
        <w:ind w:left="7740"/>
        <w:spacing w:after="0" w:line="232" w:lineRule="auto"/>
        <w:rPr>
          <w:sz w:val="20"/>
          <w:szCs w:val="20"/>
          <w:color w:val="auto"/>
        </w:rPr>
      </w:pPr>
      <w:r>
        <w:rPr>
          <w:rFonts w:ascii="Arial" w:cs="Arial" w:eastAsia="Arial" w:hAnsi="Arial"/>
          <w:sz w:val="14"/>
          <w:szCs w:val="14"/>
          <w:b w:val="1"/>
          <w:bCs w:val="1"/>
          <w:color w:val="auto"/>
        </w:rPr>
        <w:t>Interests</w:t>
      </w:r>
    </w:p>
    <w:tbl>
      <w:tblPr>
        <w:tblLayout w:type="fixed"/>
        <w:tblInd w:w="0" w:type="dxa"/>
        <w:tblCellMar>
          <w:top w:w="0" w:type="dxa"/>
          <w:left w:w="0" w:type="dxa"/>
          <w:bottom w:w="0" w:type="dxa"/>
          <w:right w:w="0" w:type="dxa"/>
        </w:tblCellMar>
      </w:tblPr>
      <w:tr>
        <w:trPr>
          <w:trHeight w:val="146"/>
        </w:trPr>
        <w:tc>
          <w:tcPr>
            <w:tcW w:w="78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160" w:type="dxa"/>
            <w:vAlign w:val="bottom"/>
            <w:tcBorders>
              <w:top w:val="single" w:sz="8" w:color="auto"/>
            </w:tcBorders>
            <w:gridSpan w:val="4"/>
          </w:tcPr>
          <w:p>
            <w:pPr>
              <w:jc w:val="center"/>
              <w:ind w:right="196"/>
              <w:spacing w:after="0" w:line="147"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2"/>
                <w:szCs w:val="12"/>
                <w:color w:val="auto"/>
              </w:rPr>
            </w:pPr>
          </w:p>
        </w:tc>
      </w:tr>
      <w:tr>
        <w:trPr>
          <w:trHeight w:val="171"/>
        </w:trPr>
        <w:tc>
          <w:tcPr>
            <w:tcW w:w="7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left="959"/>
              <w:spacing w:after="0"/>
              <w:rPr>
                <w:sz w:val="20"/>
                <w:szCs w:val="20"/>
                <w:color w:val="auto"/>
              </w:rPr>
            </w:pPr>
            <w:r>
              <w:rPr>
                <w:rFonts w:ascii="Arial" w:cs="Arial" w:eastAsia="Arial" w:hAnsi="Arial"/>
                <w:sz w:val="14"/>
                <w:szCs w:val="14"/>
                <w:b w:val="1"/>
                <w:bCs w:val="1"/>
                <w:color w:val="auto"/>
                <w:w w:val="99"/>
              </w:rPr>
              <w:t>March 31,</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8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2,877</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Noncontrolling Interests as of</w:t>
            </w:r>
          </w:p>
        </w:tc>
      </w:tr>
      <w:tr>
        <w:trPr>
          <w:trHeight w:val="146"/>
        </w:trPr>
        <w:tc>
          <w:tcPr>
            <w:tcW w:w="78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399"/>
              <w:spacing w:after="0" w:line="147" w:lineRule="exact"/>
              <w:rPr>
                <w:sz w:val="20"/>
                <w:szCs w:val="20"/>
                <w:color w:val="auto"/>
              </w:rPr>
            </w:pPr>
            <w:r>
              <w:rPr>
                <w:rFonts w:ascii="Arial" w:cs="Arial" w:eastAsia="Arial" w:hAnsi="Arial"/>
                <w:sz w:val="14"/>
                <w:szCs w:val="14"/>
                <w:b w:val="1"/>
                <w:bCs w:val="1"/>
                <w:color w:val="auto"/>
              </w:rPr>
              <w:t>March 31,</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96"/>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1"/>
        </w:trPr>
        <w:tc>
          <w:tcPr>
            <w:tcW w:w="78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59,062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58,568</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59,620</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59,102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b w:val="1"/>
          <w:bCs w:val="1"/>
          <w:i w:val="1"/>
          <w:iCs w:val="1"/>
          <w:color w:val="auto"/>
        </w:rPr>
        <w:t>Dividends Declared, April 25, 2018</w:t>
      </w:r>
      <w:r>
        <w:rPr>
          <w:rFonts w:ascii="Arial" w:cs="Arial" w:eastAsia="Arial" w:hAnsi="Arial"/>
          <w:sz w:val="18"/>
          <w:szCs w:val="18"/>
          <w:color w:val="auto"/>
        </w:rPr>
        <w:t>—On April 25, 2018, the Board of Directors of Lazard declared a quarterly dividend of $0.44 per share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payable on May 18, 2018, to stockholders of record on May 7, 2018.</w:t>
      </w:r>
    </w:p>
    <w:p>
      <w:pPr>
        <w:spacing w:after="0" w:line="360"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 description of Lazard Ltd’s 2018 Plan, 2008 Plan and 2005 Equity Incentive Plan (the “2005 Plan”) and activity with respect thereto during the three month periods ended March 31, 2018 and 2017 is presented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2018 Plan, 2008 Plan and 2005 Plan</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2018 Plan became effective on April 24, 2018 and replaced the 2008 Plan, which was terminated on April 24, 2018. The 2018 Plan authorizes the issuance of up to 30,000,000 shares of Class A common stock pursuant to the grant or exercise of stock options, stock appreciation rights, restricted stock units (“RSUs”), performance-based restricted stock units (“PRSUs”) and other share-based awards.</w:t>
      </w:r>
    </w:p>
    <w:p>
      <w:pPr>
        <w:spacing w:after="0" w:line="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2008 Plan authorized the issuance of shares of Class A common stock pursuant to the grant or exercise of stock options, stock appreciation rights, RSUs, PRSUs and other share-based awards. Under the 2008 Plan, the maximum number of shares available was based on a formula that limited the aggregate number of shares that could, at any time, be subject to awards that were considered “outstanding” under the 2008 Plan to 30% of the then-outstanding shares of Class A common stock. The 2008 Plan was terminated on April 24, 2018, and no additional awards have been or will be granted under the 2008 Plan after its termination, although unvested awards granted under the 2008 Plan before its termination remain outstanding and continue to be subject to its terms.</w:t>
      </w:r>
    </w:p>
    <w:p>
      <w:pPr>
        <w:spacing w:after="0" w:line="193"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The 2005 Plan authorized the issuance of up to 25,000,000 shares of Class A common stock pursuant to the grant or exercise of stock options, stock appreciation rights, RSUs and other share-based awards. The 2005 Plan expired in the second quarter of 2015, although unvested deferred stock unit (“DSU”) awards granted under the 2005 Plan before its expiration remain outstanding and continue to be subject to its terms.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The following reflects the amortization expense recorded with respect to share-based incentive plans within “compensation and benefits” expense (with respect to RSUs, PRSUs and restricted stock awards) and “professional services” expense (with respect to DSUs) within the Company’s accompanying condensed consolidated statements of operations for the three month periods ended March 31, 2018 and 2017:</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0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040" w:type="dxa"/>
            <w:vAlign w:val="bottom"/>
            <w:tcBorders>
              <w:bottom w:val="single" w:sz="8" w:color="CFF0FC"/>
            </w:tcBorders>
          </w:tcPr>
          <w:p>
            <w:pPr>
              <w:spacing w:after="0"/>
              <w:rPr>
                <w:sz w:val="13"/>
                <w:szCs w:val="13"/>
                <w:color w:val="auto"/>
              </w:rPr>
            </w:pPr>
          </w:p>
        </w:tc>
        <w:tc>
          <w:tcPr>
            <w:tcW w:w="28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8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RSUs</w:t>
            </w:r>
          </w:p>
        </w:tc>
        <w:tc>
          <w:tcPr>
            <w:tcW w:w="3820" w:type="dxa"/>
            <w:vAlign w:val="bottom"/>
            <w:gridSpan w:val="2"/>
          </w:tcPr>
          <w:p>
            <w:pPr>
              <w:jc w:val="right"/>
              <w:ind w:right="81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60,887</w:t>
            </w:r>
          </w:p>
        </w:tc>
        <w:tc>
          <w:tcPr>
            <w:tcW w:w="280" w:type="dxa"/>
            <w:vAlign w:val="bottom"/>
          </w:tcPr>
          <w:p>
            <w:pPr>
              <w:spacing w:after="0"/>
              <w:rPr>
                <w:sz w:val="19"/>
                <w:szCs w:val="19"/>
                <w:color w:val="auto"/>
              </w:rPr>
            </w:pPr>
          </w:p>
        </w:tc>
        <w:tc>
          <w:tcPr>
            <w:tcW w:w="580" w:type="dxa"/>
            <w:vAlign w:val="bottom"/>
            <w:gridSpan w:val="2"/>
          </w:tcPr>
          <w:p>
            <w:pPr>
              <w:jc w:val="right"/>
              <w:ind w:right="45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55,941</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8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10,967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11,782</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10,773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9,649</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DSUs</w:t>
            </w:r>
          </w:p>
        </w:tc>
        <w:tc>
          <w:tcPr>
            <w:tcW w:w="28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19"/>
                <w:szCs w:val="19"/>
                <w:color w:val="auto"/>
              </w:rPr>
            </w:pPr>
          </w:p>
        </w:tc>
      </w:tr>
      <w:tr>
        <w:trPr>
          <w:trHeight w:val="223"/>
        </w:trPr>
        <w:tc>
          <w:tcPr>
            <w:tcW w:w="5040" w:type="dxa"/>
            <w:vAlign w:val="bottom"/>
          </w:tcPr>
          <w:p>
            <w:pPr>
              <w:ind w:left="260"/>
              <w:spacing w:after="0"/>
              <w:rPr>
                <w:sz w:val="20"/>
                <w:szCs w:val="20"/>
                <w:color w:val="auto"/>
              </w:rPr>
            </w:pPr>
            <w:r>
              <w:rPr>
                <w:rFonts w:ascii="Arial" w:cs="Arial" w:eastAsia="Arial" w:hAnsi="Arial"/>
                <w:sz w:val="18"/>
                <w:szCs w:val="18"/>
                <w:color w:val="auto"/>
              </w:rPr>
              <w:t>Total</w:t>
            </w:r>
          </w:p>
        </w:tc>
        <w:tc>
          <w:tcPr>
            <w:tcW w:w="2820" w:type="dxa"/>
            <w:vAlign w:val="bottom"/>
          </w:tcPr>
          <w:p>
            <w:pPr>
              <w:spacing w:after="0"/>
              <w:rPr>
                <w:sz w:val="19"/>
                <w:szCs w:val="19"/>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82,820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77,527</w:t>
            </w:r>
          </w:p>
        </w:tc>
        <w:tc>
          <w:tcPr>
            <w:tcW w:w="12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For purposes of calculating diluted net income per share, RSUs, DSUs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8"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three month periods ended March 31, 2018 and 2017, issuances of RSUs pertaining to such dividend participation rights and respective charges to “retained earnings”, net of estimated forfeitures (with corresponding credits to “additional paid-in-capital”),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8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Number of RSUs issued</w:t>
            </w:r>
          </w:p>
        </w:tc>
        <w:tc>
          <w:tcPr>
            <w:tcW w:w="1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89"/>
              </w:rPr>
              <w:t>535,695</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613,795</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284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28,406</w:t>
            </w:r>
          </w:p>
        </w:tc>
        <w:tc>
          <w:tcPr>
            <w:tcW w:w="7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25,977</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Non-executive members of the Board of Directors (“Non-Executive Directors”) receive approximately 55% of their annual compensation for service on the Board of Directors and its committees in the form of DSUs, which resulted in 405 and 1,551 DSUs granted during the three month periods ended March 31, 2018 and 2017,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purposes of calculating diluted net income per share, are included in the diluted weighted average shares of Class A common stock outstanding using the “treasury stock” method. DSUs include a cash dividend participation right equivalent to dividends paid on Class A common stock.</w:t>
      </w:r>
    </w:p>
    <w:p>
      <w:pPr>
        <w:spacing w:after="0" w:line="14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three month periods ended March 31, 2018 and 2017, 3,066 and 3,555 DSUs, respectively, had been granted pursuant to such Plan.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three month periods ended March 31, 2018 and 2017:</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DSUs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12,919,846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40.23</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278,422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535,695 RSUs relating to dividend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3,749,981</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54.41</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(29,620)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(4,513,378)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43.44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12,126,829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281,893</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Balance, January 1, 2017</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11,698,138</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276,725</w:t>
            </w:r>
          </w:p>
        </w:tc>
        <w:tc>
          <w:tcPr>
            <w:tcW w:w="3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Granted (including 613,795 RSUs relating to dividend</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4,926,935</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43.05</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(19,077)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39.88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(3,621,454)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 March 31, 2017</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12,984,542</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40.20</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281,831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connection with RSUs that vested during the three month periods ended March 31, 2018 and 2017, the Company satisfied its minimum statutory tax withholding requirements in lieu of delivering 1,554,542 and 1,229,531 shares of Class A common stock during such respective three month periods. Accordingly, 2,958,836 and 2,391,923 shares of Class A common stock held by the Company were delivered during the three month periods ended March 31, 2018 and 2017, respectively.</w:t>
      </w:r>
    </w:p>
    <w:p>
      <w:pPr>
        <w:spacing w:after="0" w:line="187" w:lineRule="exact"/>
        <w:rPr>
          <w:sz w:val="20"/>
          <w:szCs w:val="20"/>
          <w:color w:val="auto"/>
        </w:rPr>
      </w:pPr>
    </w:p>
    <w:p>
      <w:pPr>
        <w:ind w:right="800" w:firstLine="518"/>
        <w:spacing w:after="0" w:line="277" w:lineRule="auto"/>
        <w:rPr>
          <w:sz w:val="20"/>
          <w:szCs w:val="20"/>
          <w:color w:val="auto"/>
        </w:rPr>
      </w:pPr>
      <w:r>
        <w:rPr>
          <w:rFonts w:ascii="Arial" w:cs="Arial" w:eastAsia="Arial" w:hAnsi="Arial"/>
          <w:sz w:val="18"/>
          <w:szCs w:val="18"/>
          <w:color w:val="auto"/>
        </w:rPr>
        <w:t>As of March 31, 2018, estimated unrecognized RSU compensation expense was approximately $251,445, with such expense expected to be recognized over a weighted average period of approximately 0.9 years subsequent to March 31,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0" w:name="page31"/>
    <w:bookmarkEnd w:id="3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 month periods ended March 31, 2018 and 2017:</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1,938,160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529,987</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(9,328)</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(599,055)</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2018</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1,859,764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43.88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1,655,073</w:t>
            </w:r>
          </w:p>
        </w:tc>
        <w:tc>
          <w:tcPr>
            <w:tcW w:w="1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841,355</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(11,087)</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(263,457)</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Balance, March 31,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2,221,884</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In connection with shares of restricted Class A common stock that vested during the three month periods ended March 31, 2018 and 2017, the Company satisfied its minimum statutory tax withholding requirements in lieu of delivering 217,227 and 108,239 shares of Class A common stock during such respective three month periods. Accordingly, 381,828 and 155,218 shares of Class A common stock held by the Company were delivered during the three month periods ended March 31, 2018 and 2017, respectively.</w:t>
      </w:r>
    </w:p>
    <w:p>
      <w:pPr>
        <w:spacing w:after="0" w:line="18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restricted stock awards include a cash dividend participation right equivalent to dividends paid on Class A common stock during the period, which will vest concurrently with the underlying restricted stock award. At March 31, 2018, estimated unrecognized restricted stock expense was approximately $43,861, with such expense to be recognized over a weighted average period of approximately 0.8 years subsequent to March 31, 2018.</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approximately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1" w:name="page32"/>
    <w:bookmarkEnd w:id="3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three month periods ended March 31, 2018 and 2017:</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1,591,693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399,869</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(799,402)</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80" w:type="dxa"/>
            <w:vAlign w:val="bottom"/>
            <w:gridSpan w:val="3"/>
          </w:tcPr>
          <w:p>
            <w:pPr>
              <w:spacing w:after="0"/>
              <w:rPr>
                <w:sz w:val="20"/>
                <w:szCs w:val="20"/>
                <w:color w:val="auto"/>
              </w:rPr>
            </w:pPr>
            <w:r>
              <w:rPr>
                <w:rFonts w:ascii="Arial" w:cs="Arial" w:eastAsia="Arial" w:hAnsi="Arial"/>
                <w:sz w:val="18"/>
                <w:szCs w:val="18"/>
                <w:color w:val="auto"/>
              </w:rPr>
              <w:t>Balance, March 31, 2018</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1,192,160</w:t>
            </w:r>
          </w:p>
        </w:tc>
        <w:tc>
          <w:tcPr>
            <w:tcW w:w="120" w:type="dxa"/>
            <w:vAlign w:val="bottom"/>
          </w:tcPr>
          <w:p>
            <w:pPr>
              <w:spacing w:after="0"/>
              <w:rPr>
                <w:sz w:val="22"/>
                <w:szCs w:val="22"/>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44.39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1,590,756</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458,113</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(752,770)</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spacing w:after="0"/>
              <w:rPr>
                <w:sz w:val="20"/>
                <w:szCs w:val="20"/>
                <w:color w:val="auto"/>
              </w:rPr>
            </w:pPr>
            <w:r>
              <w:rPr>
                <w:rFonts w:ascii="Arial" w:cs="Arial" w:eastAsia="Arial" w:hAnsi="Arial"/>
                <w:sz w:val="18"/>
                <w:szCs w:val="18"/>
                <w:color w:val="auto"/>
              </w:rPr>
              <w:t>Balance, March 31,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1,296,099</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20" w:hanging="518"/>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23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connection with certain PRSUs that vested or were settled during the three month periods ended March 31, 2018 and 2017, the Company satisfied its minimum statutory tax withholding requirements in lieu of delivering 91,962 and 85,629 shares of Class A common stock during such respective three month periods. Accordingly, 707,440 and 667,141 shares of Class A common stock held by the Company were delivered during the three month periods ended March 31, 2018 and 2017, respectively.</w:t>
      </w:r>
    </w:p>
    <w:p>
      <w:pPr>
        <w:spacing w:after="0" w:line="18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March 31, 2018, the total estimated unrecognized compensation expense was approximately $20,919, and the Company expects to amortize such expense over a weighted-average period of approximately 0.7 years subsequent to March 31, 2018.</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32" w:name="page33"/>
    <w:bookmarkEnd w:id="3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summary of activity relating to LFI and other similar deferred compensation arrangements during the three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2017:</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60,355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103,947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(72,979)</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(15,373)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March 31, 2018</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149,096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77,580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(81,559)</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(12,491)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March 31, 2017</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114,634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0.8 years subsequent to March 31, 2018.</w:t>
      </w:r>
    </w:p>
    <w:p>
      <w:pPr>
        <w:spacing w:after="0" w:line="170" w:lineRule="exact"/>
        <w:rPr>
          <w:sz w:val="20"/>
          <w:szCs w:val="20"/>
          <w:color w:val="auto"/>
        </w:rPr>
      </w:pPr>
    </w:p>
    <w:p>
      <w:pPr>
        <w:ind w:right="280" w:firstLine="518"/>
        <w:spacing w:after="0" w:line="308" w:lineRule="auto"/>
        <w:rPr>
          <w:sz w:val="20"/>
          <w:szCs w:val="20"/>
          <w:color w:val="auto"/>
        </w:rPr>
      </w:pPr>
      <w:r>
        <w:rPr>
          <w:rFonts w:ascii="Arial" w:cs="Arial" w:eastAsia="Arial" w:hAnsi="Arial"/>
          <w:sz w:val="17"/>
          <w:szCs w:val="17"/>
          <w:color w:val="auto"/>
        </w:rPr>
        <w:t>The following is a summary of the impact of LFI and other similar deferred compensation arrangements on “compensation and benefits” expense within the accompanying condensed consolidated statements of operations for the three month periods ended March 31, 2018 and 2017:</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60" w:type="dxa"/>
            <w:vAlign w:val="bottom"/>
            <w:tcBorders>
              <w:bottom w:val="single" w:sz="8" w:color="CFF0FC"/>
            </w:tcBorders>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17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15,836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12,983</w:t>
            </w: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7,353</w:t>
            </w:r>
          </w:p>
        </w:tc>
        <w:tc>
          <w:tcPr>
            <w:tcW w:w="120" w:type="dxa"/>
            <w:vAlign w:val="bottom"/>
          </w:tcPr>
          <w:p>
            <w:pPr>
              <w:spacing w:after="0"/>
              <w:rPr>
                <w:sz w:val="19"/>
                <w:szCs w:val="19"/>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14,400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w:t>
      </w:r>
      <w:r>
        <w:rPr>
          <w:rFonts w:ascii="Arial" w:cs="Arial" w:eastAsia="Arial" w:hAnsi="Arial"/>
          <w:sz w:val="16"/>
          <w:szCs w:val="16"/>
          <w:i w:val="1"/>
          <w:iCs w:val="1"/>
          <w:color w:val="auto"/>
        </w:rPr>
        <w:t>—</w:t>
      </w:r>
      <w:r>
        <w:rPr>
          <w:rFonts w:ascii="Arial" w:cs="Arial" w:eastAsia="Arial" w:hAnsi="Arial"/>
          <w:sz w:val="16"/>
          <w:szCs w:val="16"/>
          <w:color w:val="auto"/>
        </w:rPr>
        <w:t>other” for the other components of benefit costs on the condensed consolidated statements of operations (see Note 2).</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33" w:name="page34"/>
    <w:bookmarkEnd w:id="3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81"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pension plans for the three month periods ended March 31,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rPr>
              <w:t>Pension Plans</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880" w:type="dxa"/>
            <w:vAlign w:val="bottom"/>
            <w:tcBorders>
              <w:bottom w:val="single" w:sz="8" w:color="auto"/>
            </w:tcBorders>
            <w:gridSpan w:val="5"/>
          </w:tcPr>
          <w:p>
            <w:pPr>
              <w:jc w:val="right"/>
              <w:ind w:right="130"/>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5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20" w:type="dxa"/>
            <w:vAlign w:val="bottom"/>
          </w:tcPr>
          <w:p>
            <w:pPr>
              <w:jc w:val="right"/>
              <w:ind w:right="22"/>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9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3000" w:type="dxa"/>
            <w:vAlign w:val="bottom"/>
            <w:gridSpan w:val="2"/>
          </w:tcPr>
          <w:p>
            <w:pPr>
              <w:jc w:val="right"/>
              <w:ind w:right="84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19"/>
                <w:szCs w:val="19"/>
                <w:color w:val="auto"/>
              </w:rPr>
            </w:pPr>
          </w:p>
        </w:tc>
        <w:tc>
          <w:tcPr>
            <w:tcW w:w="1020" w:type="dxa"/>
            <w:vAlign w:val="bottom"/>
            <w:gridSpan w:val="2"/>
          </w:tcPr>
          <w:p>
            <w:pPr>
              <w:jc w:val="right"/>
              <w:ind w:right="89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19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w:t>
            </w: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1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(7,783)</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(6,105)</w:t>
            </w: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19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1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19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FF0FC"/>
          </w:tcPr>
          <w:p>
            <w:pPr>
              <w:spacing w:after="0"/>
              <w:rPr>
                <w:sz w:val="19"/>
                <w:szCs w:val="19"/>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1980" w:type="dxa"/>
            <w:vAlign w:val="bottom"/>
          </w:tcPr>
          <w:p>
            <w:pPr>
              <w:spacing w:after="0"/>
              <w:rPr>
                <w:sz w:val="19"/>
                <w:szCs w:val="19"/>
                <w:color w:val="auto"/>
              </w:rPr>
            </w:pPr>
          </w:p>
        </w:tc>
        <w:tc>
          <w:tcPr>
            <w:tcW w:w="1020" w:type="dxa"/>
            <w:vAlign w:val="bottom"/>
            <w:tcBorders>
              <w:bottom w:val="single" w:sz="8" w:color="auto"/>
            </w:tcBorders>
          </w:tcPr>
          <w:p>
            <w:pPr>
              <w:jc w:val="right"/>
              <w:ind w:right="84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(2,213)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88"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On December 22, 2017, the Tax Cuts and Jobs Act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 interest expense and other corporate business expenses. The Tax Act further includes anti-base erosion provisions such as the base erosion and anti-abuse tax and tax on global intangible low-taxed income.</w:t>
      </w:r>
    </w:p>
    <w:p>
      <w:pPr>
        <w:spacing w:after="0" w:line="173"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As a result of the reduction of the U.S. federal corporate tax rate to 21%, the Company was required to remeasure its deferred tax assets and liabilities at the new federal income tax rate of 21% based on the balances that existed on the date of the enactment of the Tax Act. The lower corporate tax rate resulted in a reduction of our net deferred tax assets by approximately $420,000 in the year ended December 31, 2017. See also Note 17 for the impact of the Tax Act to the tax receivable agreement obligation.</w:t>
      </w:r>
    </w:p>
    <w:p>
      <w:pPr>
        <w:spacing w:after="0" w:line="18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The Tax Act also requires companies to pay a one-time repatriation tax on previously unremitted earnings of certain non-U.S. corporate subsidiaries. Most of the Company’s operations outside the U.S. are conducted in “pass-through” entities for U.S. income tax purposes, and, as a result, the deemed repatriation transition tax does not apply to these pass-through entities or their earnings. The Company instead provides for U.S. income taxes on a current basis for those earnings. The Company also conducts operations outside the U.S. through foreign corporate subsidiaries, and the Company recorded approximately $1,000 of deferred tax expense in the year ended December 31, 2017 related to the one-time repatriation tax on the foreign earnings of those corporate subsidiaries.</w:t>
      </w:r>
    </w:p>
    <w:p>
      <w:pPr>
        <w:spacing w:after="0" w:line="19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accordance with the guidance provided by Staff Accounting Bulletin No. 118, the Company has recognized the provisional tax impact related to the one-time deemed repatriation tax on certain foreign earnings and the remeasurement of our deferred tax assets. The impact of the Tax Act on the Company may differ from these provisional estimates, due to, among other items, the issuance of additional regulatory guidance, our interpretations of the provisions of the Tax Act, changes to certain estimates and amounts related to the earnings and profits of certain subsidiaries and the filing of our tax returns. We will recognize any changes to the provisional amounts as we refine our estimates and expect to complete our analysis of the provisional items during the second half of 2018.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recorded income tax provisions of $24,167 and $39,767 for the three month periods ended March 31, 2018 and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representing effective tax rates of 13.0% and 26.5%, respectively. The difference between the U.S. federal statutory rate of 21% and 35.0% for 2018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respectively, and the effective tax rates reflected above principally relates to (i) taxes payable to foreign jurisdictions that are not offset against 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taxes, (ii) foreign source income (loss) not subject to U.S. income taxes (including interest on intercompany financings), (iii) change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 federal valuation allowance affecting the provision for income taxes, (iv) excess net tax benefit for share-based incentive compensation, and (v)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 and local taxes, which are incremental to the U.S. federal statutory tax rate.</w:t>
      </w:r>
    </w:p>
    <w:p>
      <w:pPr>
        <w:spacing w:after="0" w:line="21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On January 1, 2017, the Company adopted new accounting guidance on share-based incentive compensation. As a result of the adoption of this new guidance, the Company recognized excess tax benefits of $26,134 and $7,356 from the vesting of share-based incentive compensation in the provision for income taxes in the condensed consolidated statements of operations for the three month periods ended March 31, 2018 and 2017, respectively. The Company also recorded deferred tax assets of $81,544, net of a valuation allowance of $12,090, as of January 1, 2017, for previously unrecognized excess tax benefits (including tax benefits from dividends or dividend equivalents) on share-based incentive compensation, with an offsetting adjustment to retained earnings.</w:t>
      </w:r>
    </w:p>
    <w:p>
      <w:pPr>
        <w:spacing w:after="0" w:line="347"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11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Company’s basic and diluted net income per share calculations for the three month periods ended March 31, 2018 and 2017 are computed as described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w:t>
      </w:r>
    </w:p>
    <w:p>
      <w:pPr>
        <w:spacing w:after="0" w:line="225"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periods, plus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to such shares associated with shares of Class A common stock issuable on a non-contingent basis.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attributable to Lazard Ltd for the respective periods as in the basic net income per share calculation described above.</w:t>
      </w:r>
    </w:p>
    <w:p>
      <w:pPr>
        <w:spacing w:after="0" w:line="24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periods as in the basic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per share calculation described above, plus, to the extent dilutive, the incremental number of shares of Class A common stock required to settle share-based incentive compensation.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5" w:name="page36"/>
    <w:bookmarkEnd w:id="3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calculations of the Company’s basic and diluted net income per share and weighted average shares outstanding for the three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2017 are presented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8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Lazard Ltd - basic</w:t>
            </w:r>
          </w:p>
        </w:tc>
        <w:tc>
          <w:tcPr>
            <w:tcW w:w="16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159,692</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107,553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Net income attributable to Lazard Ltd - diluted</w:t>
            </w:r>
          </w:p>
        </w:tc>
        <w:tc>
          <w:tcPr>
            <w:tcW w:w="20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FF0FC"/>
            </w:tcBorders>
            <w:vMerge w:val="continue"/>
          </w:tcPr>
          <w:p>
            <w:pPr>
              <w:spacing w:after="0"/>
              <w:rPr>
                <w:sz w:val="21"/>
                <w:szCs w:val="21"/>
                <w:color w:val="auto"/>
              </w:rPr>
            </w:pPr>
          </w:p>
        </w:tc>
        <w:tc>
          <w:tcPr>
            <w:tcW w:w="16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159,692</w:t>
            </w:r>
          </w:p>
        </w:tc>
        <w:tc>
          <w:tcPr>
            <w:tcW w:w="280" w:type="dxa"/>
            <w:vAlign w:val="bottom"/>
            <w:tcBorders>
              <w:bottom w:val="single" w:sz="8" w:color="CFF0FC"/>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107,553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number of shares of Class A common</w:t>
            </w:r>
          </w:p>
        </w:tc>
        <w:tc>
          <w:tcPr>
            <w:tcW w:w="16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outstanding</w:t>
            </w:r>
          </w:p>
        </w:tc>
        <w:tc>
          <w:tcPr>
            <w:tcW w:w="16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119,695,749</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122,531,221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180" w:type="dxa"/>
            <w:vAlign w:val="bottom"/>
          </w:tcPr>
          <w:p>
            <w:pPr>
              <w:spacing w:after="0"/>
              <w:rPr>
                <w:sz w:val="20"/>
                <w:szCs w:val="20"/>
                <w:color w:val="auto"/>
              </w:rPr>
            </w:pPr>
            <w:r>
              <w:rPr>
                <w:rFonts w:ascii="Arial" w:cs="Arial" w:eastAsia="Arial" w:hAnsi="Arial"/>
                <w:sz w:val="18"/>
                <w:szCs w:val="18"/>
                <w:color w:val="auto"/>
              </w:rPr>
              <w:t>Add - adjustment for shares of Class A common stock</w:t>
            </w: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issuable on a non-contingent basis</w:t>
            </w:r>
          </w:p>
        </w:tc>
        <w:tc>
          <w:tcPr>
            <w:tcW w:w="16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234,357</w:t>
            </w:r>
          </w:p>
        </w:tc>
        <w:tc>
          <w:tcPr>
            <w:tcW w:w="280" w:type="dxa"/>
            <w:vAlign w:val="bottom"/>
            <w:tcBorders>
              <w:bottom w:val="single" w:sz="8" w:color="CFF0FC"/>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283,942</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of Class A common</w:t>
            </w:r>
          </w:p>
        </w:tc>
        <w:tc>
          <w:tcPr>
            <w:tcW w:w="1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outstanding - basic</w:t>
            </w:r>
          </w:p>
        </w:tc>
        <w:tc>
          <w:tcPr>
            <w:tcW w:w="16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119,930,106</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122,815,163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incremental shares of Class A</w:t>
            </w:r>
          </w:p>
        </w:tc>
        <w:tc>
          <w:tcPr>
            <w:tcW w:w="1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 issuable from share-based</w:t>
            </w:r>
          </w:p>
        </w:tc>
        <w:tc>
          <w:tcPr>
            <w:tcW w:w="1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incentive compensation</w:t>
            </w:r>
          </w:p>
        </w:tc>
        <w:tc>
          <w:tcPr>
            <w:tcW w:w="168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12,212,288</w:t>
            </w:r>
          </w:p>
        </w:tc>
        <w:tc>
          <w:tcPr>
            <w:tcW w:w="280" w:type="dxa"/>
            <w:vAlign w:val="bottom"/>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9,874,212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Arial" w:cs="Arial" w:eastAsia="Arial" w:hAnsi="Arial"/>
                <w:sz w:val="18"/>
                <w:szCs w:val="18"/>
                <w:color w:val="auto"/>
              </w:rPr>
              <w:t>Weighted average number of shares of Class A common stock</w:t>
            </w: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1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outstanding - diluted</w:t>
            </w:r>
          </w:p>
        </w:tc>
        <w:tc>
          <w:tcPr>
            <w:tcW w:w="168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132,142,394</w:t>
            </w:r>
          </w:p>
        </w:tc>
        <w:tc>
          <w:tcPr>
            <w:tcW w:w="280" w:type="dxa"/>
            <w:vAlign w:val="bottom"/>
            <w:tcBorders>
              <w:bottom w:val="single" w:sz="8" w:color="CFF0FC"/>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132,689,375</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Lazard Ltd per share of Class</w:t>
            </w:r>
          </w:p>
        </w:tc>
        <w:tc>
          <w:tcPr>
            <w:tcW w:w="16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 common stock:</w:t>
            </w:r>
          </w:p>
        </w:tc>
        <w:tc>
          <w:tcPr>
            <w:tcW w:w="16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260"/>
              <w:spacing w:after="0"/>
              <w:rPr>
                <w:sz w:val="20"/>
                <w:szCs w:val="20"/>
                <w:color w:val="auto"/>
              </w:rPr>
            </w:pPr>
            <w:r>
              <w:rPr>
                <w:rFonts w:ascii="Arial" w:cs="Arial" w:eastAsia="Arial" w:hAnsi="Arial"/>
                <w:sz w:val="18"/>
                <w:szCs w:val="18"/>
                <w:color w:val="auto"/>
              </w:rPr>
              <w:t>Basic</w:t>
            </w:r>
          </w:p>
        </w:tc>
        <w:tc>
          <w:tcPr>
            <w:tcW w:w="168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1.33</w:t>
            </w:r>
          </w:p>
        </w:tc>
        <w:tc>
          <w:tcPr>
            <w:tcW w:w="86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6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260" w:right="9300" w:hanging="252"/>
        <w:spacing w:after="0" w:line="397" w:lineRule="auto"/>
        <w:tabs>
          <w:tab w:leader="none" w:pos="514" w:val="left"/>
        </w:tabs>
        <w:numPr>
          <w:ilvl w:val="0"/>
          <w:numId w:val="3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RELATED PARTIES Sponsored Funds</w:t>
      </w:r>
    </w:p>
    <w:p>
      <w:pPr>
        <w:spacing w:after="0" w:line="2"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The Company serves as an investment advisor for certain affiliated investment companies and fund entities and receives management fees and, for the alternative investment funds, performance-based incentive fees for providing such services. Investment advisory fees relating to such services were $181,309 and $140,577 for the three month periods ended March 31, 2018 and 2017, respectively, and are included in “asset management fees” on the condensed consolidated statements of operations. Of such amounts, $78,347 and $69,107 remained as receivables at March 31, 2018 and December 31, 2017, respectively, and are included in “fees receivable” on the condensed consolidated statements of financial condition.</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780" w:firstLine="518"/>
        <w:spacing w:after="0" w:line="291" w:lineRule="auto"/>
        <w:rPr>
          <w:sz w:val="20"/>
          <w:szCs w:val="20"/>
          <w:color w:val="auto"/>
        </w:rPr>
      </w:pPr>
      <w:r>
        <w:rPr>
          <w:rFonts w:ascii="Arial" w:cs="Arial" w:eastAsia="Arial" w:hAnsi="Arial"/>
          <w:sz w:val="16"/>
          <w:szCs w:val="16"/>
          <w:color w:val="auto"/>
        </w:rPr>
        <w:t>The Second Amended and Restated Tax Receivable Agreement, dated as of October 26, 2015 (the “Amended and Restated Tax Receivable Agreement”), between Lazard and LTBP Trust, a Delaware statutory trust (the “Trust”), provides for the payment by our subsidiaries to the Trust of</w:t>
      </w:r>
    </w:p>
    <w:p>
      <w:pPr>
        <w:ind w:right="40" w:firstLine="8"/>
        <w:spacing w:after="0" w:line="252" w:lineRule="auto"/>
        <w:tabs>
          <w:tab w:leader="none" w:pos="2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45% of the amount of cash savings, if any, in U.S. federal, state and local income tax or franchise tax that we actually realize as a result of certain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who include certain of our our executive officers, in proportion to their beneficial interests in the Trust.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certain tangible and intangible assets of Lazard Group attributable to our subsidiaries’ interest in Lazard Group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73"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amount of the Amended and Restated Tax Receivable Agreement liability is an undiscounted amount based upon currently enacted tax laws, including the Tax Act, the current structure of the Company and various assumptions regarding potential future operating profitability. The assumptions reflected in the estimate involve significant judgment. For example,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the “provision (benefit) for income taxes”.</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 described in Note 15, the Tax Act reduced the U.S. corporate tax rate from 35% to 21%, which required the Company to remeasure the tax receivable agreement obligation. Pursuant to the change in the U.S. corporate tax rate, in 2017, the Company reduced the tax receivable agreement obligation by $202,546. The cumulative liability relating to our obligations under the Amended and Restated Tax Receivable Agreement as of March 31, 2018 and December 31, 2017 was $277,215 and $310,275, respectively, and is recorded in “tax receivable agreement obligation” on the condensed consolidated statements of financial condition. The balance at March 31, 2018 reflects a payment made under the Amended and Restated Tax Receivable Agreement in the three months ended March 31, 2018 of $33,060.</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12 for information regarding related party transactions pertaining to shares repurchased from certain of our executive officers.</w:t>
      </w:r>
    </w:p>
    <w:p>
      <w:pPr>
        <w:spacing w:after="0" w:line="212" w:lineRule="exact"/>
        <w:rPr>
          <w:sz w:val="20"/>
          <w:szCs w:val="20"/>
          <w:color w:val="auto"/>
        </w:rPr>
      </w:pPr>
    </w:p>
    <w:p>
      <w:pPr>
        <w:ind w:left="880" w:hanging="872"/>
        <w:spacing w:after="0"/>
        <w:tabs>
          <w:tab w:leader="none" w:pos="88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March 31, 2018, LFNY’s regulatory net capital was $65,442, which exceeded the minimum requirement by $62,369. LFNY’s aggregate indebtedness to net capital ratio was 0.70:1 as of March 31, 2018.</w:t>
      </w:r>
    </w:p>
    <w:p>
      <w:pPr>
        <w:spacing w:after="0" w:line="193"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March 31, 2018, the aggregate regulatory net capital of the U.K. Subsidiaries was $196,268, which exceeded the minimum requirement by $177,118.</w:t>
      </w:r>
    </w:p>
    <w:p>
      <w:pPr>
        <w:spacing w:after="0" w:line="181"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of the Paris group, exercised through LFB and other subsidiaries of CFLF, primarily LFG, also are subject to regulation and supervision by the Autorité des Marchés Financiers. At March 31, 2018, the consolidated regulatory net capital of CFLF was $144,257, which exceeded the minimum requirement set for regulatory capital levels by $84,537.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December 31, 2017, the regulatory net capital of the combined European regulated group was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7" w:name="page38"/>
    <w:bookmarkEnd w:id="3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$170,933, which exceeded the minimum requirement set for regulatory capital levels by $68,025.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66"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2018, for those subsidiaries with regulatory capital requirements, their aggregate net capital was $140,069, which exceeded the minimum required capital by $110,736.</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March 31, 2018, each of these subsidiaries individually was in compliance with its regulatory capital requirements.</w:t>
      </w:r>
    </w:p>
    <w:p>
      <w:pPr>
        <w:spacing w:after="0" w:line="225"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Company’s segment information for the three month periods ended March 31, 2018 and 2017 is prepared using the following methodology:</w:t>
      </w:r>
    </w:p>
    <w:p>
      <w:pPr>
        <w:spacing w:after="0" w:line="129" w:lineRule="exact"/>
        <w:rPr>
          <w:sz w:val="20"/>
          <w:szCs w:val="20"/>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900" w:right="40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38" w:name="page39"/>
    <w:bookmarkEnd w:id="3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r>
      <w:tr>
        <w:trPr>
          <w:trHeight w:val="156"/>
        </w:trPr>
        <w:tc>
          <w:tcPr>
            <w:tcW w:w="32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92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3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31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Net Revenue</w:t>
            </w: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409,121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335,812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324,696</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262,751</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84,425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73,061</w:t>
            </w:r>
          </w:p>
        </w:tc>
        <w:tc>
          <w:tcPr>
            <w:tcW w:w="100" w:type="dxa"/>
            <w:vAlign w:val="bottom"/>
            <w:shd w:val="clear" w:color="auto" w:fill="CFF0FC"/>
          </w:tcPr>
          <w:p>
            <w:pPr>
              <w:spacing w:after="0"/>
              <w:rPr>
                <w:sz w:val="19"/>
                <w:szCs w:val="19"/>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Net Revenue</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354,283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283,363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8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229,669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188,751</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Borders>
              <w:bottom w:val="single" w:sz="8" w:color="CFF0FC"/>
            </w:tcBorders>
          </w:tcPr>
          <w:p>
            <w:pPr>
              <w:spacing w:after="0"/>
              <w:rPr>
                <w:sz w:val="19"/>
                <w:szCs w:val="19"/>
                <w:color w:val="auto"/>
              </w:rPr>
            </w:pPr>
          </w:p>
        </w:tc>
        <w:tc>
          <w:tcPr>
            <w:tcW w:w="3100" w:type="dxa"/>
            <w:vAlign w:val="bottom"/>
            <w:tcBorders>
              <w:bottom w:val="single" w:sz="8" w:color="CFF0FC"/>
            </w:tcBorders>
            <w:gridSpan w:val="2"/>
          </w:tcPr>
          <w:p>
            <w:pPr>
              <w:ind w:left="180"/>
              <w:spacing w:after="0"/>
              <w:rPr>
                <w:sz w:val="20"/>
                <w:szCs w:val="20"/>
                <w:color w:val="auto"/>
              </w:rPr>
            </w:pPr>
            <w:r>
              <w:rPr>
                <w:rFonts w:ascii="Arial" w:cs="Arial" w:eastAsia="Arial" w:hAnsi="Arial"/>
                <w:sz w:val="18"/>
                <w:szCs w:val="18"/>
                <w:color w:val="auto"/>
              </w:rPr>
              <w:t>Operating Income</w:t>
            </w:r>
          </w:p>
        </w:tc>
        <w:tc>
          <w:tcPr>
            <w:tcW w:w="14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124,614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94,612</w:t>
            </w:r>
          </w:p>
        </w:tc>
        <w:tc>
          <w:tcPr>
            <w:tcW w:w="100" w:type="dxa"/>
            <w:vAlign w:val="bottom"/>
            <w:tcBorders>
              <w:bottom w:val="single" w:sz="8" w:color="CFF0FC"/>
            </w:tcBorders>
          </w:tcPr>
          <w:p>
            <w:pPr>
              <w:spacing w:after="0"/>
              <w:rPr>
                <w:sz w:val="19"/>
                <w:szCs w:val="19"/>
                <w:color w:val="auto"/>
              </w:rPr>
            </w:pPr>
          </w:p>
        </w:tc>
      </w:tr>
      <w:tr>
        <w:trPr>
          <w:trHeight w:val="223"/>
        </w:trPr>
        <w:tc>
          <w:tcPr>
            <w:tcW w:w="3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31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Net Revenue</w:t>
            </w: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14,505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21,765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(23,211)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(17,476)</w:t>
            </w:r>
          </w:p>
        </w:tc>
        <w:tc>
          <w:tcPr>
            <w:tcW w:w="100" w:type="dxa"/>
            <w:vAlign w:val="bottom"/>
            <w:shd w:val="clear" w:color="auto" w:fill="CFF0FC"/>
          </w:tcPr>
          <w:p>
            <w:pPr>
              <w:spacing w:after="0"/>
              <w:rPr>
                <w:sz w:val="19"/>
                <w:szCs w:val="19"/>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Net Revenue</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754,698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623,464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8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568,870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473,267</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Operating Income</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185,828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150,197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4"/>
                <w:szCs w:val="14"/>
                <w:b w:val="1"/>
                <w:bCs w:val="1"/>
                <w:color w:val="auto"/>
              </w:rPr>
              <w:t>As Of</w:t>
            </w:r>
          </w:p>
        </w:tc>
        <w:tc>
          <w:tcPr>
            <w:tcW w:w="1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March 31, 2018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ind w:right="132"/>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120" w:type="dxa"/>
            <w:vAlign w:val="bottom"/>
            <w:gridSpan w:val="2"/>
          </w:tcPr>
          <w:p>
            <w:pPr>
              <w:spacing w:after="0"/>
              <w:rPr>
                <w:sz w:val="13"/>
                <w:szCs w:val="13"/>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CFF0FC"/>
            </w:tcBorders>
            <w:shd w:val="clear" w:color="auto" w:fill="CFF0FC"/>
          </w:tcPr>
          <w:p>
            <w:pPr>
              <w:spacing w:after="0"/>
              <w:rPr>
                <w:sz w:val="19"/>
                <w:szCs w:val="19"/>
                <w:color w:val="auto"/>
              </w:rPr>
            </w:pPr>
          </w:p>
        </w:tc>
        <w:tc>
          <w:tcPr>
            <w:tcW w:w="29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Financial Advisory</w:t>
            </w:r>
          </w:p>
        </w:tc>
        <w:tc>
          <w:tcPr>
            <w:tcW w:w="1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866,734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843,142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 Management</w:t>
            </w:r>
          </w:p>
        </w:tc>
        <w:tc>
          <w:tcPr>
            <w:tcW w:w="18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686,724</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756,398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CFF0FC"/>
            </w:tcBorders>
          </w:tcPr>
          <w:p>
            <w:pPr>
              <w:spacing w:after="0"/>
              <w:rPr>
                <w:sz w:val="19"/>
                <w:szCs w:val="19"/>
                <w:color w:val="auto"/>
              </w:rPr>
            </w:pPr>
          </w:p>
        </w:tc>
        <w:tc>
          <w:tcPr>
            <w:tcW w:w="2920" w:type="dxa"/>
            <w:vAlign w:val="bottom"/>
            <w:tcBorders>
              <w:bottom w:val="single" w:sz="8" w:color="CFF0FC"/>
            </w:tcBorders>
          </w:tcPr>
          <w:p>
            <w:pPr>
              <w:spacing w:after="0"/>
              <w:rPr>
                <w:sz w:val="19"/>
                <w:szCs w:val="19"/>
                <w:color w:val="auto"/>
              </w:rPr>
            </w:pPr>
          </w:p>
        </w:tc>
        <w:tc>
          <w:tcPr>
            <w:tcW w:w="14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2,931,637</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3,329,137</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32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4,485,095</w:t>
            </w: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4,928,677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2017 (the “Form 10-K”). All references to “2018,” “2017,” “first quarter,” or “the period” refer to, as the context requires, the three month periods ended March 31, 2018 and March 31, 2017.</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89" w:lineRule="exact"/>
        <w:rPr>
          <w:sz w:val="20"/>
          <w:szCs w:val="20"/>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117" w:lineRule="exact"/>
        <w:rPr>
          <w:rFonts w:ascii="Arial" w:cs="Arial" w:eastAsia="Arial" w:hAnsi="Arial"/>
          <w:sz w:val="18"/>
          <w:szCs w:val="18"/>
          <w:color w:val="auto"/>
        </w:rPr>
      </w:pPr>
    </w:p>
    <w:p>
      <w:pPr>
        <w:ind w:left="900" w:right="22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goals, including ratios of compensation and benefits expense to operating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ability to deploy surplus cash through dividends, share repurchases and debt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ability to offset stockholder dilution through share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0" w:name="page41"/>
    <w:bookmarkEnd w:id="40"/>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900" w:right="60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restructuring and other financial advisory activity, the market for asset management activity and other macroeconomic and industry trends;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of new or future legislation and regulation, including tax laws and regulations, on our business.</w:t>
      </w:r>
    </w:p>
    <w:p>
      <w:pPr>
        <w:spacing w:after="0" w:line="22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our Asset Management business. Investors can link to Lazard Ltd, Lazard Group and their operating company websites through </w:t>
      </w:r>
      <w:r>
        <w:rPr>
          <w:rFonts w:ascii="Arial" w:cs="Arial" w:eastAsia="Arial" w:hAnsi="Arial"/>
          <w:sz w:val="17"/>
          <w:szCs w:val="17"/>
          <w:i w:val="1"/>
          <w:iCs w:val="1"/>
          <w:color w:val="auto"/>
        </w:rPr>
        <w:t>http://www.lazard.com</w:t>
      </w:r>
      <w:r>
        <w:rPr>
          <w:rFonts w:ascii="Arial" w:cs="Arial" w:eastAsia="Arial" w:hAnsi="Arial"/>
          <w:sz w:val="17"/>
          <w:szCs w:val="17"/>
          <w:color w:val="auto"/>
        </w:rPr>
        <w:t>. Our websites and social media sites and the information contained therein or connected thereto shall not be deemed to be incorporated into this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900" w:hanging="379"/>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capital advisory, capital raising, restructurings, shareholder advisory, sovereign advisory and other strategic advisory, and</w:t>
      </w:r>
    </w:p>
    <w:p>
      <w:pPr>
        <w:spacing w:after="0" w:line="73" w:lineRule="exact"/>
        <w:rPr>
          <w:rFonts w:ascii="Arial" w:cs="Arial" w:eastAsia="Arial" w:hAnsi="Arial"/>
          <w:sz w:val="18"/>
          <w:szCs w:val="18"/>
          <w:color w:val="auto"/>
        </w:rPr>
      </w:pPr>
    </w:p>
    <w:p>
      <w:pPr>
        <w:ind w:left="900" w:right="160" w:hanging="379"/>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1" w:name="page42"/>
    <w:bookmarkEnd w:id="41"/>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March 31,</w:t>
      </w: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16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(ii) a fund targeting significant noncontrolling-stake investments in established private companies and (iii) until the second quarter of 2017, a mezzanine fund (the “Mezzanine Fund”), which invests in mezzanine debt of a diversified selection of small- to mid-cap European companies. We sold our interest in the Mezzanine Fund in May 2017.We also make investments to seed our Asset Management strategies.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jc w:val="both"/>
        <w:ind w:right="180" w:firstLine="518"/>
        <w:spacing w:after="0" w:line="288" w:lineRule="auto"/>
        <w:rPr>
          <w:sz w:val="20"/>
          <w:szCs w:val="20"/>
          <w:color w:val="auto"/>
        </w:rPr>
      </w:pPr>
      <w:r>
        <w:rPr>
          <w:rFonts w:ascii="Arial" w:cs="Arial" w:eastAsia="Arial" w:hAnsi="Arial"/>
          <w:sz w:val="16"/>
          <w:szCs w:val="16"/>
          <w:color w:val="auto"/>
        </w:rPr>
        <w:t>Equity market indices for developed markets at March 31, 2018 generally increased as compared to such indices at March 31, 2017 and decreased as compared to such indices at December 31, 2017. In the global M&amp;A markets during the first quarter of 2018, the value and number of all completed M&amp;A transactions decreased as compared to the same period in the prior year, as did the subset of such transactions involving values greater than $500 million.</w:t>
      </w:r>
    </w:p>
    <w:p>
      <w:pPr>
        <w:ind w:right="200"/>
        <w:spacing w:after="0" w:line="255" w:lineRule="auto"/>
        <w:rPr>
          <w:sz w:val="20"/>
          <w:szCs w:val="20"/>
          <w:color w:val="auto"/>
        </w:rPr>
      </w:pPr>
      <w:r>
        <w:rPr>
          <w:rFonts w:ascii="Arial" w:cs="Arial" w:eastAsia="Arial" w:hAnsi="Arial"/>
          <w:sz w:val="18"/>
          <w:szCs w:val="18"/>
          <w:color w:val="auto"/>
        </w:rPr>
        <w:t>During the same time, the value of all announced M&amp;A transactions, including the subset of such transactions involving values greater than $500 million, increased. During the first quarter of 2018, global restructuring activity, as measured by the number of corporate defaults, increased as compared to the first quarter of 2017.</w:t>
      </w:r>
    </w:p>
    <w:p>
      <w:pPr>
        <w:spacing w:after="0" w:line="19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On an ongoing basis, regional, macroeconomic and geopolitical factors, including trade policy and regional tax and regulatory reform, may impact our business. Overall, the global macroeconomic outlook for the near- to mid-term appears supportive for both of our businesses. The U.S. economy remains healthy, and the European economy’s recovery continues to gain momentum. Corporate cash balances remain high, and borrowing costs remain low for companies with strong credit ratings. Although market volatility may affect our business from time to time, the longer-term trends appear to remain favorable for both of our businesses.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900" w:right="140" w:hanging="379"/>
        <w:spacing w:after="0" w:line="293"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Advisory</w:t>
      </w:r>
      <w:r>
        <w:rPr>
          <w:rFonts w:ascii="Arial" w:cs="Arial" w:eastAsia="Arial" w:hAnsi="Arial"/>
          <w:sz w:val="16"/>
          <w:szCs w:val="16"/>
          <w:color w:val="auto"/>
        </w:rPr>
        <w:t>—The fundamentals for continued M&amp;A activity appear to remain in place, and we believe our Financial Advisory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in a strong competitive position. Demand continues for expert, independent strategic advice that can be levered across geographies and our range of advisory capabilities. The global scale and breadth of our Financial Advisory business allows us to advise on large, complex cross-border transactions and restructuring transactions across a variety of industries. In addition, we believe our businesses throughout the emerging markets position us for growth in these markets, while enhancing our relationships with, and the services that we can provide to, clients in other economies. We continue to invest for growth in our Financial Advisory business and to hire talented senior professionals selectively.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left="900" w:right="40" w:hanging="379"/>
        <w:spacing w:after="0" w:line="270"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Asset Management</w:t>
      </w:r>
      <w:r>
        <w:rPr>
          <w:rFonts w:ascii="Arial" w:cs="Arial" w:eastAsia="Arial" w:hAnsi="Arial"/>
          <w:sz w:val="17"/>
          <w:szCs w:val="17"/>
          <w:color w:val="auto"/>
        </w:rPr>
        <w:t>—In the short to intermediate term, we expect most investor demand will come from defined benefit and defined contribution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slowly expand. Given our diversified investment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and assessing potential product acquisitions or other inorganic growth opportunities. Recent examples of growth initiatives include the following investment strategies: various Quantitative Equity strategies, various Multi-Asset strategies, a Real Assets strategy, an International Value strategy, a Global Equity Franchise strategy, and a Market Neutral Quantitative Equity strategy.</w:t>
      </w:r>
    </w:p>
    <w:p>
      <w:pPr>
        <w:spacing w:after="0" w:line="17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Overall, we continue to focus on the development of our business, including the generation of stable revenue growth, earnings growth and shareholder returns, the evaluation of potential growth opportunities, the prudent management of our costs and expenses, the efficient use of our assets and the return of capital to our shareholders.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completed transactions with values greater than $500 million, decreased in the first quarter of 2018 as compared to 2017. With respect to announced M&amp;A transactions, the value of all transactions, including the value of announced transactions involving values greater than $500 million, increased in the first quarter of 2018 as compared to 2017.</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5"/>
              </w:rPr>
              <w:t>Three Months Ended</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34"/>
              <w:spacing w:after="0"/>
              <w:rPr>
                <w:sz w:val="20"/>
                <w:szCs w:val="20"/>
                <w:color w:val="auto"/>
              </w:rPr>
            </w:pPr>
            <w:r>
              <w:rPr>
                <w:rFonts w:ascii="Arial" w:cs="Arial" w:eastAsia="Arial" w:hAnsi="Arial"/>
                <w:sz w:val="14"/>
                <w:szCs w:val="14"/>
                <w:b w:val="1"/>
                <w:bCs w:val="1"/>
                <w:color w:val="auto"/>
                <w:w w:val="99"/>
              </w:rPr>
              <w:t>March 31,</w:t>
            </w:r>
          </w:p>
        </w:tc>
        <w:tc>
          <w:tcPr>
            <w:tcW w:w="11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24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vMerge w:val="restart"/>
          </w:tcPr>
          <w:p>
            <w:pPr>
              <w:jc w:val="center"/>
              <w:ind w:right="494"/>
              <w:spacing w:after="0"/>
              <w:rPr>
                <w:sz w:val="20"/>
                <w:szCs w:val="20"/>
                <w:color w:val="auto"/>
              </w:rPr>
            </w:pPr>
            <w:r>
              <w:rPr>
                <w:rFonts w:ascii="Arial" w:cs="Arial" w:eastAsia="Arial" w:hAnsi="Arial"/>
                <w:sz w:val="14"/>
                <w:szCs w:val="14"/>
                <w:b w:val="1"/>
                <w:bCs w:val="1"/>
                <w:color w:val="auto"/>
                <w:w w:val="96"/>
              </w:rPr>
              <w:t>2017</w:t>
            </w:r>
          </w:p>
        </w:tc>
        <w:tc>
          <w:tcPr>
            <w:tcW w:w="1180" w:type="dxa"/>
            <w:vAlign w:val="bottom"/>
          </w:tcPr>
          <w:p>
            <w:pPr>
              <w:jc w:val="right"/>
              <w:ind w:right="4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Incr / (Decr)</w:t>
            </w: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w w:val="91"/>
              </w:rPr>
              <w:t>in billions)</w:t>
            </w:r>
          </w:p>
        </w:tc>
        <w:tc>
          <w:tcPr>
            <w:tcW w:w="1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244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480" w:type="dxa"/>
            <w:vAlign w:val="bottom"/>
            <w:shd w:val="clear" w:color="auto" w:fill="CFF0FC"/>
          </w:tcPr>
          <w:p>
            <w:pPr>
              <w:jc w:val="right"/>
              <w:ind w:right="15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881</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8,224</w:t>
            </w:r>
          </w:p>
        </w:tc>
        <w:tc>
          <w:tcPr>
            <w:tcW w:w="48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10,329</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Value</w:t>
            </w:r>
          </w:p>
        </w:tc>
        <w:tc>
          <w:tcPr>
            <w:tcW w:w="2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630</w:t>
            </w:r>
          </w:p>
        </w:tc>
        <w:tc>
          <w:tcPr>
            <w:tcW w:w="48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656</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313</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Value</w:t>
            </w:r>
          </w:p>
        </w:tc>
        <w:tc>
          <w:tcPr>
            <w:tcW w:w="2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1,117</w:t>
            </w:r>
          </w:p>
        </w:tc>
        <w:tc>
          <w:tcPr>
            <w:tcW w:w="48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762</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8,646</w:t>
            </w: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10,279</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244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480" w:type="dxa"/>
            <w:vAlign w:val="bottom"/>
            <w:shd w:val="clear" w:color="auto" w:fill="CFF0FC"/>
          </w:tcPr>
          <w:p>
            <w:pPr>
              <w:jc w:val="right"/>
              <w:ind w:right="15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545</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302</w:t>
            </w:r>
          </w:p>
        </w:tc>
        <w:tc>
          <w:tcPr>
            <w:tcW w:w="480" w:type="dxa"/>
            <w:vAlign w:val="bottom"/>
          </w:tcPr>
          <w:p>
            <w:pPr>
              <w:spacing w:after="0"/>
              <w:rPr>
                <w:sz w:val="20"/>
                <w:szCs w:val="20"/>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268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59690</wp:posOffset>
            </wp:positionV>
            <wp:extent cx="12090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Source: Dealogic as of April 5, 2018.</w:t>
      </w:r>
    </w:p>
    <w:p>
      <w:pPr>
        <w:spacing w:after="0" w:line="22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Global restructuring activity during the first quarter of 2018, as measured by the number of corporate defaults, increased as compared to the first quarter of 2017. The number of defaulting issuers increased to 28 in the first quarter of 2018, according to Moody’s Investors Service, Inc., as compared to 21 in the first quarter of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3" w:name="page44"/>
    <w:bookmarkEnd w:id="43"/>
    <w:p>
      <w:pPr>
        <w:ind w:firstLine="518"/>
        <w:spacing w:after="0" w:line="271" w:lineRule="auto"/>
        <w:rPr>
          <w:sz w:val="20"/>
          <w:szCs w:val="20"/>
          <w:color w:val="auto"/>
        </w:rPr>
      </w:pPr>
      <w:r>
        <w:rPr>
          <w:rFonts w:ascii="Arial" w:cs="Arial" w:eastAsia="Arial" w:hAnsi="Arial"/>
          <w:sz w:val="17"/>
          <w:szCs w:val="17"/>
          <w:color w:val="auto"/>
        </w:rPr>
        <w:t>Net revenue trends in Financial Advisory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Beginning in the first quarter of 2018, we ceased separately reporting Restructuring revenue within our Financial Advisory segment, because our Financial Advisory practices have become highly integrated, and our assignments with clients often incorporate several disciplines. We believe that presenting unified Financial Advisory revenue is a more accurate representation of our Financial Advisory business.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jc w:val="both"/>
        <w:ind w:right="100" w:firstLine="518"/>
        <w:spacing w:after="0" w:line="277" w:lineRule="auto"/>
        <w:rPr>
          <w:sz w:val="20"/>
          <w:szCs w:val="20"/>
          <w:color w:val="auto"/>
        </w:rPr>
      </w:pPr>
      <w:r>
        <w:rPr>
          <w:rFonts w:ascii="Arial" w:cs="Arial" w:eastAsia="Arial" w:hAnsi="Arial"/>
          <w:sz w:val="18"/>
          <w:szCs w:val="18"/>
          <w:color w:val="auto"/>
        </w:rPr>
        <w:t>The percentage change in major equity market indices at March 31, 2018, as compared to such indices at December 31, 2017, and at March 31, 2017, is shown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60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w w:val="89"/>
              </w:rPr>
              <w:t>Percentage Changes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600" w:type="dxa"/>
            <w:vAlign w:val="bottom"/>
            <w:tcBorders>
              <w:bottom w:val="single" w:sz="8" w:color="auto"/>
            </w:tcBorders>
            <w:gridSpan w:val="4"/>
          </w:tcPr>
          <w:p>
            <w:pPr>
              <w:jc w:val="center"/>
              <w:ind w:left="168"/>
              <w:spacing w:after="0"/>
              <w:rPr>
                <w:sz w:val="20"/>
                <w:szCs w:val="20"/>
                <w:color w:val="auto"/>
              </w:rPr>
            </w:pPr>
            <w:r>
              <w:rPr>
                <w:rFonts w:ascii="Arial" w:cs="Arial" w:eastAsia="Arial" w:hAnsi="Arial"/>
                <w:sz w:val="14"/>
                <w:szCs w:val="14"/>
                <w:b w:val="1"/>
                <w:bCs w:val="1"/>
                <w:color w:val="auto"/>
                <w:w w:val="94"/>
              </w:rPr>
              <w:t>March 31, 2018 vs.</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060" w:type="dxa"/>
            <w:vAlign w:val="bottom"/>
          </w:tcPr>
          <w:p>
            <w:pPr>
              <w:jc w:val="center"/>
              <w:ind w:left="10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jc w:val="center"/>
              <w:ind w:left="148"/>
              <w:spacing w:after="0" w:line="133" w:lineRule="exact"/>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60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2"/>
              </w:rPr>
              <w:t>(2)</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(4)%</w:t>
            </w:r>
          </w:p>
        </w:tc>
        <w:tc>
          <w:tcPr>
            <w:tcW w:w="98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7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5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r>
      <w:tr>
        <w:trPr>
          <w:trHeight w:val="230"/>
        </w:trPr>
        <w:tc>
          <w:tcPr>
            <w:tcW w:w="20" w:type="dxa"/>
            <w:vAlign w:val="bottom"/>
          </w:tcPr>
          <w:p>
            <w:pPr>
              <w:spacing w:after="0"/>
              <w:rPr>
                <w:sz w:val="20"/>
                <w:szCs w:val="20"/>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(1)%</w:t>
            </w:r>
          </w:p>
        </w:tc>
        <w:tc>
          <w:tcPr>
            <w:tcW w:w="98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r>
    </w:tbl>
    <w:p>
      <w:pPr>
        <w:spacing w:after="0" w:line="241" w:lineRule="exact"/>
        <w:rPr>
          <w:sz w:val="20"/>
          <w:szCs w:val="20"/>
          <w:color w:val="auto"/>
        </w:rPr>
      </w:pPr>
    </w:p>
    <w:p>
      <w:pPr>
        <w:jc w:val="both"/>
        <w:ind w:right="100" w:firstLine="518"/>
        <w:spacing w:after="0" w:line="288"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ind w:right="80"/>
        <w:spacing w:after="0" w:line="254" w:lineRule="auto"/>
        <w:rPr>
          <w:sz w:val="20"/>
          <w:szCs w:val="20"/>
          <w:color w:val="auto"/>
        </w:rPr>
      </w:pPr>
      <w:r>
        <w:rPr>
          <w:rFonts w:ascii="Arial" w:cs="Arial" w:eastAsia="Arial" w:hAnsi="Arial"/>
          <w:sz w:val="18"/>
          <w:szCs w:val="18"/>
          <w:color w:val="auto"/>
        </w:rPr>
        <w:t>Movements in AUM during the period generally reflect the changes in equity market indices. Our AUM at March 31, 2018 increased 1% versus AUM at December 31, 2017, primarily due to foreign exchange appreciation and net inflows, partially offset by market depreciation. Average AUM for the first quarter of 2018 was 24% higher than the average AUM for the first quarter of 2017. Average AUM for the first quarter of 2018 increased 5% as compared to the fourth quarter of 2017.</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60" w:firstLine="518"/>
        <w:spacing w:after="0" w:line="289"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capital advisory services, capital raising, restructuring, shareholder advisory, sovereign advisory and other strategic advisory matters.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6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ind w:right="120"/>
        <w:spacing w:after="0" w:line="297" w:lineRule="auto"/>
        <w:rPr>
          <w:sz w:val="20"/>
          <w:szCs w:val="20"/>
          <w:color w:val="auto"/>
        </w:rPr>
      </w:pPr>
      <w:r>
        <w:rPr>
          <w:rFonts w:ascii="Arial" w:cs="Arial" w:eastAsia="Arial" w:hAnsi="Arial"/>
          <w:sz w:val="16"/>
          <w:szCs w:val="16"/>
          <w:color w:val="auto"/>
        </w:rPr>
        <w:t>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5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440" w:firstLine="518"/>
        <w:spacing w:after="0" w:line="312" w:lineRule="auto"/>
        <w:rPr>
          <w:sz w:val="20"/>
          <w:szCs w:val="20"/>
          <w:color w:val="auto"/>
        </w:rPr>
      </w:pPr>
      <w:r>
        <w:rPr>
          <w:rFonts w:ascii="Arial" w:cs="Arial" w:eastAsia="Arial" w:hAnsi="Arial"/>
          <w:sz w:val="16"/>
          <w:szCs w:val="16"/>
          <w:color w:val="auto"/>
        </w:rPr>
        <w:t>Although Corporate segment net revenue during 2018 is not significant compared to Lazard’s net revenue, total assets in the Corporate segment represented 65% of Lazard’s consolidated total assets as of March 31, 2018, which are attributable to cash and cash equivalents, investments in debt and equity securities, interests in alternative investment, debt, equity and private equity funds, deferred tax assets and certain assets associated with LFB.</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2008 Incentive Compensation Plan (the “2008 Plan”), and (b) LFI and other similar deferred compensation arrangements (see Note 13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6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ind w:right="20" w:firstLine="518"/>
        <w:spacing w:after="0" w:line="302"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non-GAAP measure, as modified by the following items:</w:t>
      </w:r>
    </w:p>
    <w:p>
      <w:pPr>
        <w:spacing w:after="0" w:line="46" w:lineRule="exact"/>
        <w:rPr>
          <w:sz w:val="20"/>
          <w:szCs w:val="20"/>
          <w:color w:val="auto"/>
        </w:rPr>
      </w:pPr>
    </w:p>
    <w:p>
      <w:pPr>
        <w:ind w:left="900" w:right="40" w:hanging="379"/>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420" w:right="220" w:hanging="386"/>
        <w:spacing w:after="0" w:line="264" w:lineRule="auto"/>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deferred incentive compensation awards granted in 2018 related to the 2017 year-end compensation process), including Performance-based restricted stock unit (“PRSU”) awards (based on the target payout level);</w:t>
      </w:r>
    </w:p>
    <w:p>
      <w:pPr>
        <w:spacing w:after="0" w:line="73" w:lineRule="exact"/>
        <w:rPr>
          <w:rFonts w:ascii="Arial" w:cs="Arial" w:eastAsia="Arial" w:hAnsi="Arial"/>
          <w:sz w:val="18"/>
          <w:szCs w:val="18"/>
          <w:color w:val="auto"/>
        </w:rPr>
      </w:pPr>
    </w:p>
    <w:p>
      <w:pPr>
        <w:ind w:left="1420" w:right="400" w:hanging="386"/>
        <w:spacing w:after="0" w:line="277" w:lineRule="auto"/>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420" w:hanging="386"/>
        <w:spacing w:after="0"/>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which compares to 55.6% and 55.8%, respectively, for the year ended December 31, 2017.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82"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w:t>
      </w:r>
    </w:p>
    <w:p>
      <w:pPr>
        <w:spacing w:after="0" w:line="171"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We believe that “adjusted non-compensation expense”, a non-GAAP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costs” which includes the change in fair value of the contingent consideration associated with business acquisitions.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15 of Notes to Condensed Consolidated Financial Statements for additional information).</w:t>
      </w:r>
    </w:p>
    <w:p>
      <w:pPr>
        <w:spacing w:after="0" w:line="17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On December 22, 2017, the Tax Cuts and Jobs Act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 interest expense and other corporate business expenses. The Tax Act further includes anti-base erosion provisions such as the base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46" w:name="page47"/>
    <w:bookmarkEnd w:id="46"/>
    <w:p>
      <w:pPr>
        <w:ind w:right="60"/>
        <w:spacing w:after="0" w:line="277" w:lineRule="auto"/>
        <w:rPr>
          <w:sz w:val="20"/>
          <w:szCs w:val="20"/>
          <w:color w:val="auto"/>
        </w:rPr>
      </w:pPr>
      <w:r>
        <w:rPr>
          <w:rFonts w:ascii="Arial" w:cs="Arial" w:eastAsia="Arial" w:hAnsi="Arial"/>
          <w:sz w:val="18"/>
          <w:szCs w:val="18"/>
          <w:color w:val="auto"/>
        </w:rPr>
        <w:t>erosion and anti-abuse tax and tax on global intangible low-taxed income. The reduced corporate tax rate required us to remeasure our deferred tax assets and liabilities, and tax receivable agreement obligation.</w:t>
      </w:r>
    </w:p>
    <w:p>
      <w:pPr>
        <w:spacing w:after="0" w:line="170" w:lineRule="exact"/>
        <w:rPr>
          <w:sz w:val="20"/>
          <w:szCs w:val="20"/>
          <w:color w:val="auto"/>
        </w:rPr>
      </w:pPr>
    </w:p>
    <w:p>
      <w:pPr>
        <w:ind w:right="520" w:firstLine="518"/>
        <w:spacing w:after="0" w:line="264" w:lineRule="auto"/>
        <w:rPr>
          <w:sz w:val="20"/>
          <w:szCs w:val="20"/>
          <w:color w:val="auto"/>
        </w:rPr>
      </w:pPr>
      <w:r>
        <w:rPr>
          <w:rFonts w:ascii="Arial" w:cs="Arial" w:eastAsia="Arial" w:hAnsi="Arial"/>
          <w:sz w:val="18"/>
          <w:szCs w:val="18"/>
          <w:color w:val="auto"/>
        </w:rPr>
        <w:t>See “Critical Accounting Policies and Estimates—Income Taxes” below and Notes 15 and 17 of Notes to Condensed Consolidated Financial Statements for additional information regarding income taxes, the impact of the Tax Act on us, our deferred tax assets and the tax receivable agreement obligation.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400" w:firstLine="518"/>
        <w:spacing w:after="0" w:line="34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12 of Notes to Condensed Consolidated Financial Statements for information regarding the Company’s noncontrolling interests.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in the condensed consolidated statements of operations.</w:t>
      </w:r>
    </w:p>
    <w:p>
      <w:pPr>
        <w:spacing w:after="0" w:line="165"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Net revenue for the three month period ended March 31, 2018 was positively impacted by exchange rate movements in comparison to the relevant prior year period. The majority of the impact to net revenue was offset by the impact of the exchange rate movements on our operating expenses during the periods denominated in currencies other than the U.S. Dollar.</w:t>
      </w:r>
    </w:p>
    <w:p>
      <w:pPr>
        <w:spacing w:after="0" w:line="187" w:lineRule="exact"/>
        <w:rPr>
          <w:sz w:val="20"/>
          <w:szCs w:val="20"/>
          <w:color w:val="auto"/>
        </w:rPr>
      </w:pPr>
    </w:p>
    <w:p>
      <w:pPr>
        <w:ind w:right="380" w:firstLine="480"/>
        <w:spacing w:after="0" w:line="264" w:lineRule="auto"/>
        <w:rPr>
          <w:sz w:val="20"/>
          <w:szCs w:val="20"/>
          <w:color w:val="auto"/>
        </w:rPr>
      </w:pPr>
      <w:r>
        <w:rPr>
          <w:rFonts w:ascii="Arial" w:cs="Arial" w:eastAsia="Arial" w:hAnsi="Arial"/>
          <w:sz w:val="18"/>
          <w:szCs w:val="18"/>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64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754,698</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623,464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7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405,047</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361,801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1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162,957</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107,892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17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3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568,870</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473,267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185,828</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150,197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1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24,167</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161,661</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110,430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17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159,692</w:t>
            </w:r>
          </w:p>
        </w:tc>
        <w:tc>
          <w:tcPr>
            <w:tcW w:w="3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107,553</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24.6%</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40" w:firstLine="518"/>
        <w:spacing w:after="0" w:line="312"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non-GAAP measures used by the Company to manage its business. We believe such non-GAAP measures provide the most meaningful basis for comparison between present, historical and future periods, as described above.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1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3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754,698</w:t>
            </w:r>
          </w:p>
        </w:tc>
        <w:tc>
          <w:tcPr>
            <w:tcW w:w="280" w:type="dxa"/>
            <w:vAlign w:val="bottom"/>
          </w:tcPr>
          <w:p>
            <w:pPr>
              <w:spacing w:after="0"/>
              <w:rPr>
                <w:sz w:val="19"/>
                <w:szCs w:val="19"/>
                <w:color w:val="auto"/>
              </w:rPr>
            </w:pPr>
          </w:p>
        </w:tc>
        <w:tc>
          <w:tcPr>
            <w:tcW w:w="580" w:type="dxa"/>
            <w:vAlign w:val="bottom"/>
            <w:gridSpan w:val="2"/>
          </w:tcPr>
          <w:p>
            <w:pPr>
              <w:jc w:val="right"/>
              <w:ind w:right="45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623,464</w:t>
            </w:r>
          </w:p>
        </w:tc>
        <w:tc>
          <w:tcPr>
            <w:tcW w:w="120" w:type="dxa"/>
            <w:vAlign w:val="bottom"/>
          </w:tcPr>
          <w:p>
            <w:pPr>
              <w:spacing w:after="0"/>
              <w:rPr>
                <w:sz w:val="19"/>
                <w:szCs w:val="19"/>
                <w:color w:val="auto"/>
              </w:rPr>
            </w:pPr>
          </w:p>
        </w:tc>
      </w:tr>
      <w:tr>
        <w:trPr>
          <w:trHeight w:val="230"/>
        </w:trPr>
        <w:tc>
          <w:tcPr>
            <w:tcW w:w="6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13,265</w:t>
            </w:r>
          </w:p>
        </w:tc>
        <w:tc>
          <w:tcPr>
            <w:tcW w:w="120" w:type="dxa"/>
            <w:vAlign w:val="bottom"/>
          </w:tcPr>
          <w:p>
            <w:pPr>
              <w:spacing w:after="0"/>
              <w:rPr>
                <w:sz w:val="19"/>
                <w:szCs w:val="19"/>
                <w:color w:val="auto"/>
              </w:rPr>
            </w:pPr>
          </w:p>
        </w:tc>
      </w:tr>
      <w:tr>
        <w:trPr>
          <w:trHeight w:val="230"/>
        </w:trPr>
        <w:tc>
          <w:tcPr>
            <w:tcW w:w="6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 bad debt expense (b)</w:t>
            </w:r>
          </w:p>
        </w:tc>
        <w:tc>
          <w:tcPr>
            <w:tcW w:w="1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(39,514)</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480" w:type="dxa"/>
            <w:vAlign w:val="bottom"/>
            <w:gridSpan w:val="2"/>
          </w:tcPr>
          <w:p>
            <w:pPr>
              <w:ind w:left="260"/>
              <w:spacing w:after="0"/>
              <w:rPr>
                <w:sz w:val="20"/>
                <w:szCs w:val="20"/>
                <w:color w:val="auto"/>
              </w:rPr>
            </w:pPr>
            <w:r>
              <w:rPr>
                <w:rFonts w:ascii="Arial" w:cs="Arial" w:eastAsia="Arial" w:hAnsi="Arial"/>
                <w:sz w:val="18"/>
                <w:szCs w:val="18"/>
                <w:color w:val="auto"/>
              </w:rPr>
              <w:t>Revenue related to noncontrolling interests (c)</w:t>
            </w: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(5,217)</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(4,942)</w:t>
            </w:r>
          </w:p>
        </w:tc>
      </w:tr>
      <w:tr>
        <w:trPr>
          <w:trHeight w:val="230"/>
        </w:trPr>
        <w:tc>
          <w:tcPr>
            <w:tcW w:w="6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(Gains) losses on investments pertaining to LFI (d)</w:t>
            </w:r>
          </w:p>
        </w:tc>
        <w:tc>
          <w:tcPr>
            <w:tcW w:w="1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(7,353)</w:t>
            </w: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1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723,935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624,434</w:t>
            </w:r>
          </w:p>
        </w:tc>
        <w:tc>
          <w:tcPr>
            <w:tcW w:w="120" w:type="dxa"/>
            <w:vAlign w:val="bottom"/>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5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r>
    </w:tbl>
    <w:p>
      <w:pPr>
        <w:ind w:left="380" w:right="60" w:hanging="372"/>
        <w:spacing w:after="0" w:line="250"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380" w:right="100" w:hanging="372"/>
        <w:spacing w:after="0" w:line="265" w:lineRule="auto"/>
        <w:tabs>
          <w:tab w:leader="none" w:pos="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380" w:right="240" w:hanging="372"/>
        <w:spacing w:after="0" w:line="250"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380" w:right="480" w:hanging="372"/>
        <w:spacing w:after="0" w:line="261"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62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1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46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405,047</w:t>
            </w:r>
          </w:p>
        </w:tc>
        <w:tc>
          <w:tcPr>
            <w:tcW w:w="360" w:type="dxa"/>
            <w:vAlign w:val="bottom"/>
          </w:tcPr>
          <w:p>
            <w:pPr>
              <w:spacing w:after="0"/>
              <w:rPr>
                <w:sz w:val="19"/>
                <w:szCs w:val="19"/>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361,801</w:t>
            </w:r>
          </w:p>
        </w:tc>
        <w:tc>
          <w:tcPr>
            <w:tcW w:w="180" w:type="dxa"/>
            <w:vAlign w:val="bottom"/>
          </w:tcPr>
          <w:p>
            <w:pPr>
              <w:spacing w:after="0"/>
              <w:rPr>
                <w:sz w:val="19"/>
                <w:szCs w:val="19"/>
                <w:color w:val="auto"/>
              </w:rPr>
            </w:pPr>
          </w:p>
        </w:tc>
      </w:tr>
      <w:tr>
        <w:trPr>
          <w:trHeight w:val="230"/>
        </w:trPr>
        <w:tc>
          <w:tcPr>
            <w:tcW w:w="6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24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1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(2,527)</w:t>
            </w:r>
          </w:p>
        </w:tc>
        <w:tc>
          <w:tcPr>
            <w:tcW w:w="5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(1,643)</w:t>
            </w:r>
          </w:p>
        </w:tc>
      </w:tr>
      <w:tr>
        <w:trPr>
          <w:trHeight w:val="230"/>
        </w:trPr>
        <w:tc>
          <w:tcPr>
            <w:tcW w:w="6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1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(7,353)</w:t>
            </w:r>
          </w:p>
        </w:tc>
      </w:tr>
      <w:tr>
        <w:trPr>
          <w:trHeight w:val="263"/>
        </w:trPr>
        <w:tc>
          <w:tcPr>
            <w:tcW w:w="6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152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403,956</w:t>
            </w:r>
          </w:p>
        </w:tc>
        <w:tc>
          <w:tcPr>
            <w:tcW w:w="36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352,805</w:t>
            </w:r>
          </w:p>
        </w:tc>
        <w:tc>
          <w:tcPr>
            <w:tcW w:w="180" w:type="dxa"/>
            <w:vAlign w:val="bottom"/>
            <w:tcBorders>
              <w:bottom w:val="single" w:sz="8" w:color="CFF0FC"/>
            </w:tcBorders>
          </w:tcPr>
          <w:p>
            <w:pPr>
              <w:spacing w:after="0"/>
              <w:rPr>
                <w:sz w:val="22"/>
                <w:szCs w:val="22"/>
                <w:color w:val="auto"/>
              </w:rPr>
            </w:pPr>
          </w:p>
        </w:tc>
      </w:tr>
      <w:tr>
        <w:trPr>
          <w:trHeight w:val="196"/>
        </w:trPr>
        <w:tc>
          <w:tcPr>
            <w:tcW w:w="624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Adjusted compensation and benefits expense, as a % of operating</w:t>
            </w:r>
          </w:p>
        </w:tc>
        <w:tc>
          <w:tcPr>
            <w:tcW w:w="1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0"/>
        </w:trPr>
        <w:tc>
          <w:tcPr>
            <w:tcW w:w="6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revenue</w:t>
            </w:r>
          </w:p>
        </w:tc>
        <w:tc>
          <w:tcPr>
            <w:tcW w:w="15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55.8%</w:t>
            </w:r>
          </w:p>
        </w:tc>
        <w:tc>
          <w:tcPr>
            <w:tcW w:w="5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56.5%</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432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Pr>
          <w:p>
            <w:pPr>
              <w:spacing w:after="0"/>
              <w:rPr>
                <w:sz w:val="7"/>
                <w:szCs w:val="7"/>
                <w:color w:val="auto"/>
              </w:rPr>
            </w:pPr>
          </w:p>
        </w:tc>
      </w:tr>
    </w:tbl>
    <w:p>
      <w:pPr>
        <w:ind w:left="380" w:hanging="372"/>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w:t>
      </w:r>
    </w:p>
    <w:p>
      <w:pPr>
        <w:spacing w:after="0" w:line="9" w:lineRule="exact"/>
        <w:rPr>
          <w:rFonts w:ascii="Arial" w:cs="Arial" w:eastAsia="Arial" w:hAnsi="Arial"/>
          <w:sz w:val="18"/>
          <w:szCs w:val="18"/>
          <w:color w:val="auto"/>
        </w:rPr>
      </w:pPr>
    </w:p>
    <w:p>
      <w:pPr>
        <w:ind w:left="380" w:right="20" w:hanging="372"/>
        <w:spacing w:after="0" w:line="261"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Total non-compensation expense</w:t>
            </w:r>
          </w:p>
        </w:tc>
        <w:tc>
          <w:tcPr>
            <w:tcW w:w="336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162,957</w:t>
            </w:r>
          </w:p>
        </w:tc>
        <w:tc>
          <w:tcPr>
            <w:tcW w:w="360" w:type="dxa"/>
            <w:vAlign w:val="bottom"/>
          </w:tcPr>
          <w:p>
            <w:pPr>
              <w:spacing w:after="0"/>
              <w:rPr>
                <w:sz w:val="19"/>
                <w:szCs w:val="19"/>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107,892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60"/>
              <w:spacing w:after="0"/>
              <w:rPr>
                <w:sz w:val="20"/>
                <w:szCs w:val="20"/>
                <w:color w:val="auto"/>
              </w:rPr>
            </w:pPr>
            <w:r>
              <w:rPr>
                <w:rFonts w:ascii="Arial" w:cs="Arial" w:eastAsia="Arial" w:hAnsi="Arial"/>
                <w:sz w:val="18"/>
                <w:szCs w:val="18"/>
                <w:color w:val="auto"/>
              </w:rPr>
              <w:t>Expenses associated with ERP system implementation (a)</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(7,426)</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Expenses related to office space reorganization (b)</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(1,389)</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60"/>
              <w:spacing w:after="0"/>
              <w:rPr>
                <w:sz w:val="20"/>
                <w:szCs w:val="20"/>
                <w:color w:val="auto"/>
              </w:rPr>
            </w:pPr>
            <w:r>
              <w:rPr>
                <w:rFonts w:ascii="Arial" w:cs="Arial" w:eastAsia="Arial" w:hAnsi="Arial"/>
                <w:sz w:val="18"/>
                <w:szCs w:val="18"/>
                <w:color w:val="auto"/>
                <w:w w:val="94"/>
              </w:rPr>
              <w:t>Distribution fees, reimbursable deal costs and bad debt expense (c)</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(39,514)</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 (d)</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(547)</w:t>
            </w:r>
          </w:p>
        </w:tc>
        <w:tc>
          <w:tcPr>
            <w:tcW w:w="5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non-compensation expense</w:t>
            </w:r>
          </w:p>
        </w:tc>
        <w:tc>
          <w:tcPr>
            <w:tcW w:w="242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114,081</w:t>
            </w:r>
          </w:p>
        </w:tc>
        <w:tc>
          <w:tcPr>
            <w:tcW w:w="36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107,470</w:t>
            </w:r>
          </w:p>
        </w:tc>
        <w:tc>
          <w:tcPr>
            <w:tcW w:w="18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2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15.8%</w:t>
            </w: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2420" w:type="dxa"/>
            <w:vAlign w:val="bottom"/>
            <w:tcBorders>
              <w:top w:val="single" w:sz="8" w:color="CFF0FC"/>
              <w:bottom w:val="single" w:sz="8" w:color="CFF0FC"/>
            </w:tcBorders>
            <w:vMerge w:val="restart"/>
          </w:tcPr>
          <w:p>
            <w:pPr>
              <w:jc w:val="right"/>
              <w:ind w:right="1870"/>
              <w:spacing w:after="0"/>
              <w:rPr>
                <w:sz w:val="20"/>
                <w:szCs w:val="20"/>
                <w:color w:val="auto"/>
              </w:rPr>
            </w:pPr>
            <w:r>
              <w:rPr>
                <w:rFonts w:ascii="Arial" w:cs="Arial" w:eastAsia="Arial" w:hAnsi="Arial"/>
                <w:sz w:val="18"/>
                <w:szCs w:val="18"/>
                <w:color w:val="auto"/>
              </w:rPr>
              <w:t>46</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48" w:name="page49"/>
    <w:bookmarkEnd w:id="48"/>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2090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9040" cy="8890"/>
                    </a:xfrm>
                    <a:prstGeom prst="rect">
                      <a:avLst/>
                    </a:prstGeom>
                    <a:noFill/>
                  </pic:spPr>
                </pic:pic>
              </a:graphicData>
            </a:graphic>
          </wp:anchor>
        </w:drawing>
        <w:t>Represents expenses associated with the Enterprise Resource Planning (“ERP”) system implementation.</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incremental rent expense and lease abandonment costs related to office space reorganization.</w:t>
      </w:r>
    </w:p>
    <w:p>
      <w:pPr>
        <w:spacing w:after="0" w:line="9" w:lineRule="exact"/>
        <w:rPr>
          <w:rFonts w:ascii="Arial" w:cs="Arial" w:eastAsia="Arial" w:hAnsi="Arial"/>
          <w:sz w:val="18"/>
          <w:szCs w:val="18"/>
          <w:color w:val="auto"/>
        </w:rPr>
      </w:pPr>
    </w:p>
    <w:p>
      <w:pPr>
        <w:ind w:left="380" w:right="80" w:hanging="372"/>
        <w:spacing w:after="0" w:line="265" w:lineRule="auto"/>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380" w:hanging="372"/>
        <w:spacing w:after="0"/>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the Company has no economic interest in such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6"/>
          </w:tcPr>
          <w:p>
            <w:pPr>
              <w:jc w:val="center"/>
              <w:ind w:left="278"/>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ind w:left="298"/>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gridSpan w:val="6"/>
          </w:tcPr>
          <w:p>
            <w:pPr>
              <w:jc w:val="center"/>
              <w:ind w:left="278"/>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Operating revenue</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723,935</w:t>
            </w:r>
          </w:p>
        </w:tc>
        <w:tc>
          <w:tcPr>
            <w:tcW w:w="100" w:type="dxa"/>
            <w:vAlign w:val="bottom"/>
          </w:tcPr>
          <w:p>
            <w:pPr>
              <w:spacing w:after="0"/>
              <w:rPr>
                <w:sz w:val="19"/>
                <w:szCs w:val="19"/>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624,434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(403,956)</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(352,805)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(114,081)</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(107,470)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9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205,898</w:t>
            </w: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164,159</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28.4%</w:t>
            </w: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8"/>
                <w:szCs w:val="18"/>
                <w:color w:val="auto"/>
              </w:rPr>
              <w:t>Headcount information is set forth below:</w:t>
            </w:r>
          </w:p>
        </w:tc>
        <w:tc>
          <w:tcPr>
            <w:tcW w:w="9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7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7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left="198"/>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780" w:type="dxa"/>
            <w:vAlign w:val="bottom"/>
          </w:tcPr>
          <w:p>
            <w:pPr>
              <w:spacing w:after="0"/>
              <w:rPr>
                <w:sz w:val="11"/>
                <w:szCs w:val="11"/>
                <w:color w:val="auto"/>
              </w:rPr>
            </w:pPr>
          </w:p>
        </w:tc>
        <w:tc>
          <w:tcPr>
            <w:tcW w:w="16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March 31,</w:t>
            </w:r>
          </w:p>
        </w:tc>
        <w:tc>
          <w:tcPr>
            <w:tcW w:w="1860" w:type="dxa"/>
            <w:vAlign w:val="bottom"/>
            <w:gridSpan w:val="6"/>
          </w:tcPr>
          <w:p>
            <w:pPr>
              <w:jc w:val="center"/>
              <w:ind w:right="54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8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7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center"/>
              <w:ind w:left="29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Managing Directors:</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152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Asset Management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6"/>
              </w:rPr>
              <w:t>270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Employees: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Business segment professionals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1,310</w:t>
            </w:r>
          </w:p>
        </w:tc>
        <w:tc>
          <w:tcPr>
            <w:tcW w:w="260" w:type="dxa"/>
            <w:vAlign w:val="bottom"/>
          </w:tcPr>
          <w:p>
            <w:pPr>
              <w:spacing w:after="0"/>
              <w:rPr>
                <w:sz w:val="19"/>
                <w:szCs w:val="19"/>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1,304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 other professionals and support staff</w:t>
            </w: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50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2,877</w:t>
            </w:r>
          </w:p>
        </w:tc>
        <w:tc>
          <w:tcPr>
            <w:tcW w:w="260" w:type="dxa"/>
            <w:vAlign w:val="bottom"/>
          </w:tcPr>
          <w:p>
            <w:pPr>
              <w:spacing w:after="0"/>
              <w:rPr>
                <w:sz w:val="19"/>
                <w:szCs w:val="19"/>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2,843</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220" w:firstLine="518"/>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versus March 31,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reported net income attributable to Lazard Ltd of $160 million, as compared to net income of $108 million in the 2017 period.</w:t>
      </w:r>
    </w:p>
    <w:p>
      <w:pPr>
        <w:spacing w:after="0" w:line="237"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Net revenue increased $131 million, or 21%, with operating revenue increasing $100 million, or 16%, as compared to the 2017 period. Net revenue in the 2018 period reflects the adoption of new revenue recognition guidance (see Note 2 of Notes to Condensed Consolidated Financial Statements). Fee revenue from investment banking and other advisory activities increased $74 million, or 22%, as compared to the 2017 period, primarily due to an increase in M&amp;A Advisory revenue, partially offset by a decrease in Restructuring revenue. Asset management fees, including incentive fees, increased $65 million, or 24%, as compared to the 2017 period, primarily due to an increase in average AUM, as well as the impact of the new revenue recognition guidance discussed above. In the aggregate, interest income, other revenue and interest expense decreased $8 million as compared to the 2017 period, primarily due to lower income attributable to investments held in connection with LFI.</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9" w:name="page50"/>
    <w:bookmarkEnd w:id="49"/>
    <w:p>
      <w:pPr>
        <w:ind w:right="400" w:firstLine="518"/>
        <w:spacing w:after="0" w:line="277" w:lineRule="auto"/>
        <w:rPr>
          <w:sz w:val="20"/>
          <w:szCs w:val="20"/>
          <w:color w:val="auto"/>
        </w:rPr>
      </w:pPr>
      <w:r>
        <w:rPr>
          <w:rFonts w:ascii="Arial" w:cs="Arial" w:eastAsia="Arial" w:hAnsi="Arial"/>
          <w:sz w:val="18"/>
          <w:szCs w:val="18"/>
          <w:color w:val="auto"/>
        </w:rPr>
        <w:t>Compensation and benefits expense increased $43 million, or 12%, as compared to the 2017 period, primarily associated with increased operating revenue.</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periods, as described above) was $404 million, an increase of $51 million, or 14%, as compared to $353 million in the 2017 period. The ratio of adjusted compensation and benefits expense to operating revenue was 55.8% for the 2018 period, as compared to 56.5% for the 2017 period and 55.8% for full-year 2017.</w:t>
      </w:r>
    </w:p>
    <w:p>
      <w:pPr>
        <w:spacing w:after="0" w:line="18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Non-compensation expense increased $55 million, or 51%, as compared to the 2017 period, primarily due to the impact of the new revenue recognition guidance discussed above, expenses associated with the ERP system implementation and expenses related to office space reorganization. Adjusted non-compensation expense, which excludes non-compensation costs related to the impact of the new revenue recognition guidance, ERP system implementation, office space reorganization and noncontrolling interests, increased $7 million, or 6%, as compared to the 2017 period. The ratio of adjusted non-compensation expense to operating revenue was 15.8% for the 2018 period, as compared to 17.2% for the 2017 period.</w:t>
      </w:r>
    </w:p>
    <w:p>
      <w:pPr>
        <w:spacing w:after="0" w:line="158"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Amortization and other acquisition-related costs decreased $3 million as compared to the 2017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increased $36 million, or 24%, as compared to the 2017 period.</w:t>
      </w:r>
    </w:p>
    <w:p>
      <w:pPr>
        <w:spacing w:after="0" w:line="225"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Earnings from operations increased $42 million, or 25%, as compared to the 2017 period, and, as a percentage of operating revenue, was 28.4%, as compared to 26.3% in the 2017 period.</w:t>
      </w:r>
    </w:p>
    <w:p>
      <w:pPr>
        <w:spacing w:after="0" w:line="170"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The provision for income taxes reflects an effective tax rate of 13.0%, as compared to 26.5% for the 2017 period. The decrease in the effective tax rate is primarily due to (i) an increase in excess net tax benefits related to share-based incentive compensation, and (ii) the impact of various provisions under the Tax Act primarily related to the reduction in the U.S. federal corporate tax rate from 35% to 21%.</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decreased $1 million as compared to the 2017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40" w:firstLine="51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40" w:firstLine="8"/>
        <w:spacing w:after="0" w:line="271" w:lineRule="auto"/>
        <w:tabs>
          <w:tab w:leader="none" w:pos="265"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442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409,121</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335,812</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34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324,696</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262,751</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34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84,425</w:t>
            </w:r>
          </w:p>
        </w:tc>
        <w:tc>
          <w:tcPr>
            <w:tcW w:w="3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73,061</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3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480" w:type="dxa"/>
            <w:vAlign w:val="bottom"/>
            <w:vMerge w:val="restart"/>
          </w:tcPr>
          <w:p>
            <w:pPr>
              <w:jc w:val="right"/>
              <w:ind w:right="1870"/>
              <w:spacing w:after="0"/>
              <w:rPr>
                <w:sz w:val="20"/>
                <w:szCs w:val="20"/>
                <w:color w:val="auto"/>
              </w:rPr>
            </w:pPr>
            <w:r>
              <w:rPr>
                <w:rFonts w:ascii="Arial" w:cs="Arial" w:eastAsia="Arial" w:hAnsi="Arial"/>
                <w:sz w:val="18"/>
                <w:szCs w:val="18"/>
                <w:color w:val="auto"/>
              </w:rPr>
              <w:t>48</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8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0" w:name="page51"/>
    <w:bookmarkEnd w:id="50"/>
    <w:p>
      <w:pPr>
        <w:ind w:left="520"/>
        <w:spacing w:after="0"/>
        <w:rPr>
          <w:sz w:val="20"/>
          <w:szCs w:val="20"/>
          <w:color w:val="auto"/>
        </w:rPr>
      </w:pPr>
      <w:r>
        <w:rPr>
          <w:rFonts w:ascii="Arial" w:cs="Arial" w:eastAsia="Arial" w:hAnsi="Arial"/>
          <w:sz w:val="18"/>
          <w:szCs w:val="18"/>
          <w:color w:val="auto"/>
        </w:rPr>
        <w:t>Certain Lazard fee and transaction statistics for the Financial Advisory segment are set forth below:</w:t>
      </w:r>
    </w:p>
    <w:p>
      <w:pPr>
        <w:spacing w:after="0" w:line="298"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gridSpan w:val="2"/>
          </w:tcPr>
          <w:p>
            <w:pPr>
              <w:spacing w:after="0"/>
              <w:rPr>
                <w:sz w:val="13"/>
                <w:szCs w:val="13"/>
                <w:color w:val="auto"/>
              </w:rPr>
            </w:pPr>
          </w:p>
        </w:tc>
        <w:tc>
          <w:tcPr>
            <w:tcW w:w="114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8900" w:type="dxa"/>
            <w:vAlign w:val="bottom"/>
            <w:gridSpan w:val="3"/>
          </w:tcPr>
          <w:p>
            <w:pPr>
              <w:spacing w:after="0"/>
              <w:rPr>
                <w:sz w:val="20"/>
                <w:szCs w:val="20"/>
                <w:color w:val="auto"/>
              </w:rPr>
            </w:pPr>
            <w:r>
              <w:rPr>
                <w:rFonts w:ascii="Arial" w:cs="Arial" w:eastAsia="Arial" w:hAnsi="Arial"/>
                <w:sz w:val="18"/>
                <w:szCs w:val="18"/>
                <w:color w:val="auto"/>
              </w:rPr>
              <w:t>Number of clients with fees greater than $1 million:</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9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Financial Advisory</w:t>
            </w:r>
          </w:p>
        </w:tc>
        <w:tc>
          <w:tcPr>
            <w:tcW w:w="4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79"/>
              </w:rPr>
              <w:t>74</w:t>
            </w: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ind w:left="1380"/>
              <w:spacing w:after="0"/>
              <w:rPr>
                <w:sz w:val="20"/>
                <w:szCs w:val="20"/>
                <w:color w:val="auto"/>
              </w:rPr>
            </w:pPr>
            <w:r>
              <w:rPr>
                <w:rFonts w:ascii="Arial" w:cs="Arial" w:eastAsia="Arial" w:hAnsi="Arial"/>
                <w:sz w:val="18"/>
                <w:szCs w:val="18"/>
                <w:color w:val="auto"/>
                <w:w w:val="79"/>
              </w:rPr>
              <w:t>65</w:t>
            </w:r>
          </w:p>
        </w:tc>
        <w:tc>
          <w:tcPr>
            <w:tcW w:w="180" w:type="dxa"/>
            <w:vAlign w:val="bottom"/>
            <w:shd w:val="clear" w:color="auto" w:fill="CFF0FC"/>
          </w:tcPr>
          <w:p>
            <w:pPr>
              <w:spacing w:after="0"/>
              <w:rPr>
                <w:sz w:val="19"/>
                <w:szCs w:val="19"/>
                <w:color w:val="auto"/>
              </w:rPr>
            </w:pPr>
          </w:p>
        </w:tc>
      </w:tr>
      <w:tr>
        <w:trPr>
          <w:trHeight w:val="215"/>
        </w:trPr>
        <w:tc>
          <w:tcPr>
            <w:tcW w:w="8900" w:type="dxa"/>
            <w:vAlign w:val="bottom"/>
            <w:gridSpan w:val="3"/>
          </w:tcPr>
          <w:p>
            <w:pPr>
              <w:spacing w:after="0"/>
              <w:rPr>
                <w:sz w:val="20"/>
                <w:szCs w:val="20"/>
                <w:color w:val="auto"/>
              </w:rPr>
            </w:pPr>
            <w:r>
              <w:rPr>
                <w:rFonts w:ascii="Arial" w:cs="Arial" w:eastAsia="Arial" w:hAnsi="Arial"/>
                <w:sz w:val="18"/>
                <w:szCs w:val="18"/>
                <w:color w:val="auto"/>
              </w:rPr>
              <w:t>Percentage of total Financial Advisory net revenue from top 10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8900" w:type="dxa"/>
            <w:vAlign w:val="bottom"/>
            <w:gridSpan w:val="3"/>
          </w:tcPr>
          <w:p>
            <w:pPr>
              <w:ind w:left="140"/>
              <w:spacing w:after="0"/>
              <w:rPr>
                <w:sz w:val="20"/>
                <w:szCs w:val="20"/>
                <w:color w:val="auto"/>
              </w:rPr>
            </w:pPr>
            <w:r>
              <w:rPr>
                <w:rFonts w:ascii="Arial" w:cs="Arial" w:eastAsia="Arial" w:hAnsi="Arial"/>
                <w:sz w:val="18"/>
                <w:szCs w:val="18"/>
                <w:color w:val="auto"/>
              </w:rPr>
              <w:t>clients</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38%</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w w:val="94"/>
              </w:rPr>
              <w:t>46%</w:t>
            </w:r>
          </w:p>
        </w:tc>
      </w:tr>
      <w:tr>
        <w:trPr>
          <w:trHeight w:val="215"/>
        </w:trPr>
        <w:tc>
          <w:tcPr>
            <w:tcW w:w="8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Number of M&amp;A transactions completed with values greater than</w:t>
            </w: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89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$500 million (a)</w:t>
            </w:r>
          </w:p>
        </w:tc>
        <w:tc>
          <w:tcPr>
            <w:tcW w:w="4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79"/>
              </w:rPr>
              <w:t>20</w:t>
            </w:r>
          </w:p>
        </w:tc>
        <w:tc>
          <w:tcPr>
            <w:tcW w:w="360" w:type="dxa"/>
            <w:vAlign w:val="bottom"/>
            <w:shd w:val="clear" w:color="auto" w:fill="CFF0FC"/>
          </w:tcPr>
          <w:p>
            <w:pPr>
              <w:spacing w:after="0"/>
              <w:rPr>
                <w:sz w:val="20"/>
                <w:szCs w:val="20"/>
                <w:color w:val="auto"/>
              </w:rPr>
            </w:pPr>
          </w:p>
        </w:tc>
        <w:tc>
          <w:tcPr>
            <w:tcW w:w="1560" w:type="dxa"/>
            <w:vAlign w:val="bottom"/>
            <w:shd w:val="clear" w:color="auto" w:fill="CFF0FC"/>
          </w:tcPr>
          <w:p>
            <w:pPr>
              <w:ind w:left="1380"/>
              <w:spacing w:after="0"/>
              <w:rPr>
                <w:sz w:val="20"/>
                <w:szCs w:val="20"/>
                <w:color w:val="auto"/>
              </w:rPr>
            </w:pPr>
            <w:r>
              <w:rPr>
                <w:rFonts w:ascii="Arial" w:cs="Arial" w:eastAsia="Arial" w:hAnsi="Arial"/>
                <w:sz w:val="18"/>
                <w:szCs w:val="18"/>
                <w:color w:val="auto"/>
                <w:w w:val="79"/>
              </w:rPr>
              <w:t>26</w:t>
            </w:r>
          </w:p>
        </w:tc>
        <w:tc>
          <w:tcPr>
            <w:tcW w:w="180" w:type="dxa"/>
            <w:vAlign w:val="bottom"/>
            <w:shd w:val="clear" w:color="auto" w:fill="CFF0FC"/>
          </w:tcPr>
          <w:p>
            <w:pPr>
              <w:spacing w:after="0"/>
              <w:rPr>
                <w:sz w:val="20"/>
                <w:szCs w:val="20"/>
                <w:color w:val="auto"/>
              </w:rPr>
            </w:pPr>
          </w:p>
        </w:tc>
      </w:tr>
      <w:tr>
        <w:trPr>
          <w:trHeight w:val="95"/>
        </w:trPr>
        <w:tc>
          <w:tcPr>
            <w:tcW w:w="192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April 5, 2018.</w:t>
      </w:r>
    </w:p>
    <w:p>
      <w:pPr>
        <w:spacing w:after="0" w:line="22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Germany, Italy and Spain) and the Asia Pacific region (primarily in Australia) and therefore may not be reflective of the geography in which the clients are located.</w:t>
      </w:r>
    </w:p>
    <w:p>
      <w:pPr>
        <w:spacing w:after="0" w:line="26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1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EMEA</w:t>
            </w: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77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restructuring and other strategic advisory matters,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or other services. Accordingly, Lazard measures performance in its Financial Advisory segment based on overall segment operating revenue and operating income margins.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260" w:firstLine="518"/>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versus March 31, 2017</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Financial Advisory net revenue increased $73 million, or 22%, as compared to the 2017 period. The increase in Financial Advisory revenue was primarily a result of an increased number of fees over $5 million, as compared to the 2017 period. Clients which in the aggregate represented a significant portion of our Financial Advisory revenue in the 2018 period included AVEVA, Calpine, Cardinal Health, Express Scripts, Ferrero Group, Safran, Sanofi and Toshiba.</w:t>
      </w:r>
    </w:p>
    <w:p>
      <w:pPr>
        <w:spacing w:after="0" w:line="18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Operating expenses increased $62 million, or 24%, as compared to the 2017 period, primarily due to an increase in compensation associated with increased operating revenue.</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Financial Advisory operating income was $84 million, an increase of $11 million, or 16%, as compared to operating income of $73 million in the 2017 period and, as a percentage of net revenue, was 20.6%, as compared to 21.8% in the 2017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right"/>
              <w:ind w:right="394"/>
              <w:spacing w:after="0" w:line="133"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32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53,862</w:t>
            </w:r>
          </w:p>
        </w:tc>
        <w:tc>
          <w:tcPr>
            <w:tcW w:w="6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44,403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43,663</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70,405</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70,696</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9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210,077</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4,418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4,109</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8,871</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9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36,656</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35,080</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2,884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2,846</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251,680</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Total AUM at March 31, 2018 was $252 billion, an increase of $3 billion, or 1%, as compared to total AUM of $249 billion at December 31, 2017, primarily due to foreign exchange appreciation and net inflows, partially offset by market depreciation. Average AUM for the first quarter of 2018 increased 24% as compared to the first quarter of 2017 and 5% as compared to the fourth quarter of 2017.</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As of March 31, 2018, approximately 88% of our AUM was managed on behalf of institutional clients, including corporations, labor unions, public pension funds, insurance companies and banks, and through sub-advisory relationships, mutual fund sponsors, broker-dealers and registered advisors, and approximately 12% of our AUM was managed on behalf of individual client relationships, which are principally with family offices and individuals, and was unchanged from the corresponding percentages at December 31, 2017.</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of March 31, 2018, AUM with foreign currency exposure represented approximately 73% of our total AUM as compared to 74% at December 31, 2017.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changes in AUM by asset class for the three month periods ended March 31, 2018 and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0"/>
          </w:tcPr>
          <w:p>
            <w:pPr>
              <w:jc w:val="right"/>
              <w:ind w:right="580"/>
              <w:spacing w:after="0"/>
              <w:rPr>
                <w:sz w:val="20"/>
                <w:szCs w:val="20"/>
                <w:color w:val="auto"/>
              </w:rPr>
            </w:pPr>
            <w:r>
              <w:rPr>
                <w:rFonts w:ascii="Arial" w:cs="Arial" w:eastAsia="Arial" w:hAnsi="Arial"/>
                <w:sz w:val="14"/>
                <w:szCs w:val="14"/>
                <w:b w:val="1"/>
                <w:bCs w:val="1"/>
                <w:color w:val="auto"/>
              </w:rPr>
              <w:t>Three Months Ended March 31,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(10,054)</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(2,200)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300" w:hanging="372"/>
        <w:spacing w:after="0" w:line="259"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Global, Emerging Markets and Multi-Regional platforms, and inflows in the Fixed Income asset class were primarily attributable to the Emerging Markets and Local platforms. Outflows in the Equity asset class were primarily attributable to the Emerging Markets, Multi-Regional and Global equity platforms, and outflows in the Fixed Income asset class were primarily attributable to the Emerging Markets platform.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9"/>
          </w:tcPr>
          <w:p>
            <w:pPr>
              <w:jc w:val="right"/>
              <w:ind w:right="350"/>
              <w:spacing w:after="0"/>
              <w:rPr>
                <w:sz w:val="20"/>
                <w:szCs w:val="20"/>
                <w:color w:val="auto"/>
              </w:rPr>
            </w:pPr>
            <w:r>
              <w:rPr>
                <w:rFonts w:ascii="Arial" w:cs="Arial" w:eastAsia="Arial" w:hAnsi="Arial"/>
                <w:sz w:val="14"/>
                <w:szCs w:val="14"/>
                <w:b w:val="1"/>
                <w:bCs w:val="1"/>
                <w:color w:val="auto"/>
              </w:rPr>
              <w:t>Three Months Ended March 31, 2017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(8,296)</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As of April 20, 2018, AUM was $251.6 billion, a $0.1 billion decrease since March 31, 2018. The decrease in AUM was due to net outflows of $1.1 billion and foreign exchange depreciation of $0.9 billion, partially offset by market appreciation of $1.9 billion.</w:t>
      </w:r>
    </w:p>
    <w:p>
      <w:pPr>
        <w:spacing w:after="0" w:line="17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Average AUM for the three month periods ended March 31, 2018 and 2017 for each significant asset class is set forth below. Average AUM generally represents the average of the monthly ending AUM balances for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6"/>
        </w:trPr>
        <w:tc>
          <w:tcPr>
            <w:tcW w:w="5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Equity</w:t>
            </w:r>
          </w:p>
        </w:tc>
        <w:tc>
          <w:tcPr>
            <w:tcW w:w="372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214,035</w:t>
            </w:r>
          </w:p>
        </w:tc>
        <w:tc>
          <w:tcPr>
            <w:tcW w:w="86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170,863</w:t>
            </w:r>
          </w:p>
        </w:tc>
        <w:tc>
          <w:tcPr>
            <w:tcW w:w="1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31,436</w:t>
            </w:r>
          </w:p>
        </w:tc>
        <w:tc>
          <w:tcPr>
            <w:tcW w:w="120" w:type="dxa"/>
            <w:vAlign w:val="bottom"/>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FF0FC"/>
          </w:tcPr>
          <w:p>
            <w:pPr>
              <w:spacing w:after="0"/>
              <w:rPr>
                <w:sz w:val="19"/>
                <w:szCs w:val="19"/>
                <w:color w:val="auto"/>
              </w:rPr>
            </w:pPr>
          </w:p>
        </w:tc>
      </w:tr>
      <w:tr>
        <w:trPr>
          <w:trHeight w:val="230"/>
        </w:trPr>
        <w:tc>
          <w:tcPr>
            <w:tcW w:w="5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7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FF0FC"/>
            </w:tcBorders>
          </w:tcPr>
          <w:p>
            <w:pPr>
              <w:spacing w:after="0"/>
              <w:rPr>
                <w:sz w:val="19"/>
                <w:szCs w:val="19"/>
                <w:color w:val="auto"/>
              </w:rPr>
            </w:pPr>
          </w:p>
        </w:tc>
      </w:tr>
      <w:tr>
        <w:trPr>
          <w:trHeight w:val="223"/>
        </w:trPr>
        <w:tc>
          <w:tcPr>
            <w:tcW w:w="51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7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255,809</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206,429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334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354,283</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283,363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4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229,669</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188,751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124,614</w:t>
            </w:r>
          </w:p>
        </w:tc>
        <w:tc>
          <w:tcPr>
            <w:tcW w:w="3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94,612</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2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35.2%</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97"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1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EMEA</w:t>
            </w: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5620"/>
              <w:spacing w:after="0"/>
              <w:rPr>
                <w:sz w:val="20"/>
                <w:szCs w:val="20"/>
                <w:color w:val="auto"/>
              </w:rPr>
            </w:pPr>
            <w:r>
              <w:rPr>
                <w:rFonts w:ascii="Arial" w:cs="Arial" w:eastAsia="Arial" w:hAnsi="Arial"/>
                <w:sz w:val="18"/>
                <w:szCs w:val="18"/>
                <w:color w:val="auto"/>
              </w:rPr>
              <w:t>51</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7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53" w:name="page54"/>
    <w:bookmarkEnd w:id="53"/>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580" w:firstLine="518"/>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versus March 31, 2017</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Asset Management net revenue increased $71 million, or 25%, as compared to the 2017 period. Management fees and other revenue was $348 million, an increase of $72 million, or 26%, as compared to $276 million in the 2017 period, primarily due to an increase in average AUM, as well as the impact of the new revenue recognition guidance discussed above. Incentive fees were $6 million, a decrease of $1 million as compared to $7 million in the 2017 period.</w:t>
      </w:r>
    </w:p>
    <w:p>
      <w:pPr>
        <w:spacing w:after="0" w:line="14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Operating expenses increased $41 million, or 22%, as compared to the 2017 period, primarily due to the impact of the new revenue recognition guidance and increases in compensation associated with increased operating revenue.</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Asset Management operating income was $125 million, an increase of $30 million, or 32%, as compared to operating income of $95 million in the 2017 period and, as a percentage of net revenue, was 35.2%, as compared to 33.4% in the 2017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9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6"/>
        </w:trPr>
        <w:tc>
          <w:tcPr>
            <w:tcW w:w="49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390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Interest Expense</w:t>
            </w:r>
          </w:p>
        </w:tc>
        <w:tc>
          <w:tcPr>
            <w:tcW w:w="2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(13,012)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(13,456)</w:t>
            </w:r>
          </w:p>
        </w:tc>
      </w:tr>
      <w:tr>
        <w:trPr>
          <w:trHeight w:val="223"/>
        </w:trPr>
        <w:tc>
          <w:tcPr>
            <w:tcW w:w="49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9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(10,692)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w:t>
            </w:r>
          </w:p>
        </w:tc>
        <w:tc>
          <w:tcPr>
            <w:tcW w:w="29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16,981</w:t>
            </w:r>
          </w:p>
        </w:tc>
        <w:tc>
          <w:tcPr>
            <w:tcW w:w="120" w:type="dxa"/>
            <w:vAlign w:val="bottom"/>
            <w:tcBorders>
              <w:bottom w:val="single" w:sz="8" w:color="CFF0FC"/>
            </w:tcBorders>
          </w:tcPr>
          <w:p>
            <w:pPr>
              <w:spacing w:after="0"/>
              <w:rPr>
                <w:sz w:val="19"/>
                <w:szCs w:val="19"/>
                <w:color w:val="auto"/>
              </w:rPr>
            </w:pPr>
          </w:p>
        </w:tc>
      </w:tr>
      <w:tr>
        <w:trPr>
          <w:trHeight w:val="223"/>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w:t>
            </w:r>
          </w:p>
        </w:tc>
        <w:tc>
          <w:tcPr>
            <w:tcW w:w="120" w:type="dxa"/>
            <w:vAlign w:val="bottom"/>
            <w:shd w:val="clear" w:color="auto" w:fill="CFF0FC"/>
          </w:tcPr>
          <w:p>
            <w:pPr>
              <w:spacing w:after="0"/>
              <w:rPr>
                <w:sz w:val="19"/>
                <w:szCs w:val="19"/>
                <w:color w:val="auto"/>
              </w:rPr>
            </w:pPr>
          </w:p>
        </w:tc>
      </w:tr>
      <w:tr>
        <w:trPr>
          <w:trHeight w:val="230"/>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9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21,765</w:t>
            </w:r>
          </w:p>
        </w:tc>
        <w:tc>
          <w:tcPr>
            <w:tcW w:w="120" w:type="dxa"/>
            <w:vAlign w:val="bottom"/>
            <w:tcBorders>
              <w:bottom w:val="single" w:sz="8" w:color="CFF0FC"/>
            </w:tcBorders>
          </w:tcPr>
          <w:p>
            <w:pPr>
              <w:spacing w:after="0"/>
              <w:rPr>
                <w:sz w:val="19"/>
                <w:szCs w:val="19"/>
                <w:color w:val="auto"/>
              </w:rPr>
            </w:pPr>
          </w:p>
        </w:tc>
      </w:tr>
      <w:tr>
        <w:trPr>
          <w:trHeight w:val="223"/>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9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(23,211)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(17,476)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180" w:firstLine="518"/>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versus March 31,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decreased $2 million, or 16%, as compared to the 2017 period.</w:t>
      </w:r>
    </w:p>
    <w:p>
      <w:pPr>
        <w:spacing w:after="0" w:line="225"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Other revenue decreased $15 million as compared to the 2017 period, primarly due to lower income in the 2018 period attributable to investments held in connection with LFI.</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expenses decreased $7 million as compared to the 2017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M&amp;A and other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4" w:name="page55"/>
    <w:bookmarkEnd w:id="54"/>
    <w:p>
      <w:pPr>
        <w:ind w:right="480" w:firstLine="518"/>
        <w:spacing w:after="0" w:line="308" w:lineRule="auto"/>
        <w:rPr>
          <w:sz w:val="20"/>
          <w:szCs w:val="20"/>
          <w:color w:val="auto"/>
        </w:rPr>
      </w:pPr>
      <w:r>
        <w:rPr>
          <w:rFonts w:ascii="Arial" w:cs="Arial" w:eastAsia="Arial" w:hAnsi="Arial"/>
          <w:sz w:val="17"/>
          <w:szCs w:val="17"/>
          <w:color w:val="auto"/>
        </w:rPr>
        <w:t>The Company makes cash payments for, or in respect of, a significant portion of its incentive compensation during the first three months of each calendar year with respect to the prior year’s results. The Company also paid a special dividend in February 2018 and February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40" w:type="dxa"/>
            <w:vAlign w:val="bottom"/>
            <w:gridSpan w:val="9"/>
          </w:tcPr>
          <w:p>
            <w:pPr>
              <w:jc w:val="center"/>
              <w:ind w:right="1340"/>
              <w:spacing w:after="0"/>
              <w:rPr>
                <w:sz w:val="20"/>
                <w:szCs w:val="20"/>
                <w:color w:val="auto"/>
              </w:rPr>
            </w:pPr>
            <w:r>
              <w:rPr>
                <w:rFonts w:ascii="Arial" w:cs="Arial" w:eastAsia="Arial" w:hAnsi="Arial"/>
                <w:sz w:val="14"/>
                <w:szCs w:val="14"/>
                <w:b w:val="1"/>
                <w:bCs w:val="1"/>
                <w:color w:val="auto"/>
                <w:w w:val="99"/>
              </w:rPr>
              <w:t>March 31,</w:t>
            </w: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20" w:type="dxa"/>
            <w:vAlign w:val="bottom"/>
            <w:gridSpan w:val="8"/>
          </w:tcPr>
          <w:p>
            <w:pPr>
              <w:jc w:val="center"/>
              <w:ind w:right="122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20" w:type="dxa"/>
            <w:vAlign w:val="bottom"/>
          </w:tcPr>
          <w:p>
            <w:pPr>
              <w:spacing w:after="0"/>
              <w:rPr>
                <w:sz w:val="13"/>
                <w:szCs w:val="13"/>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Operating activities: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1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9"/>
                <w:szCs w:val="19"/>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w w:val="95"/>
              </w:rPr>
              <w:t>(316)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(133)</w:t>
            </w:r>
          </w:p>
        </w:tc>
      </w:tr>
      <w:tr>
        <w:trPr>
          <w:trHeight w:val="223"/>
        </w:trPr>
        <w:tc>
          <w:tcPr>
            <w:tcW w:w="6960" w:type="dxa"/>
            <w:vAlign w:val="bottom"/>
            <w:tcBorders>
              <w:bottom w:val="single" w:sz="8" w:color="CFF0FC"/>
            </w:tcBorders>
            <w:gridSpan w:val="3"/>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FF0FC"/>
            </w:tcBorders>
          </w:tcPr>
          <w:p>
            <w:pPr>
              <w:spacing w:after="0"/>
              <w:rPr>
                <w:sz w:val="19"/>
                <w:szCs w:val="19"/>
                <w:color w:val="auto"/>
              </w:rPr>
            </w:pPr>
          </w:p>
        </w:tc>
      </w:tr>
      <w:tr>
        <w:trPr>
          <w:trHeight w:val="223"/>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Financing activities (c)</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(587)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(224)</w:t>
            </w: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r>
      <w:tr>
        <w:trPr>
          <w:trHeight w:val="223"/>
        </w:trPr>
        <w:tc>
          <w:tcPr>
            <w:tcW w:w="6960" w:type="dxa"/>
            <w:vAlign w:val="bottom"/>
            <w:gridSpan w:val="3"/>
          </w:tcPr>
          <w:p>
            <w:pPr>
              <w:spacing w:after="0"/>
              <w:rPr>
                <w:sz w:val="20"/>
                <w:szCs w:val="20"/>
                <w:color w:val="auto"/>
              </w:rPr>
            </w:pPr>
            <w:r>
              <w:rPr>
                <w:rFonts w:ascii="Arial" w:cs="Arial" w:eastAsia="Arial" w:hAnsi="Arial"/>
                <w:sz w:val="18"/>
                <w:szCs w:val="18"/>
                <w:b w:val="1"/>
                <w:bCs w:val="1"/>
                <w:color w:val="auto"/>
              </w:rPr>
              <w:t>Net Decrease in Cash and Cash Equivalents and Restricted Cash</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0"/>
              </w:rPr>
              <w:t>(591)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and Restricted Cash (d):</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6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2,455</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1,608</w:t>
            </w:r>
          </w:p>
        </w:tc>
        <w:tc>
          <w:tcPr>
            <w:tcW w:w="120" w:type="dxa"/>
            <w:vAlign w:val="bottom"/>
            <w:tcBorders>
              <w:bottom w:val="single" w:sz="8" w:color="CFF0FC"/>
            </w:tcBorders>
          </w:tcPr>
          <w:p>
            <w:pPr>
              <w:spacing w:after="0"/>
              <w:rPr>
                <w:sz w:val="19"/>
                <w:szCs w:val="19"/>
                <w:color w:val="auto"/>
              </w:rPr>
            </w:pPr>
          </w:p>
        </w:tc>
      </w:tr>
      <w:tr>
        <w:trPr>
          <w:trHeight w:val="223"/>
        </w:trPr>
        <w:tc>
          <w:tcPr>
            <w:tcW w:w="696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50"/>
        </w:trPr>
        <w:tc>
          <w:tcPr>
            <w:tcW w:w="6960" w:type="dxa"/>
            <w:vAlign w:val="bottom"/>
            <w:gridSpan w:val="3"/>
          </w:tcPr>
          <w:p>
            <w:pPr>
              <w:spacing w:after="0"/>
              <w:rPr>
                <w:sz w:val="20"/>
                <w:szCs w:val="20"/>
                <w:color w:val="auto"/>
              </w:rPr>
            </w:pPr>
            <w:r>
              <w:rPr>
                <w:rFonts w:ascii="Arial" w:cs="Arial" w:eastAsia="Arial" w:hAnsi="Arial"/>
                <w:sz w:val="18"/>
                <w:szCs w:val="18"/>
                <w:color w:val="auto"/>
              </w:rPr>
              <w:t>(a)  Consists of the following:</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36"/>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6"/>
          </w:tcPr>
          <w:p>
            <w:pPr>
              <w:jc w:val="center"/>
              <w:ind w:left="358"/>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558"/>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4"/>
          </w:tcPr>
          <w:p>
            <w:pPr>
              <w:jc w:val="center"/>
              <w:ind w:left="538"/>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9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Amortization of deferred expenses and share-based incentive compensation</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provision</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Amortization and other acquisition-related costs</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23" w:lineRule="exact"/>
        <w:rPr>
          <w:rFonts w:ascii="Arial" w:cs="Arial" w:eastAsia="Arial" w:hAnsi="Arial"/>
          <w:sz w:val="18"/>
          <w:szCs w:val="18"/>
          <w:color w:val="auto"/>
        </w:rPr>
      </w:pPr>
    </w:p>
    <w:p>
      <w:pPr>
        <w:ind w:left="380" w:right="80" w:hanging="372"/>
        <w:spacing w:after="0" w:line="250"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restricted stock units (“RSUs”), vested restricted stock awards and vested PRSUs, Class A common stock dividends, changes in customer deposits and distributions to noncontrolling interest holders.</w:t>
      </w:r>
    </w:p>
    <w:p>
      <w:pPr>
        <w:spacing w:after="0" w:line="1" w:lineRule="exact"/>
        <w:rPr>
          <w:rFonts w:ascii="Arial" w:cs="Arial" w:eastAsia="Arial" w:hAnsi="Arial"/>
          <w:sz w:val="18"/>
          <w:szCs w:val="18"/>
          <w:color w:val="auto"/>
        </w:rPr>
      </w:pPr>
    </w:p>
    <w:p>
      <w:pPr>
        <w:ind w:left="380" w:right="120" w:hanging="372"/>
        <w:spacing w:after="0" w:line="261"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and cash equivalents and restricted cash consists of cash and cash equivalents, deposits with banks and short-term investments and cash deposited with clearing organizations and other segregated cash.</w:t>
      </w:r>
    </w:p>
    <w:p>
      <w:pPr>
        <w:spacing w:after="0" w:line="76"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See Note 2 of Notes to Condensed Consolidated Financial Statements for a discussion of new accounting guidance impacting the Condensed Consolidated Statements of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right="100" w:firstLine="518"/>
        <w:spacing w:after="0" w:line="276" w:lineRule="auto"/>
        <w:rPr>
          <w:sz w:val="20"/>
          <w:szCs w:val="20"/>
          <w:color w:val="auto"/>
        </w:rPr>
      </w:pPr>
      <w:r>
        <w:rPr>
          <w:rFonts w:ascii="Arial" w:cs="Arial" w:eastAsia="Arial" w:hAnsi="Arial"/>
          <w:sz w:val="17"/>
          <w:szCs w:val="17"/>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first quarter of 2018, as reflected on the condensed consolidated statements of financial condition, both “deposits with banks and short-term investments” and “deposits and other customer payables” decreased as compared to December 31, 2017, due to a lower level of LFB customer-related demand deposits, primarily from clients and funds managed by LFG.</w:t>
      </w:r>
    </w:p>
    <w:p>
      <w:pPr>
        <w:spacing w:after="0" w:line="173"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condensed consolidated statements of operations.</w:t>
      </w:r>
    </w:p>
    <w:p>
      <w:pPr>
        <w:spacing w:after="0" w:line="165"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regularly monitor our liquidity position, including cash levels, credit lines, principal investment commitments, interest and principal payments on debt, capital expenditures, dividend payments, purchases of shares of Class A common stock and matters relating to liquidity and to compliance with regulatory net capital requirements. At March 31, 2018, Lazard had approximately $962 million of cash, with such amount including approximately $631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 Although the Tax Act generally requires companies to pay a one-time repatriation tax on previously unremitted foreign earnings of certain non-U.S. corporate subsidiaries, most of the Company’s operations outside the U.S. are conducted in “pass-through” entities for U.S. income tax purposes, and the Company has already provided for U.S. income taxes on their earnings. As a result, the Company expects that no material amount of additional U.S. income taxes would be recognized as a result of the Tax Act’s one-time repatriation tax or otherwise upon the receipt of cash dividends or distributions of such earnings from our foreign operations.</w:t>
      </w:r>
    </w:p>
    <w:p>
      <w:pPr>
        <w:spacing w:after="0" w:line="178" w:lineRule="exact"/>
        <w:rPr>
          <w:sz w:val="20"/>
          <w:szCs w:val="20"/>
          <w:color w:val="auto"/>
        </w:rPr>
      </w:pPr>
    </w:p>
    <w:p>
      <w:pPr>
        <w:jc w:val="both"/>
        <w:ind w:right="140" w:firstLine="51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March 31, 2018, Lazard had approximately $170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$18 million (at March 31, 2018 exchange rates).</w:t>
      </w:r>
    </w:p>
    <w:p>
      <w:pPr>
        <w:spacing w:after="0" w:line="187"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The table below sets forth our corporate indebtedness as of March 31, 2018 and December 31, 2017. The agreements with respect to this indebtedness are discussed in more detail in our condensed consolidated financial statements and related notes included elsewhere in this Form 10-Q and in our Form 10-K.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4"/>
              </w:rPr>
              <w:t>March 31, 2018</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jc w:val="right"/>
              <w:ind w:right="200"/>
              <w:spacing w:after="0" w:line="133" w:lineRule="exact"/>
              <w:rPr>
                <w:sz w:val="20"/>
                <w:szCs w:val="20"/>
                <w:color w:val="auto"/>
              </w:rPr>
            </w:pPr>
            <w:r>
              <w:rPr>
                <w:rFonts w:ascii="Arial" w:cs="Arial" w:eastAsia="Arial" w:hAnsi="Arial"/>
                <w:sz w:val="14"/>
                <w:szCs w:val="14"/>
                <w:b w:val="1"/>
                <w:bCs w:val="1"/>
                <w:color w:val="auto"/>
                <w:w w:val="94"/>
              </w:rPr>
              <w:t>Unamortized</w:t>
            </w:r>
          </w:p>
        </w:tc>
        <w:tc>
          <w:tcPr>
            <w:tcW w:w="120" w:type="dxa"/>
            <w:vAlign w:val="bottom"/>
          </w:tcPr>
          <w:p>
            <w:pPr>
              <w:spacing w:after="0"/>
              <w:rPr>
                <w:sz w:val="11"/>
                <w:szCs w:val="11"/>
                <w:color w:val="auto"/>
              </w:rPr>
            </w:pPr>
          </w:p>
        </w:tc>
        <w:tc>
          <w:tcPr>
            <w:tcW w:w="70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jc w:val="right"/>
              <w:ind w:right="220"/>
              <w:spacing w:after="0" w:line="133" w:lineRule="exact"/>
              <w:rPr>
                <w:sz w:val="20"/>
                <w:szCs w:val="20"/>
                <w:color w:val="auto"/>
              </w:rPr>
            </w:pPr>
            <w:r>
              <w:rPr>
                <w:rFonts w:ascii="Arial" w:cs="Arial" w:eastAsia="Arial" w:hAnsi="Arial"/>
                <w:sz w:val="14"/>
                <w:szCs w:val="14"/>
                <w:b w:val="1"/>
                <w:bCs w:val="1"/>
                <w:color w:val="auto"/>
                <w:w w:val="91"/>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4"/>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4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4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1,190.8</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ind w:firstLine="518"/>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March 31, 2018, Lazard Group was in compliance with such ratios, with its Consolidated Leverage Ratio being 1.11 to 1.00 and its Consolidated Interest Coverage Ratio being 21.45 to 1.00. In any event, no amounts were outstanding under the Amended and Restated Credit Agreement as of March 31, 2018.</w:t>
      </w:r>
    </w:p>
    <w:p>
      <w:pPr>
        <w:spacing w:after="0" w:line="16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March 31, 2018,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10 of Notes to Condensed Consolidated Financial Statements for additional information regarding senior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March 31, 2018, total stockholders’ equity was $1,056 million, as compared to $1,259 million at December 31, 2017, including $997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$1,200 million attributable to Lazard Ltd on the respective dates. The net activity in stockholders’ equity during the three month period ended March 31,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 reflected in the table below (in millions of dollars):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Stockholders’ Equity - January 1, 2018</w:t>
            </w:r>
          </w:p>
        </w:tc>
        <w:tc>
          <w:tcPr>
            <w:tcW w:w="286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62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2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w:t>
            </w: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62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of share-based incentive compensation</w:t>
            </w:r>
          </w:p>
        </w:tc>
        <w:tc>
          <w:tcPr>
            <w:tcW w:w="2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Purchase of Class A common stock</w:t>
            </w: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r>
      <w:tr>
        <w:trPr>
          <w:trHeight w:val="230"/>
        </w:trPr>
        <w:tc>
          <w:tcPr>
            <w:tcW w:w="40" w:type="dxa"/>
            <w:vAlign w:val="bottom"/>
            <w:shd w:val="clear" w:color="auto" w:fill="CFF0FC"/>
          </w:tcPr>
          <w:p>
            <w:pPr>
              <w:spacing w:after="0"/>
              <w:rPr>
                <w:sz w:val="19"/>
                <w:szCs w:val="19"/>
                <w:color w:val="auto"/>
              </w:rPr>
            </w:pPr>
          </w:p>
        </w:tc>
        <w:tc>
          <w:tcPr>
            <w:tcW w:w="62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Settlement of share-based incentive compensation (a)</w:t>
            </w:r>
          </w:p>
        </w:tc>
        <w:tc>
          <w:tcPr>
            <w:tcW w:w="2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w:t>
            </w:r>
          </w:p>
        </w:tc>
      </w:tr>
      <w:tr>
        <w:trPr>
          <w:trHeight w:val="230"/>
        </w:trPr>
        <w:tc>
          <w:tcPr>
            <w:tcW w:w="40" w:type="dxa"/>
            <w:vAlign w:val="bottom"/>
          </w:tcPr>
          <w:p>
            <w:pPr>
              <w:spacing w:after="0"/>
              <w:rPr>
                <w:sz w:val="19"/>
                <w:szCs w:val="19"/>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Class A common stock dividends</w:t>
            </w: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r>
      <w:tr>
        <w:trPr>
          <w:trHeight w:val="230"/>
        </w:trPr>
        <w:tc>
          <w:tcPr>
            <w:tcW w:w="40" w:type="dxa"/>
            <w:vAlign w:val="bottom"/>
            <w:shd w:val="clear" w:color="auto" w:fill="CFF0FC"/>
          </w:tcPr>
          <w:p>
            <w:pPr>
              <w:spacing w:after="0"/>
              <w:rPr>
                <w:sz w:val="19"/>
                <w:szCs w:val="19"/>
                <w:color w:val="auto"/>
              </w:rPr>
            </w:pPr>
          </w:p>
        </w:tc>
        <w:tc>
          <w:tcPr>
            <w:tcW w:w="62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Distributions to noncontrolling interests, net</w:t>
            </w:r>
          </w:p>
        </w:tc>
        <w:tc>
          <w:tcPr>
            <w:tcW w:w="2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40" w:type="dxa"/>
            <w:vAlign w:val="bottom"/>
          </w:tcPr>
          <w:p>
            <w:pPr>
              <w:spacing w:after="0"/>
              <w:rPr>
                <w:sz w:val="19"/>
                <w:szCs w:val="19"/>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Other - net</w:t>
            </w: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62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Stockholders’ Equity - March 31, 2018</w:t>
            </w:r>
          </w:p>
        </w:tc>
        <w:tc>
          <w:tcPr>
            <w:tcW w:w="21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43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tax withholding portion of share-based compensation is settled in cash, not shares.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 The rate at which the Company purchases shares in connection with this annual objective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499"/>
              <w:spacing w:after="0" w:line="158"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2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586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2,464,967</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2018</w:t>
            </w:r>
          </w:p>
        </w:tc>
        <w:tc>
          <w:tcPr>
            <w:tcW w:w="58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2,662,286</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As of March 31, 2018, a total of $102 million of share repurchase authorization remained available under the Company’s share repurchase program, which will expire on December 31, 2019.</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addition, on April 25, 2018, the Board of Directors of Lazard authorized the repurchase of up to $300 million of additional shares of Class A</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common stock, which authorization will expire on December 31, 2020, bringing the total share repurchase authorization as of April 25, 2018 to $351 million.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ind w:right="220" w:firstLine="518"/>
        <w:spacing w:after="0" w:line="277" w:lineRule="auto"/>
        <w:rPr>
          <w:sz w:val="20"/>
          <w:szCs w:val="20"/>
          <w:color w:val="auto"/>
        </w:rPr>
      </w:pPr>
      <w:r>
        <w:rPr>
          <w:rFonts w:ascii="Arial" w:cs="Arial" w:eastAsia="Arial" w:hAnsi="Arial"/>
          <w:sz w:val="18"/>
          <w:szCs w:val="18"/>
          <w:color w:val="auto"/>
        </w:rPr>
        <w:t>During the three month period ended March 31, 2018, the Company had in place trading plans under Rule 10b5-1 of the Securities Exchange Act of 1934, as amended, pursuant to which it effected stock repurchases in the open market.</w:t>
      </w:r>
    </w:p>
    <w:p>
      <w:pPr>
        <w:spacing w:after="0" w:line="170"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See Notes 12 and 13 of Notes to Condensed Consolidated Financial Statements for additional information regarding Lazard’s stockholders’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1,465,917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47,125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594,250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$35,382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788,539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84,554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150,273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121,234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432,478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2,264,046</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141,269</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744,523</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172,984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 Note 10 of Notes to Condensed Consolidated Financial Statements.</w:t>
      </w:r>
    </w:p>
    <w:p>
      <w:pPr>
        <w:spacing w:after="0" w:line="117" w:lineRule="exact"/>
        <w:rPr>
          <w:rFonts w:ascii="Arial" w:cs="Arial" w:eastAsia="Arial" w:hAnsi="Arial"/>
          <w:sz w:val="18"/>
          <w:szCs w:val="18"/>
          <w:color w:val="auto"/>
        </w:rPr>
      </w:pPr>
    </w:p>
    <w:p>
      <w:pPr>
        <w:ind w:left="380" w:hanging="372"/>
        <w:spacing w:after="0" w:line="264"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$18,694 are excluded. Such commitments are required to be funded by capital contributions from noncontrolling interest holders. See Note 6 of Notes to Condensed Consolidated Financial Statements. These amounts are generally due on demand and therefore are presented in the “less than 1 year” category.</w:t>
      </w:r>
    </w:p>
    <w:p>
      <w:pPr>
        <w:spacing w:after="0" w:line="73" w:lineRule="exact"/>
        <w:rPr>
          <w:rFonts w:ascii="Arial" w:cs="Arial" w:eastAsia="Arial" w:hAnsi="Arial"/>
          <w:sz w:val="18"/>
          <w:szCs w:val="18"/>
          <w:color w:val="auto"/>
        </w:rPr>
      </w:pPr>
    </w:p>
    <w:p>
      <w:pPr>
        <w:ind w:left="380" w:right="20" w:hanging="372"/>
        <w:spacing w:after="0" w:line="255"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table above excludes contingent obligations, given the inability to make a reasonably reliable estimate of the timing of the amounts of any such payments. The table above also excludes any possible payments for uncertain tax positions and payments pursuant to the Company’s tax receivable agreement, given that the actual amount and timing of payments under the tax receivable agreement could differ materially from our estimates. At March 31, 2018, a tax receivable agreement obligation of $277,215 was recorded on the condensed consolidated statements of financial condition. See “Critical Accounting Policies and Estimates—Income Taxes” below. See also Notes 11, 13, 14, 15 and 17 of Notes to Condensed Consolidated Financial Statements regarding information in connection with commitments, incentive plans, employee benefit plans, income taxes and tax receivable agreement obligations,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(including the impact on the tax receivable agreement obligation), investing activities and goodwill. Lazard bases these estimates on historical experience and various other assumptions that it believes to be reasonable under the circumstances, the results of which form the basis for making judgments,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ind w:right="300"/>
        <w:spacing w:after="0" w:line="277" w:lineRule="auto"/>
        <w:rPr>
          <w:sz w:val="20"/>
          <w:szCs w:val="20"/>
          <w:color w:val="auto"/>
        </w:rPr>
      </w:pPr>
      <w:r>
        <w:rPr>
          <w:rFonts w:ascii="Arial" w:cs="Arial" w:eastAsia="Arial" w:hAnsi="Arial"/>
          <w:sz w:val="18"/>
          <w:szCs w:val="18"/>
          <w:color w:val="auto"/>
        </w:rPr>
        <w:t>including judgments regarding the carrying values of assets and liabilities, that are not readily apparent from other sources. Actual results may differ from these estimates.</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contract with a client has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performance obligations in the contract have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fee or other transaction price has been determined;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fee or other transaction price has been allocated to each performance obligation in the contract;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has satisfied the applicable performance obligation.</w:t>
      </w:r>
    </w:p>
    <w:p>
      <w:pPr>
        <w:spacing w:after="0" w:line="225"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January 1, 2018, the Company adopted new revenue recognition guidance. See Notes 2 and 3 of Notes to Consolidated Financial Statements.</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9" w:name="page60"/>
    <w:bookmarkEnd w:id="59"/>
    <w:p>
      <w:pPr>
        <w:ind w:right="100" w:firstLine="51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2017, on a consolidated basis, we recorded gross deferred tax assets of approximately $790.7 million, with such amount partially offset by a valuation allowance of approximately $61.5 million (as described below).</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Certain of our tax-paying entities have individually experienced losses on a cumulative three year basis or have tax attributes that may expire unused.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$61.5 million of deferred tax assets held by these entities as of December 31, 2017.</w:t>
      </w:r>
    </w:p>
    <w:p>
      <w:pPr>
        <w:spacing w:after="0" w:line="158"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3"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On January 1, 2017, we adopted new accounting guidance on share-based incentive compensation. As a result of the adoption of this new guidance, we recognized excess tax benefits of $26.1 million and $7.4 million from the vesting of share-based incentive compensation in the provision for income taxes in the condensed consolidated statements of operations for the three month periods ended March 31, 2018 and 2017, respectively. Upon adoption of the new guidance, we also recorded deferred tax assets of $81.5 million, net of a valuation allowance of $12.1 million, for previously unrecognized excess tax benefits (including tax benefits from dividends or dividend equivalents) on share-based incentive compensation, with an offsetting adjustment to retained earnings. See Notes 2 and 15 of Notes to Condensed Consolidated Financial Statements for further information on the adoption of this new guidance. The new guidance has since January 1, 2017 affected, and the Company expects that in future periods the new guidance will affect, the provision for income taxes for the delivery of stock under share-based incentive compensation arrangements, as well as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0" w:name="page61"/>
    <w:bookmarkEnd w:id="60"/>
    <w:p>
      <w:pPr>
        <w:ind w:right="160"/>
        <w:spacing w:after="0" w:line="277" w:lineRule="auto"/>
        <w:rPr>
          <w:sz w:val="20"/>
          <w:szCs w:val="20"/>
          <w:color w:val="auto"/>
        </w:rPr>
      </w:pPr>
      <w:r>
        <w:rPr>
          <w:rFonts w:ascii="Arial" w:cs="Arial" w:eastAsia="Arial" w:hAnsi="Arial"/>
          <w:sz w:val="18"/>
          <w:szCs w:val="18"/>
          <w:color w:val="auto"/>
        </w:rPr>
        <w:t>effective tax rate in the relevant periods, which could be material to the condensed consolidated statements of operations and the classification of cash flows in the relevant periods.</w:t>
      </w:r>
    </w:p>
    <w:p>
      <w:pPr>
        <w:spacing w:after="0" w:line="170"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On December 22, 2017,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 interest expense and other corporate business expenses. The Tax Act further includes anti-base erosion provisions such as the base erosion and anti-abuse tax and tax on global intangible low-taxed income.</w:t>
      </w:r>
    </w:p>
    <w:p>
      <w:pPr>
        <w:spacing w:after="0" w:line="18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Lazard is a holding company that is treated as a publicly traded partnership for U.S. tax purposes, and our U.S. and certain foreign subsidiaries will be impacted by the Tax Act. While the Tax Act is currently expected to be moderately positive for us, the reduced corporate tax rate required us to remeasure our deferred tax assets and the liability associated with our tax receivable agreement. See Notes 15 and 17 of Notes to Consolidated Financial Statements for additional information regarding the impact of the Tax Act on us.</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See Item 1A, “Risk Factors” in our Form 10-K and Note 15 of Notes to Condensed Consolidated Financial Statements for additional information related to income taxes.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Amended and Restated Tax Receivable Agreement</w:t>
      </w:r>
    </w:p>
    <w:p>
      <w:pPr>
        <w:spacing w:after="0" w:line="11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During the period ended June 30, 2015, we released substantially all of our valuation allowance against deferred tax assets. As a result, we accrued a corresponding liability during the period ended June 30, 2015 for amounts relating to the Second Amended and Restated Tax Receivable Agreement, dated as of October 26, 2015 (the “Amended and Restated Tax Receivable Agreement”), between Lazard and LTBP Trust (the “Trust”). See Note 17 of Notes to Condensed Consolidated Financial Statements for additional information regarding the Amended and Restated Tax Receivable Agreement.</w:t>
      </w:r>
    </w:p>
    <w:p>
      <w:pPr>
        <w:spacing w:after="0" w:line="154"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amount of the Amended and Restated Tax Receivable Agreement liability is an undiscounted amount based upon currently enacted tax laws, including the Tax Act, the current structure of the Company and various assumptions regarding potential future operating profitability. The assumptions reflected in the estimate involve significant judgment, and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income tax expense.</w:t>
      </w:r>
    </w:p>
    <w:p>
      <w:pPr>
        <w:spacing w:after="0" w:line="189"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recorded as of March 31, 2018 and December 31, 2017 was $277 million and $310 million, which includes the impact of the Tax Act as of both periods and is recorded in “tax receivable agreement obligation” on the condensed consolidated statements of financial condition.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and interests in alternative investment, debt, equity and private equity funds.</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These investments, with the exception of interest-bearing deposits,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Condensed Consolidated Financial Statements for additional information on the measurement of the fair value of investments.</w:t>
      </w:r>
    </w:p>
    <w:p>
      <w:pPr>
        <w:spacing w:after="0" w:line="18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gridSpan w:val="7"/>
          </w:tcPr>
          <w:p>
            <w:pPr>
              <w:jc w:val="right"/>
              <w:ind w:right="124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r>
      <w:tr>
        <w:trPr>
          <w:trHeight w:val="230"/>
        </w:trPr>
        <w:tc>
          <w:tcPr>
            <w:tcW w:w="7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40" w:type="dxa"/>
            <w:vAlign w:val="bottom"/>
            <w:gridSpan w:val="3"/>
          </w:tcPr>
          <w:p>
            <w:pPr>
              <w:ind w:left="260"/>
              <w:spacing w:after="0"/>
              <w:rPr>
                <w:sz w:val="20"/>
                <w:szCs w:val="20"/>
                <w:color w:val="auto"/>
              </w:rPr>
            </w:pPr>
            <w:r>
              <w:rPr>
                <w:rFonts w:ascii="Arial" w:cs="Arial" w:eastAsia="Arial" w:hAnsi="Arial"/>
                <w:sz w:val="18"/>
                <w:szCs w:val="18"/>
                <w:color w:val="auto"/>
              </w:rPr>
              <w:t>Equities (a)</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107,052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111,067</w:t>
            </w: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10,208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15,215</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Alternative investments</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8,294</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8,392</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125,554</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134,674</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color w:val="auto"/>
              </w:rPr>
              <w:t>Other investments owned: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55,431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57,457</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gridSpan w:val="3"/>
          </w:tcPr>
          <w:p>
            <w:pPr>
              <w:ind w:left="260"/>
              <w:spacing w:after="0"/>
              <w:rPr>
                <w:sz w:val="20"/>
                <w:szCs w:val="20"/>
                <w:color w:val="auto"/>
              </w:rPr>
            </w:pPr>
            <w:r>
              <w:rPr>
                <w:rFonts w:ascii="Arial" w:cs="Arial" w:eastAsia="Arial" w:hAnsi="Arial"/>
                <w:sz w:val="18"/>
                <w:szCs w:val="18"/>
                <w:color w:val="auto"/>
              </w:rPr>
              <w:t>Interest-bearing deposits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549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Fixed income and other</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23,304</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23,780</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Total other investments owned</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79,284</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81,793</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Subtotal</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204,838</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216,467</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color w:val="auto"/>
              </w:rPr>
              <w:t>Add: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Private equity consolidated, not owned (c)</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20,139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19,222</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LFI (d)</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129,975</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191,497</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354,952</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427,186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7020" w:type="dxa"/>
            <w:vAlign w:val="bottom"/>
            <w:gridSpan w:val="4"/>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50"/>
        </w:trPr>
        <w:tc>
          <w:tcPr>
            <w:tcW w:w="9440" w:type="dxa"/>
            <w:vAlign w:val="bottom"/>
            <w:gridSpan w:val="8"/>
          </w:tcPr>
          <w:p>
            <w:pPr>
              <w:spacing w:after="0"/>
              <w:rPr>
                <w:sz w:val="20"/>
                <w:szCs w:val="20"/>
                <w:color w:val="auto"/>
              </w:rPr>
            </w:pPr>
            <w:r>
              <w:rPr>
                <w:rFonts w:ascii="Arial" w:cs="Arial" w:eastAsia="Arial" w:hAnsi="Arial"/>
                <w:sz w:val="18"/>
                <w:szCs w:val="18"/>
                <w:color w:val="auto"/>
                <w:w w:val="93"/>
              </w:rPr>
              <w:t>(a)  At March 31, 2018 and December 31, 2017, seed investments in directly owned equity securities were invested as follows: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55"/>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March 31,</w:t>
            </w:r>
          </w:p>
        </w:tc>
        <w:tc>
          <w:tcPr>
            <w:tcW w:w="1980" w:type="dxa"/>
            <w:vAlign w:val="bottom"/>
            <w:gridSpan w:val="6"/>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0" w:type="dxa"/>
            <w:vAlign w:val="bottom"/>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56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3"/>
              </w:rPr>
              <w:t>2017</w:t>
            </w:r>
          </w:p>
        </w:tc>
        <w:tc>
          <w:tcPr>
            <w:tcW w:w="180" w:type="dxa"/>
            <w:vAlign w:val="bottom"/>
            <w:tcBorders>
              <w:bottom w:val="single" w:sz="8" w:color="CFF0FC"/>
            </w:tcBorders>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tcPr>
          <w:p>
            <w:pPr>
              <w:ind w:left="240"/>
              <w:spacing w:after="0"/>
              <w:rPr>
                <w:sz w:val="20"/>
                <w:szCs w:val="20"/>
                <w:color w:val="auto"/>
              </w:rPr>
            </w:pPr>
            <w:r>
              <w:rPr>
                <w:rFonts w:ascii="Arial" w:cs="Arial" w:eastAsia="Arial" w:hAnsi="Arial"/>
                <w:sz w:val="18"/>
                <w:szCs w:val="18"/>
                <w:color w:val="auto"/>
              </w:rPr>
              <w:t>Financials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tcPr>
          <w:p>
            <w:pPr>
              <w:ind w:left="240"/>
              <w:spacing w:after="0"/>
              <w:rPr>
                <w:sz w:val="20"/>
                <w:szCs w:val="20"/>
                <w:color w:val="auto"/>
              </w:rPr>
            </w:pPr>
            <w:r>
              <w:rPr>
                <w:rFonts w:ascii="Arial" w:cs="Arial" w:eastAsia="Arial" w:hAnsi="Arial"/>
                <w:sz w:val="18"/>
                <w:szCs w:val="18"/>
                <w:color w:val="auto"/>
              </w:rPr>
              <w:t>Industrial</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FF0FC"/>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9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56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right="320" w:hanging="372"/>
        <w:spacing w:after="0" w:line="342" w:lineRule="auto"/>
        <w:tabs>
          <w:tab w:leader="none" w:pos="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$34 million and $36 million as of March 31, 2018 and December 31, 2017, respectively.</w:t>
      </w:r>
    </w:p>
    <w:p>
      <w:pPr>
        <w:spacing w:after="0" w:line="15" w:lineRule="exact"/>
        <w:rPr>
          <w:rFonts w:ascii="Arial" w:cs="Arial" w:eastAsia="Arial" w:hAnsi="Arial"/>
          <w:sz w:val="16"/>
          <w:szCs w:val="16"/>
          <w:color w:val="auto"/>
        </w:rPr>
      </w:pPr>
    </w:p>
    <w:p>
      <w:pPr>
        <w:jc w:val="both"/>
        <w:ind w:left="380" w:right="120" w:hanging="372"/>
        <w:spacing w:after="0" w:line="264"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73" w:lineRule="exact"/>
        <w:rPr>
          <w:rFonts w:ascii="Arial" w:cs="Arial" w:eastAsia="Arial" w:hAnsi="Arial"/>
          <w:sz w:val="18"/>
          <w:szCs w:val="18"/>
          <w:color w:val="auto"/>
        </w:rPr>
      </w:pPr>
    </w:p>
    <w:p>
      <w:pPr>
        <w:ind w:left="380" w:right="20" w:hanging="372"/>
        <w:spacing w:after="0" w:line="259"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8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At March 31, 2018 and December 31, 2017, total investments with a fair value of $354 million and $427 million, respectively, included $77 million and $80 million, respectively, or 22% and 19%, respectively, of investments that were classified using NAV or its equivalent as a practical expedient. See Notes 5 and 6 of Notes to Condensed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As of March 31, 2018 and December 31, 2017, the Company held seed investments of approximately $126 million and $135 million, respectively. Seed investments held in entities in which the Company maintained a controlling interest were $22 million in six entities as of March 31, 2018, as compared to $28 million in eight entities as of December 31, 2017.</w:t>
      </w:r>
    </w:p>
    <w:p>
      <w:pPr>
        <w:spacing w:after="0" w:line="18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As of March 31, 2018 and December 31, 2017, the Company did not consolidate or deconsolidate any seed investment entities or LFI investment entities. As such, 100% of the recorded balance of seed investments and LFI investments as of March 31, 2018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ind w:right="40"/>
        <w:spacing w:after="0" w:line="277" w:lineRule="auto"/>
        <w:rPr>
          <w:sz w:val="20"/>
          <w:szCs w:val="20"/>
          <w:color w:val="auto"/>
        </w:rPr>
      </w:pPr>
      <w:r>
        <w:rPr>
          <w:rFonts w:ascii="Arial" w:cs="Arial" w:eastAsia="Arial" w:hAnsi="Arial"/>
          <w:sz w:val="18"/>
          <w:szCs w:val="18"/>
          <w:color w:val="auto"/>
        </w:rPr>
        <w:t>December 31, 2017 represented the Company’s economic interest in the seed investments. See “—Consolidation of Variable Interest Entities” below for more information on the Company’s policy regarding the consolidation of seed investment entities.</w:t>
      </w:r>
    </w:p>
    <w:p>
      <w:pPr>
        <w:spacing w:after="0" w:line="1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9 of Notes to Condensed Consolidated Financial Statements for additional information regarding goodwill.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900" w:right="100" w:hanging="379"/>
        <w:spacing w:after="0" w:line="286"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57" w:lineRule="exact"/>
        <w:rPr>
          <w:rFonts w:ascii="Arial" w:cs="Arial" w:eastAsia="Arial" w:hAnsi="Arial"/>
          <w:sz w:val="17"/>
          <w:szCs w:val="17"/>
          <w:color w:val="auto"/>
        </w:rPr>
      </w:pPr>
    </w:p>
    <w:p>
      <w:pPr>
        <w:ind w:left="900" w:right="100" w:hanging="379"/>
        <w:spacing w:after="0" w:line="30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5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ind w:firstLine="518"/>
        <w:spacing w:after="0" w:line="259" w:lineRule="auto"/>
        <w:rPr>
          <w:sz w:val="20"/>
          <w:szCs w:val="20"/>
          <w:color w:val="auto"/>
        </w:rPr>
      </w:pPr>
      <w:r>
        <w:rPr>
          <w:rFonts w:ascii="Arial" w:cs="Arial" w:eastAsia="Arial" w:hAnsi="Arial"/>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91" w:lineRule="exact"/>
        <w:rPr>
          <w:sz w:val="20"/>
          <w:szCs w:val="20"/>
          <w:color w:val="auto"/>
        </w:rPr>
      </w:pPr>
    </w:p>
    <w:p>
      <w:pPr>
        <w:jc w:val="center"/>
        <w:ind w:right="9940"/>
        <w:spacing w:after="0"/>
        <w:rPr>
          <w:sz w:val="20"/>
          <w:szCs w:val="20"/>
          <w:color w:val="auto"/>
        </w:rPr>
      </w:pPr>
      <w:r>
        <w:rPr>
          <w:rFonts w:ascii="Arial" w:cs="Arial" w:eastAsia="Arial" w:hAnsi="Arial"/>
          <w:sz w:val="16"/>
          <w:szCs w:val="16"/>
          <w:b w:val="1"/>
          <w:bCs w:val="1"/>
          <w:color w:val="auto"/>
        </w:rPr>
        <w:t>Risk Management</w:t>
      </w:r>
    </w:p>
    <w:p>
      <w:pPr>
        <w:spacing w:after="0" w:line="144" w:lineRule="exact"/>
        <w:rPr>
          <w:sz w:val="20"/>
          <w:szCs w:val="20"/>
          <w:color w:val="auto"/>
        </w:rPr>
      </w:pPr>
    </w:p>
    <w:p>
      <w:pPr>
        <w:jc w:val="center"/>
        <w:ind w:right="99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9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Equity Market Price Risk—At March 31, 2018 and December 31, 2017, the Company’s exposure to equity market price risk in its investment portfolio, which primarily relates to investments in equity securities, equity funds and hedge funds, was approximately $108 million and $107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$2.0 million and</w:t>
      </w:r>
    </w:p>
    <w:p>
      <w:pPr>
        <w:spacing w:after="0" w:line="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$2.0 million in the carrying value of such investments as of March 31, 2018 and December 31, 2017, respectively, including the effect of the hedging transactions.</w:t>
      </w:r>
    </w:p>
    <w:p>
      <w:pPr>
        <w:spacing w:after="0" w:line="184"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Interest Rate/Credit Spread Risk—At March 31, 2018 and December 31, 2017, the Company’s exposure to interest rate and credit spread risk in its investment portfolio related to investments in debt securities or funds which invest primarily in debt securities was $51 million and $58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$0.8 million and $1.3 million in the carrying value of such investments as of March 31, 2018 and December 31, 2017, respectively, including the effect of the hedging transactions.</w:t>
      </w:r>
    </w:p>
    <w:p>
      <w:pPr>
        <w:spacing w:after="0" w:line="15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Foreign Exchange Rate Risk—At both March 31, 2018 and December 31, 2017, the Company’s exposure to foreign exchange rate risk in its investment portfolio, which primarily relates to investments in foreign currency denominated equity and debt securities, was $65 million.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$1.6 million and $1.7 million in the carrying value of such investments as of March 31, 2018 and December 31, 2017, respectively, including the effect of the hedging transactions.</w:t>
      </w:r>
    </w:p>
    <w:p>
      <w:pPr>
        <w:spacing w:after="0" w:line="193"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Private Equity—The Company invests in private equity primarily as a part of its co-investment activities and in connection with certain legacy businesses. At March 31, 2018 and December 31, 2017, the Company’s exposure to changes in fair value of such investments was approximately $55 million and $57 million, respectively. The Company estimates that a hypothetical 10% adverse change in fair value would result in a decrease of approximately $5.5 million and $5.7 million in the carrying value of such investments as of March 31, 2018 and December 31, 2017, respectively.</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March 31, 2018, total receivables amounted to $675 million, net of an allowance for doubtful accounts of $39 million. As of that date, Financial Advisory and Asset Management fees, and customers and other receivables comprised 81% and 19% of total receivables, respectively. At December 31, 2017, total receivables amounted to $572 million, net of an allowance for doubtful accounts of $24 million. As of that date, Financial Advisory and Asset Management fees, and customers and other receivables comprised 85% and 15% of total receivables, respectively.</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64" w:name="page65"/>
    <w:bookmarkEnd w:id="64"/>
    <w:p>
      <w:pPr>
        <w:ind w:right="100"/>
        <w:spacing w:after="0" w:line="264" w:lineRule="auto"/>
        <w:rPr>
          <w:sz w:val="20"/>
          <w:szCs w:val="20"/>
          <w:color w:val="auto"/>
        </w:rPr>
      </w:pPr>
      <w:r>
        <w:rPr>
          <w:rFonts w:ascii="Arial" w:cs="Arial" w:eastAsia="Arial" w:hAnsi="Arial"/>
          <w:sz w:val="18"/>
          <w:szCs w:val="18"/>
          <w:color w:val="auto"/>
        </w:rPr>
        <w:t>At March 31, 2018 and December 31, 2017, the Company had receivables past due or deemed uncollectible of approximately $40 million and $35 million, respectively. See also “Critical Accounting Policies and Estimates—Revenue Recognition” above and Note 4 of Notes to Condensed Consolidated Financial Statements for additional information regarding receivables.</w:t>
      </w:r>
    </w:p>
    <w:p>
      <w:pPr>
        <w:spacing w:after="0" w:line="18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March 31, 2018 and December 31, 2017, customer receivables included $63 million and $61 million of LFB loans, respectively, with such loans being fully collateralized and closely monitored for counterparty creditworthiness.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$12 million and $4 million at March 31, 2018 and December 31, 2017, respectively, and derivative liabilities, excluding the derivative liability arising from the Company’s obligation pertaining to LFI and other similar deferred compensation arrangements, amounted to $3 million and $16 million at such respective dates.</w:t>
      </w:r>
    </w:p>
    <w:p>
      <w:pPr>
        <w:spacing w:after="0" w:line="15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$212 million and $182 million at March 31, 2018 and December 31, 2017,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140" w:firstLine="51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March 31, 2018, Lazard estimates that its annual operating income relating to cash and cash equivalents would increase by approximately $10 million in the event interest rates were to increase by 1% and decrease by approximately $10 million if rates were to decrease by 1%.</w:t>
      </w:r>
    </w:p>
    <w:p>
      <w:pPr>
        <w:spacing w:after="0" w:line="14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As of March 31, 2018, the Company’s cash and cash equivalents totaled approximately $962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w:t>
      </w:r>
    </w:p>
    <w:p>
      <w:pPr>
        <w:ind w:right="260" w:firstLine="8"/>
        <w:spacing w:after="0" w:line="323" w:lineRule="auto"/>
        <w:tabs>
          <w:tab w:leader="none" w:pos="3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5" w:name="page66"/>
    <w:bookmarkEnd w:id="65"/>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 for the year ended December 31, 2017.</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following table sets forth information regarding Lazard’s purchases of its Class A common stock on a monthly basis during the first quarter of 2018. Share repurchases are recorded on a trade date basis.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per Share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left="278"/>
              <w:spacing w:after="0"/>
              <w:rPr>
                <w:sz w:val="20"/>
                <w:szCs w:val="20"/>
                <w:color w:val="auto"/>
              </w:rPr>
            </w:pPr>
            <w:r>
              <w:rPr>
                <w:rFonts w:ascii="Arial" w:cs="Arial" w:eastAsia="Arial" w:hAnsi="Arial"/>
                <w:sz w:val="14"/>
                <w:szCs w:val="14"/>
                <w:b w:val="1"/>
                <w:bCs w:val="1"/>
                <w:color w:val="auto"/>
                <w:w w:val="91"/>
              </w:rPr>
              <w:t>Programs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January 1 – January 31, 2018</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tcPr>
          <w:p>
            <w:pPr>
              <w:jc w:val="right"/>
              <w:spacing w:after="0"/>
              <w:rPr>
                <w:sz w:val="20"/>
                <w:szCs w:val="20"/>
                <w:color w:val="auto"/>
              </w:rPr>
            </w:pPr>
            <w:r>
              <w:rPr>
                <w:rFonts w:ascii="Arial" w:cs="Arial" w:eastAsia="Arial" w:hAnsi="Arial"/>
                <w:sz w:val="18"/>
                <w:szCs w:val="18"/>
                <w:color w:val="auto"/>
              </w:rPr>
              <w:t>525,000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57.13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525,000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218.4</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54.80</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February 1 – February 28, 2018</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635,950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54.97</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635,950</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183.4</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tcPr>
          <w:p>
            <w:pPr>
              <w:jc w:val="right"/>
              <w:spacing w:after="0"/>
              <w:rPr>
                <w:sz w:val="20"/>
                <w:szCs w:val="20"/>
                <w:color w:val="auto"/>
              </w:rPr>
            </w:pPr>
            <w:r>
              <w:rPr>
                <w:rFonts w:ascii="Arial" w:cs="Arial" w:eastAsia="Arial" w:hAnsi="Arial"/>
                <w:sz w:val="18"/>
                <w:szCs w:val="18"/>
                <w:color w:val="auto"/>
              </w:rPr>
              <w:t>920,022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54.53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March 1 – March 31, 2018</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tcPr>
          <w:p>
            <w:pPr>
              <w:jc w:val="right"/>
              <w:spacing w:after="0"/>
              <w:rPr>
                <w:sz w:val="20"/>
                <w:szCs w:val="20"/>
                <w:color w:val="auto"/>
              </w:rPr>
            </w:pPr>
            <w:r>
              <w:rPr>
                <w:rFonts w:ascii="Arial" w:cs="Arial" w:eastAsia="Arial" w:hAnsi="Arial"/>
                <w:sz w:val="18"/>
                <w:szCs w:val="18"/>
                <w:color w:val="auto"/>
              </w:rPr>
              <w:t>1,501,336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53.95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1,501,336</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102.4</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943,217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53.91</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2,662,286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54.82</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2,662,286</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102.4</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tcPr>
          <w:p>
            <w:pPr>
              <w:jc w:val="right"/>
              <w:spacing w:after="0"/>
              <w:rPr>
                <w:sz w:val="20"/>
                <w:szCs w:val="20"/>
                <w:color w:val="auto"/>
              </w:rPr>
            </w:pPr>
            <w:r>
              <w:rPr>
                <w:rFonts w:ascii="Arial" w:cs="Arial" w:eastAsia="Arial" w:hAnsi="Arial"/>
                <w:sz w:val="18"/>
                <w:szCs w:val="18"/>
                <w:color w:val="auto"/>
              </w:rPr>
              <w:t>1,863,731</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54.22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2090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380" w:right="80" w:hanging="372"/>
        <w:spacing w:after="0" w:line="277"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the three months ended March 31, 2018 and since 2015, the Board of Directors of Lazard authorized the repurchase of Class A common stock as set forth in the table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Date</w:t>
            </w: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Repurchase</w:t>
            </w:r>
          </w:p>
        </w:tc>
        <w:tc>
          <w:tcPr>
            <w:tcW w:w="23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Expiration</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gridSpan w:val="2"/>
            <w:vMerge w:val="continue"/>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Authorization</w:t>
            </w:r>
          </w:p>
        </w:tc>
        <w:tc>
          <w:tcPr>
            <w:tcW w:w="23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February 2015</w:t>
            </w:r>
          </w:p>
        </w:tc>
        <w:tc>
          <w:tcPr>
            <w:tcW w:w="2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Borders>
              <w:top w:val="single" w:sz="8" w:color="CFF0FC"/>
            </w:tcBorders>
            <w:shd w:val="clear" w:color="auto" w:fill="CFF0FC"/>
          </w:tcPr>
          <w:p>
            <w:pPr>
              <w:spacing w:after="0"/>
              <w:rPr>
                <w:sz w:val="19"/>
                <w:szCs w:val="19"/>
                <w:color w:val="auto"/>
              </w:rPr>
            </w:pPr>
          </w:p>
        </w:tc>
        <w:tc>
          <w:tcPr>
            <w:tcW w:w="2380" w:type="dxa"/>
            <w:vAlign w:val="bottom"/>
            <w:tcBorders>
              <w:top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89"/>
              </w:rPr>
              <w:t>December 31, 2016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January 2016</w:t>
            </w:r>
          </w:p>
        </w:tc>
        <w:tc>
          <w:tcPr>
            <w:tcW w:w="308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tcPr>
          <w:p>
            <w:pPr>
              <w:spacing w:after="0"/>
              <w:rPr>
                <w:sz w:val="19"/>
                <w:szCs w:val="19"/>
                <w:color w:val="auto"/>
              </w:rPr>
            </w:pPr>
          </w:p>
        </w:tc>
        <w:tc>
          <w:tcPr>
            <w:tcW w:w="2380" w:type="dxa"/>
            <w:vAlign w:val="bottom"/>
          </w:tcPr>
          <w:p>
            <w:pPr>
              <w:ind w:left="940"/>
              <w:spacing w:after="0"/>
              <w:rPr>
                <w:sz w:val="20"/>
                <w:szCs w:val="20"/>
                <w:color w:val="auto"/>
              </w:rPr>
            </w:pPr>
            <w:r>
              <w:rPr>
                <w:rFonts w:ascii="Arial" w:cs="Arial" w:eastAsia="Arial" w:hAnsi="Arial"/>
                <w:sz w:val="18"/>
                <w:szCs w:val="18"/>
                <w:color w:val="auto"/>
                <w:w w:val="89"/>
              </w:rPr>
              <w:t>December 31, 2017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April 2016</w:t>
            </w:r>
          </w:p>
        </w:tc>
        <w:tc>
          <w:tcPr>
            <w:tcW w:w="308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113,182</w:t>
            </w:r>
          </w:p>
        </w:tc>
        <w:tc>
          <w:tcPr>
            <w:tcW w:w="280" w:type="dxa"/>
            <w:vAlign w:val="bottom"/>
            <w:shd w:val="clear" w:color="auto" w:fill="CFF0FC"/>
          </w:tcPr>
          <w:p>
            <w:pPr>
              <w:spacing w:after="0"/>
              <w:rPr>
                <w:sz w:val="19"/>
                <w:szCs w:val="19"/>
                <w:color w:val="auto"/>
              </w:rPr>
            </w:pPr>
          </w:p>
        </w:tc>
        <w:tc>
          <w:tcPr>
            <w:tcW w:w="2380" w:type="dxa"/>
            <w:vAlign w:val="bottom"/>
            <w:shd w:val="clear" w:color="auto" w:fill="CFF0FC"/>
          </w:tcPr>
          <w:p>
            <w:pPr>
              <w:ind w:left="940"/>
              <w:spacing w:after="0"/>
              <w:rPr>
                <w:sz w:val="20"/>
                <w:szCs w:val="20"/>
                <w:color w:val="auto"/>
              </w:rPr>
            </w:pPr>
            <w:r>
              <w:rPr>
                <w:rFonts w:ascii="Arial" w:cs="Arial" w:eastAsia="Arial" w:hAnsi="Arial"/>
                <w:sz w:val="18"/>
                <w:szCs w:val="18"/>
                <w:color w:val="auto"/>
                <w:w w:val="89"/>
              </w:rPr>
              <w:t>December 31, 2017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November 2016</w:t>
            </w:r>
          </w:p>
        </w:tc>
        <w:tc>
          <w:tcPr>
            <w:tcW w:w="308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236,000</w:t>
            </w:r>
          </w:p>
        </w:tc>
        <w:tc>
          <w:tcPr>
            <w:tcW w:w="280" w:type="dxa"/>
            <w:vAlign w:val="bottom"/>
          </w:tcPr>
          <w:p>
            <w:pPr>
              <w:spacing w:after="0"/>
              <w:rPr>
                <w:sz w:val="19"/>
                <w:szCs w:val="19"/>
                <w:color w:val="auto"/>
              </w:rPr>
            </w:pPr>
          </w:p>
        </w:tc>
        <w:tc>
          <w:tcPr>
            <w:tcW w:w="2380" w:type="dxa"/>
            <w:vAlign w:val="bottom"/>
          </w:tcPr>
          <w:p>
            <w:pPr>
              <w:ind w:left="940"/>
              <w:spacing w:after="0"/>
              <w:rPr>
                <w:sz w:val="20"/>
                <w:szCs w:val="20"/>
                <w:color w:val="auto"/>
              </w:rPr>
            </w:pPr>
            <w:r>
              <w:rPr>
                <w:rFonts w:ascii="Arial" w:cs="Arial" w:eastAsia="Arial" w:hAnsi="Arial"/>
                <w:sz w:val="18"/>
                <w:szCs w:val="18"/>
                <w:color w:val="auto"/>
                <w:w w:val="89"/>
              </w:rPr>
              <w:t>December 31, 2018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October 2017</w:t>
            </w:r>
          </w:p>
        </w:tc>
        <w:tc>
          <w:tcPr>
            <w:tcW w:w="308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shd w:val="clear" w:color="auto" w:fill="CFF0FC"/>
          </w:tcPr>
          <w:p>
            <w:pPr>
              <w:spacing w:after="0"/>
              <w:rPr>
                <w:sz w:val="19"/>
                <w:szCs w:val="19"/>
                <w:color w:val="auto"/>
              </w:rPr>
            </w:pPr>
          </w:p>
        </w:tc>
        <w:tc>
          <w:tcPr>
            <w:tcW w:w="2380" w:type="dxa"/>
            <w:vAlign w:val="bottom"/>
            <w:shd w:val="clear" w:color="auto" w:fill="CFF0FC"/>
          </w:tcPr>
          <w:p>
            <w:pPr>
              <w:ind w:left="940"/>
              <w:spacing w:after="0"/>
              <w:rPr>
                <w:sz w:val="20"/>
                <w:szCs w:val="20"/>
                <w:color w:val="auto"/>
              </w:rPr>
            </w:pPr>
            <w:r>
              <w:rPr>
                <w:rFonts w:ascii="Arial" w:cs="Arial" w:eastAsia="Arial" w:hAnsi="Arial"/>
                <w:sz w:val="18"/>
                <w:szCs w:val="18"/>
                <w:color w:val="auto"/>
                <w:w w:val="89"/>
              </w:rPr>
              <w:t>December 31, 2019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60" w:type="dxa"/>
            <w:vAlign w:val="bottom"/>
          </w:tcPr>
          <w:p>
            <w:pPr>
              <w:jc w:val="right"/>
              <w:ind w:right="45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7" w:name="page68"/>
    <w:bookmarkEnd w:id="67"/>
    <w:p>
      <w:pPr>
        <w:ind w:left="380"/>
        <w:spacing w:after="0" w:line="342" w:lineRule="auto"/>
        <w:rPr>
          <w:sz w:val="20"/>
          <w:szCs w:val="20"/>
          <w:color w:val="auto"/>
        </w:rPr>
      </w:pPr>
      <w:r>
        <w:rPr>
          <w:rFonts w:ascii="Arial" w:cs="Arial" w:eastAsia="Arial" w:hAnsi="Arial"/>
          <w:sz w:val="16"/>
          <w:szCs w:val="16"/>
          <w:color w:val="auto"/>
        </w:rPr>
        <w:t>In addition, on April 25, 2018, the Board of Directors of Lazard authorized the repurchase of up to $300 million of additional shares of Class A common stock, which authorization will expire on December 31, 2020, bringing the total share repurchase authorization as of April 25, 2018 to $351 million.</w:t>
      </w:r>
    </w:p>
    <w:p>
      <w:pPr>
        <w:spacing w:after="0" w:line="124" w:lineRule="exact"/>
        <w:rPr>
          <w:sz w:val="20"/>
          <w:szCs w:val="20"/>
          <w:color w:val="auto"/>
        </w:rPr>
      </w:pPr>
    </w:p>
    <w:p>
      <w:pPr>
        <w:ind w:left="380" w:right="60"/>
        <w:spacing w:after="0" w:line="297" w:lineRule="auto"/>
        <w:rPr>
          <w:sz w:val="20"/>
          <w:szCs w:val="20"/>
          <w:color w:val="auto"/>
        </w:rPr>
      </w:pPr>
      <w:r>
        <w:rPr>
          <w:rFonts w:ascii="Arial" w:cs="Arial" w:eastAsia="Arial" w:hAnsi="Arial"/>
          <w:sz w:val="16"/>
          <w:szCs w:val="16"/>
          <w:color w:val="auto"/>
        </w:rPr>
        <w:t>A significant portion of the Company’s purchases under the share repurchase program are used to offset a portion of the shares that have been or will be issued under the 2008 Plan and the 2018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158" w:lineRule="exact"/>
        <w:rPr>
          <w:sz w:val="20"/>
          <w:szCs w:val="20"/>
          <w:color w:val="auto"/>
        </w:rPr>
      </w:pPr>
    </w:p>
    <w:p>
      <w:pPr>
        <w:ind w:left="380" w:right="120" w:hanging="372"/>
        <w:spacing w:after="0" w:line="257"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Under the terms of the 2008 Plan and the 2018 Plan, upon the vesting of RSUs, PRSUs, DSUs and delivery of restricted Class A common stock, shares of Class A common stock may be withheld by the Company to meet the minimum statutory tax withholding requirements. During the three month period ended March 31, 2018, the Company satisfied such obligations in lieu of issuing (i) 1,646,504 shares of Class A common stock upon the vesting or settlement of 5,312,780 RSUs and PRSUs and (ii) 217,227 shares of Class A common stock upon the vesting of 599,055 shares of restricted Class A common stock.</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100" w:type="dxa"/>
            <w:vAlign w:val="bottom"/>
            <w:gridSpan w:val="28"/>
          </w:tcPr>
          <w:p>
            <w:pPr>
              <w:ind w:left="2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w w:val="91"/>
              </w:rPr>
              <w:t>Item 6.</w:t>
            </w:r>
          </w:p>
        </w:tc>
        <w:tc>
          <w:tcPr>
            <w:tcW w:w="10400" w:type="dxa"/>
            <w:vAlign w:val="bottom"/>
            <w:gridSpan w:val="35"/>
          </w:tcPr>
          <w:p>
            <w:pPr>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10400" w:type="dxa"/>
            <w:vAlign w:val="bottom"/>
            <w:gridSpan w:val="35"/>
          </w:tcPr>
          <w:p>
            <w:pPr>
              <w:spacing w:after="0"/>
              <w:rPr>
                <w:rFonts w:ascii="Arial" w:cs="Arial" w:eastAsia="Arial" w:hAnsi="Arial"/>
                <w:sz w:val="18"/>
                <w:szCs w:val="18"/>
                <w:color w:val="0000EE"/>
                <w:w w:val="95"/>
              </w:rPr>
            </w:pPr>
            <w:hyperlink r:id="rId103">
              <w:r>
                <w:rPr>
                  <w:rFonts w:ascii="Arial" w:cs="Arial" w:eastAsia="Arial" w:hAnsi="Arial"/>
                  <w:sz w:val="18"/>
                  <w:szCs w:val="18"/>
                  <w:color w:val="0000EE"/>
                  <w:w w:val="95"/>
                </w:rPr>
                <w:t>Certificate of Incorporation and Memorandum of Association of the Registrant (incorporated by reference to Exhibit 3.1 to the Registrant’s</w:t>
              </w:r>
            </w:hyperlink>
          </w:p>
        </w:tc>
      </w:tr>
      <w:tr>
        <w:trPr>
          <w:trHeight w:val="196"/>
        </w:trPr>
        <w:tc>
          <w:tcPr>
            <w:tcW w:w="104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Registration Statement (File No. 333-121407) on Form S-1/A filed on March 21, 2005).</w:t>
              </w:r>
            </w:hyperlink>
          </w:p>
        </w:tc>
        <w:tc>
          <w:tcPr>
            <w:tcW w:w="3660" w:type="dxa"/>
            <w:vAlign w:val="bottom"/>
            <w:tcBorders>
              <w:top w:val="single" w:sz="8" w:color="0000EE"/>
            </w:tcBorders>
            <w:gridSpan w:val="10"/>
          </w:tcPr>
          <w:p>
            <w:pPr>
              <w:spacing w:after="0"/>
              <w:rPr>
                <w:sz w:val="17"/>
                <w:szCs w:val="17"/>
                <w:color w:val="auto"/>
              </w:rPr>
            </w:pPr>
          </w:p>
        </w:tc>
        <w:tc>
          <w:tcPr>
            <w:tcW w:w="380" w:type="dxa"/>
            <w:vAlign w:val="bottom"/>
            <w:gridSpan w:val="12"/>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3.2</w:t>
            </w:r>
          </w:p>
        </w:tc>
        <w:tc>
          <w:tcPr>
            <w:tcW w:w="10400" w:type="dxa"/>
            <w:vAlign w:val="bottom"/>
            <w:gridSpan w:val="35"/>
          </w:tcPr>
          <w:p>
            <w:pPr>
              <w:spacing w:after="0"/>
              <w:rPr>
                <w:rFonts w:ascii="Arial" w:cs="Arial" w:eastAsia="Arial" w:hAnsi="Arial"/>
                <w:sz w:val="18"/>
                <w:szCs w:val="18"/>
                <w:color w:val="0000EE"/>
                <w:w w:val="95"/>
              </w:rPr>
            </w:pPr>
            <w:hyperlink r:id="rId104">
              <w:r>
                <w:rPr>
                  <w:rFonts w:ascii="Arial" w:cs="Arial" w:eastAsia="Arial" w:hAnsi="Arial"/>
                  <w:sz w:val="18"/>
                  <w:szCs w:val="18"/>
                  <w:color w:val="0000EE"/>
                  <w:w w:val="95"/>
                </w:rPr>
                <w:t>Certificate of Incorporation on Change of Name of the Registrant (incorporated by reference to Exhibit 3.2 to the Registrant’s Registration</w:t>
              </w:r>
            </w:hyperlink>
          </w:p>
        </w:tc>
      </w:tr>
      <w:tr>
        <w:trPr>
          <w:trHeight w:val="196"/>
        </w:trPr>
        <w:tc>
          <w:tcPr>
            <w:tcW w:w="1040" w:type="dxa"/>
            <w:vAlign w:val="bottom"/>
          </w:tcPr>
          <w:p>
            <w:pPr>
              <w:spacing w:after="0"/>
              <w:rPr>
                <w:sz w:val="17"/>
                <w:szCs w:val="17"/>
                <w:color w:val="auto"/>
              </w:rPr>
            </w:pPr>
          </w:p>
        </w:tc>
        <w:tc>
          <w:tcPr>
            <w:tcW w:w="99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Statement (File No. 333-121407) on Form S-1/A filed on March 21, 2005).</w:t>
              </w:r>
            </w:hyperlink>
          </w:p>
        </w:tc>
        <w:tc>
          <w:tcPr>
            <w:tcW w:w="420" w:type="dxa"/>
            <w:vAlign w:val="bottom"/>
            <w:gridSpan w:val="1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3.3</w:t>
            </w:r>
          </w:p>
        </w:tc>
        <w:tc>
          <w:tcPr>
            <w:tcW w:w="10180" w:type="dxa"/>
            <w:vAlign w:val="bottom"/>
            <w:tcBorders>
              <w:bottom w:val="single" w:sz="8" w:color="0000EE"/>
            </w:tcBorders>
            <w:gridSpan w:val="29"/>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Amended and Restated Bye-Laws of Lazard Ltd (incorporated by reference to Exhibit 3.3 to the Registrant’s Quarterly Report (File No. 001-</w:t>
              </w:r>
            </w:hyperlink>
          </w:p>
        </w:tc>
        <w:tc>
          <w:tcPr>
            <w:tcW w:w="22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5"/>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32492) on Form 10-Q filed on June 16, 2005).</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3.4</w:t>
            </w:r>
          </w:p>
        </w:tc>
        <w:tc>
          <w:tcPr>
            <w:tcW w:w="10400" w:type="dxa"/>
            <w:vAlign w:val="bottom"/>
            <w:gridSpan w:val="35"/>
          </w:tcPr>
          <w:p>
            <w:pPr>
              <w:spacing w:after="0"/>
              <w:rPr>
                <w:rFonts w:ascii="Arial" w:cs="Arial" w:eastAsia="Arial" w:hAnsi="Arial"/>
                <w:sz w:val="18"/>
                <w:szCs w:val="18"/>
                <w:color w:val="0000EE"/>
                <w:w w:val="94"/>
              </w:rPr>
            </w:pPr>
            <w:hyperlink r:id="rId106">
              <w:r>
                <w:rPr>
                  <w:rFonts w:ascii="Arial" w:cs="Arial" w:eastAsia="Arial" w:hAnsi="Arial"/>
                  <w:sz w:val="18"/>
                  <w:szCs w:val="18"/>
                  <w:color w:val="0000EE"/>
                  <w:w w:val="94"/>
                </w:rPr>
                <w:t>First Amendment to Amended and Restated Bye-Laws of Lazard Ltd (incorporated by reference to Exhibit 3.4 to the Registrant’s Quarterly</w:t>
              </w:r>
            </w:hyperlink>
          </w:p>
        </w:tc>
      </w:tr>
      <w:tr>
        <w:trPr>
          <w:trHeight w:val="196"/>
        </w:trPr>
        <w:tc>
          <w:tcPr>
            <w:tcW w:w="104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Report (File No. 001-32492) on Form 10-Q filed on May 9, 2008).</w:t>
              </w:r>
            </w:hyperlink>
          </w:p>
        </w:tc>
        <w:tc>
          <w:tcPr>
            <w:tcW w:w="5240" w:type="dxa"/>
            <w:vAlign w:val="bottom"/>
            <w:tcBorders>
              <w:top w:val="single" w:sz="8" w:color="0000EE"/>
            </w:tcBorders>
            <w:gridSpan w:val="15"/>
          </w:tcPr>
          <w:p>
            <w:pPr>
              <w:spacing w:after="0"/>
              <w:rPr>
                <w:sz w:val="17"/>
                <w:szCs w:val="17"/>
                <w:color w:val="auto"/>
              </w:rPr>
            </w:pPr>
          </w:p>
        </w:tc>
        <w:tc>
          <w:tcPr>
            <w:tcW w:w="340" w:type="dxa"/>
            <w:vAlign w:val="bottom"/>
            <w:gridSpan w:val="11"/>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3.5</w:t>
            </w:r>
          </w:p>
        </w:tc>
        <w:tc>
          <w:tcPr>
            <w:tcW w:w="9800" w:type="dxa"/>
            <w:vAlign w:val="bottom"/>
            <w:tcBorders>
              <w:bottom w:val="single" w:sz="8" w:color="0000EE"/>
            </w:tcBorders>
            <w:gridSpan w:val="19"/>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Second Amendment to the Amended and Restated Bye-Laws of Lazard Ltd (incorporated by reference to Exhibit 3.5 to the Registrant’s</w:t>
              </w:r>
            </w:hyperlink>
          </w:p>
        </w:tc>
        <w:tc>
          <w:tcPr>
            <w:tcW w:w="600" w:type="dxa"/>
            <w:vAlign w:val="bottom"/>
            <w:gridSpan w:val="1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7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07">
              <w:r>
                <w:rPr>
                  <w:rFonts w:ascii="Arial" w:cs="Arial" w:eastAsia="Arial" w:hAnsi="Arial"/>
                  <w:sz w:val="18"/>
                  <w:szCs w:val="18"/>
                  <w:color w:val="0000EE"/>
                  <w:w w:val="93"/>
                </w:rPr>
                <w:t>Quarterly Report (File No. 001-32492) on Form 10-Q filed on April 30, 2010).</w:t>
              </w:r>
            </w:hyperlink>
          </w:p>
        </w:tc>
        <w:tc>
          <w:tcPr>
            <w:tcW w:w="4700" w:type="dxa"/>
            <w:vAlign w:val="bottom"/>
            <w:gridSpan w:val="23"/>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4.1</w:t>
            </w:r>
          </w:p>
        </w:tc>
        <w:tc>
          <w:tcPr>
            <w:tcW w:w="10400" w:type="dxa"/>
            <w:vAlign w:val="bottom"/>
            <w:gridSpan w:val="35"/>
          </w:tcPr>
          <w:p>
            <w:pPr>
              <w:spacing w:after="0"/>
              <w:rPr>
                <w:rFonts w:ascii="Arial" w:cs="Arial" w:eastAsia="Arial" w:hAnsi="Arial"/>
                <w:sz w:val="18"/>
                <w:szCs w:val="18"/>
                <w:color w:val="0000EE"/>
                <w:w w:val="93"/>
              </w:rPr>
            </w:pPr>
            <w:hyperlink r:id="rId108">
              <w:r>
                <w:rPr>
                  <w:rFonts w:ascii="Arial" w:cs="Arial" w:eastAsia="Arial" w:hAnsi="Arial"/>
                  <w:sz w:val="18"/>
                  <w:szCs w:val="18"/>
                  <w:color w:val="0000EE"/>
                  <w:w w:val="93"/>
                </w:rPr>
                <w:t>Form of Specimen Certificate for Class A common stock (incorporated by reference to Exhibit 4.1 to the Registrant’s Registration Statement</w:t>
              </w:r>
            </w:hyperlink>
          </w:p>
        </w:tc>
      </w:tr>
      <w:tr>
        <w:trPr>
          <w:trHeight w:val="196"/>
        </w:trPr>
        <w:tc>
          <w:tcPr>
            <w:tcW w:w="1040" w:type="dxa"/>
            <w:vAlign w:val="bottom"/>
          </w:tcPr>
          <w:p>
            <w:pPr>
              <w:spacing w:after="0"/>
              <w:rPr>
                <w:sz w:val="17"/>
                <w:szCs w:val="17"/>
                <w:color w:val="auto"/>
              </w:rPr>
            </w:pPr>
          </w:p>
        </w:tc>
        <w:tc>
          <w:tcPr>
            <w:tcW w:w="101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(File No. 333-121407) on Form S-1/A filed on April 11, 2005).</w:t>
              </w:r>
            </w:hyperlink>
          </w:p>
        </w:tc>
        <w:tc>
          <w:tcPr>
            <w:tcW w:w="260" w:type="dxa"/>
            <w:vAlign w:val="bottom"/>
            <w:gridSpan w:val="7"/>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4.2</w:t>
            </w:r>
          </w:p>
        </w:tc>
        <w:tc>
          <w:tcPr>
            <w:tcW w:w="10260" w:type="dxa"/>
            <w:vAlign w:val="bottom"/>
            <w:tcBorders>
              <w:bottom w:val="single" w:sz="8" w:color="0000EE"/>
            </w:tcBorders>
            <w:gridSpan w:val="31"/>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Indenture, dated as of May 10, 2005, by and between Lazard Group LLC and The Bank of New York, as Trustee (incorporated by reference to</w:t>
              </w:r>
            </w:hyperlink>
          </w:p>
        </w:tc>
        <w:tc>
          <w:tcPr>
            <w:tcW w:w="14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5"/>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Exhibit 4.1 to Lazard Group LLC’s Registration Statement (File No. 333-126751)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4.3</w:t>
            </w:r>
          </w:p>
        </w:tc>
        <w:tc>
          <w:tcPr>
            <w:tcW w:w="10340" w:type="dxa"/>
            <w:vAlign w:val="bottom"/>
            <w:tcBorders>
              <w:bottom w:val="single" w:sz="8" w:color="0000EE"/>
            </w:tcBorders>
            <w:gridSpan w:val="32"/>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Fourth Supplemental Indenture, dated as of June 21, 2007, between Lazard Group LLC and The Bank of New York, as trustee (incorporated by</w:t>
              </w:r>
            </w:hyperlink>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5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reference to Exhibit 4.1 to the Registrant’s Current Report on Form 8-K (File No. 001-32492) filed on June 22, 2007).</w:t>
              </w:r>
            </w:hyperlink>
          </w:p>
        </w:tc>
        <w:tc>
          <w:tcPr>
            <w:tcW w:w="1820" w:type="dxa"/>
            <w:vAlign w:val="bottom"/>
            <w:gridSpan w:val="19"/>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4.4</w:t>
            </w:r>
          </w:p>
        </w:tc>
        <w:tc>
          <w:tcPr>
            <w:tcW w:w="10400" w:type="dxa"/>
            <w:vAlign w:val="bottom"/>
            <w:gridSpan w:val="35"/>
          </w:tcPr>
          <w:p>
            <w:pPr>
              <w:spacing w:after="0"/>
              <w:rPr>
                <w:rFonts w:ascii="Arial" w:cs="Arial" w:eastAsia="Arial" w:hAnsi="Arial"/>
                <w:sz w:val="18"/>
                <w:szCs w:val="18"/>
                <w:color w:val="0000EE"/>
                <w:w w:val="95"/>
              </w:rPr>
            </w:pPr>
            <w:hyperlink r:id="rId111">
              <w:r>
                <w:rPr>
                  <w:rFonts w:ascii="Arial" w:cs="Arial" w:eastAsia="Arial" w:hAnsi="Arial"/>
                  <w:sz w:val="18"/>
                  <w:szCs w:val="18"/>
                  <w:color w:val="0000EE"/>
                  <w:w w:val="95"/>
                </w:rPr>
                <w:t>Fifth Supplemental Indenture, dated as of November 14, 2013,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(incorporated by reference to Exhibit 4.1 to the Registrant’s Current Report on Form 8-K (File No. 001-32492) filed on November 14, 2013).</w:t>
              </w:r>
            </w:hyperlink>
          </w:p>
        </w:tc>
        <w:tc>
          <w:tcPr>
            <w:tcW w:w="200" w:type="dxa"/>
            <w:vAlign w:val="bottom"/>
            <w:gridSpan w:val="5"/>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4.5</w:t>
            </w:r>
          </w:p>
        </w:tc>
        <w:tc>
          <w:tcPr>
            <w:tcW w:w="10400" w:type="dxa"/>
            <w:vAlign w:val="bottom"/>
            <w:gridSpan w:val="35"/>
          </w:tcPr>
          <w:p>
            <w:pPr>
              <w:spacing w:after="0"/>
              <w:rPr>
                <w:rFonts w:ascii="Arial" w:cs="Arial" w:eastAsia="Arial" w:hAnsi="Arial"/>
                <w:sz w:val="18"/>
                <w:szCs w:val="18"/>
                <w:color w:val="0000EE"/>
                <w:w w:val="95"/>
              </w:rPr>
            </w:pPr>
            <w:hyperlink r:id="rId112">
              <w:r>
                <w:rPr>
                  <w:rFonts w:ascii="Arial" w:cs="Arial" w:eastAsia="Arial" w:hAnsi="Arial"/>
                  <w:sz w:val="18"/>
                  <w:szCs w:val="18"/>
                  <w:color w:val="0000EE"/>
                  <w:w w:val="95"/>
                </w:rPr>
                <w:t>Sixth Supplemental Indenture, dated as of February 13, 2015,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5"/>
          </w:tcPr>
          <w:p>
            <w:pPr>
              <w:spacing w:after="0" w:line="196" w:lineRule="exact"/>
              <w:rPr>
                <w:rFonts w:ascii="Arial" w:cs="Arial" w:eastAsia="Arial" w:hAnsi="Arial"/>
                <w:sz w:val="18"/>
                <w:szCs w:val="18"/>
                <w:color w:val="0000EE"/>
                <w:w w:val="94"/>
              </w:rPr>
            </w:pPr>
            <w:hyperlink r:id="rId112">
              <w:r>
                <w:rPr>
                  <w:rFonts w:ascii="Arial" w:cs="Arial" w:eastAsia="Arial" w:hAnsi="Arial"/>
                  <w:sz w:val="18"/>
                  <w:szCs w:val="18"/>
                  <w:color w:val="0000EE"/>
                  <w:w w:val="94"/>
                </w:rPr>
                <w:t>(incorporated by reference to Exhibit 4.1 of the Registrant’s Current Report on Form 8-K (File No. 001-32492) filed on February 13, 2015).</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4.6</w:t>
            </w:r>
          </w:p>
        </w:tc>
        <w:tc>
          <w:tcPr>
            <w:tcW w:w="10120" w:type="dxa"/>
            <w:vAlign w:val="bottom"/>
            <w:tcBorders>
              <w:bottom w:val="single" w:sz="8" w:color="0000EE"/>
            </w:tcBorders>
            <w:gridSpan w:val="27"/>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Seventh Supplemental Indenture, dated as of November 4, 2016, between Lazard Group LLC and The Bank of New York Mellon, as trustee</w:t>
              </w:r>
            </w:hyperlink>
          </w:p>
        </w:tc>
        <w:tc>
          <w:tcPr>
            <w:tcW w:w="28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5"/>
          </w:tcPr>
          <w:p>
            <w:pPr>
              <w:spacing w:after="0" w:line="196" w:lineRule="exact"/>
              <w:rPr>
                <w:rFonts w:ascii="Arial" w:cs="Arial" w:eastAsia="Arial" w:hAnsi="Arial"/>
                <w:sz w:val="18"/>
                <w:szCs w:val="18"/>
                <w:color w:val="0000EE"/>
                <w:w w:val="94"/>
              </w:rPr>
            </w:pPr>
            <w:hyperlink r:id="rId113">
              <w:r>
                <w:rPr>
                  <w:rFonts w:ascii="Arial" w:cs="Arial" w:eastAsia="Arial" w:hAnsi="Arial"/>
                  <w:sz w:val="18"/>
                  <w:szCs w:val="18"/>
                  <w:color w:val="0000EE"/>
                  <w:w w:val="94"/>
                </w:rPr>
                <w:t>(incorporated by reference to Exhibit 4.1 of the Registrant’s Current Report on Form 8-K (File No. 001-32492) filed on November 7, 2016).</w:t>
              </w:r>
            </w:hyperlink>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4.7</w:t>
            </w:r>
          </w:p>
        </w:tc>
        <w:tc>
          <w:tcPr>
            <w:tcW w:w="10100" w:type="dxa"/>
            <w:vAlign w:val="bottom"/>
            <w:tcBorders>
              <w:top w:val="single" w:sz="8" w:color="0000EE"/>
            </w:tcBorders>
            <w:gridSpan w:val="26"/>
          </w:tcPr>
          <w:p>
            <w:pPr>
              <w:spacing w:after="0"/>
              <w:rPr>
                <w:rFonts w:ascii="Arial" w:cs="Arial" w:eastAsia="Arial" w:hAnsi="Arial"/>
                <w:sz w:val="18"/>
                <w:szCs w:val="18"/>
                <w:color w:val="auto"/>
              </w:rPr>
            </w:pPr>
            <w:r>
              <w:rPr>
                <w:rFonts w:ascii="Arial" w:cs="Arial" w:eastAsia="Arial" w:hAnsi="Arial"/>
                <w:sz w:val="18"/>
                <w:szCs w:val="18"/>
                <w:color w:val="auto"/>
              </w:rPr>
              <w:t xml:space="preserve">Form of Senior Note (included in Exhibits </w:t>
            </w:r>
            <w:hyperlink r:id="rId110">
              <w:r>
                <w:rPr>
                  <w:rFonts w:ascii="Arial" w:cs="Arial" w:eastAsia="Arial" w:hAnsi="Arial"/>
                  <w:sz w:val="18"/>
                  <w:szCs w:val="18"/>
                  <w:color w:val="0000EE"/>
                </w:rPr>
                <w:t>4.3</w:t>
              </w:r>
            </w:hyperlink>
            <w:r>
              <w:rPr>
                <w:rFonts w:ascii="Arial" w:cs="Arial" w:eastAsia="Arial" w:hAnsi="Arial"/>
                <w:sz w:val="18"/>
                <w:szCs w:val="18"/>
                <w:color w:val="auto"/>
              </w:rPr>
              <w:t xml:space="preserve">, </w:t>
            </w:r>
            <w:hyperlink r:id="rId111">
              <w:r>
                <w:rPr>
                  <w:rFonts w:ascii="Arial" w:cs="Arial" w:eastAsia="Arial" w:hAnsi="Arial"/>
                  <w:sz w:val="18"/>
                  <w:szCs w:val="18"/>
                  <w:color w:val="0000EE"/>
                </w:rPr>
                <w:t>4.4</w:t>
              </w:r>
            </w:hyperlink>
            <w:r>
              <w:rPr>
                <w:rFonts w:ascii="Arial" w:cs="Arial" w:eastAsia="Arial" w:hAnsi="Arial"/>
                <w:sz w:val="18"/>
                <w:szCs w:val="18"/>
                <w:color w:val="auto"/>
              </w:rPr>
              <w:t xml:space="preserve">, </w:t>
            </w:r>
            <w:hyperlink r:id="rId112">
              <w:r>
                <w:rPr>
                  <w:rFonts w:ascii="Arial" w:cs="Arial" w:eastAsia="Arial" w:hAnsi="Arial"/>
                  <w:sz w:val="18"/>
                  <w:szCs w:val="18"/>
                  <w:color w:val="0000EE"/>
                </w:rPr>
                <w:t>4.5</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13">
              <w:r>
                <w:rPr>
                  <w:rFonts w:ascii="Arial" w:cs="Arial" w:eastAsia="Arial" w:hAnsi="Arial"/>
                  <w:sz w:val="18"/>
                  <w:szCs w:val="18"/>
                  <w:color w:val="0000EE"/>
                </w:rPr>
                <w:t>4.6</w:t>
              </w:r>
            </w:hyperlink>
            <w:r>
              <w:rPr>
                <w:rFonts w:ascii="Arial" w:cs="Arial" w:eastAsia="Arial" w:hAnsi="Arial"/>
                <w:sz w:val="18"/>
                <w:szCs w:val="18"/>
                <w:color w:val="auto"/>
              </w:rPr>
              <w:t>).</w:t>
            </w:r>
          </w:p>
        </w:tc>
        <w:tc>
          <w:tcPr>
            <w:tcW w:w="300" w:type="dxa"/>
            <w:vAlign w:val="bottom"/>
            <w:gridSpan w:val="9"/>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10.1</w:t>
            </w:r>
          </w:p>
        </w:tc>
        <w:tc>
          <w:tcPr>
            <w:tcW w:w="10360" w:type="dxa"/>
            <w:vAlign w:val="bottom"/>
            <w:tcBorders>
              <w:bottom w:val="single" w:sz="8" w:color="0000EE"/>
            </w:tcBorders>
            <w:gridSpan w:val="33"/>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Amended and Restated Operating Agreement of Lazard Group LLC, dated as of October 26, 2015 (incorporated by reference to Exhibit 10.1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8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Registrant’s Quarterly Report (File No. 001-32492) on Form 10-Q filed on October 28, 2015).</w:t>
              </w:r>
            </w:hyperlink>
          </w:p>
        </w:tc>
        <w:tc>
          <w:tcPr>
            <w:tcW w:w="3600" w:type="dxa"/>
            <w:vAlign w:val="bottom"/>
            <w:gridSpan w:val="21"/>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10.2</w:t>
            </w:r>
          </w:p>
        </w:tc>
        <w:tc>
          <w:tcPr>
            <w:tcW w:w="10400" w:type="dxa"/>
            <w:vAlign w:val="bottom"/>
            <w:gridSpan w:val="35"/>
          </w:tcPr>
          <w:p>
            <w:pPr>
              <w:spacing w:after="0"/>
              <w:rPr>
                <w:rFonts w:ascii="Arial" w:cs="Arial" w:eastAsia="Arial" w:hAnsi="Arial"/>
                <w:sz w:val="18"/>
                <w:szCs w:val="18"/>
                <w:color w:val="0000EE"/>
                <w:w w:val="95"/>
              </w:rPr>
            </w:pPr>
            <w:hyperlink r:id="rId115">
              <w:r>
                <w:rPr>
                  <w:rFonts w:ascii="Arial" w:cs="Arial" w:eastAsia="Arial" w:hAnsi="Arial"/>
                  <w:sz w:val="18"/>
                  <w:szCs w:val="18"/>
                  <w:color w:val="0000EE"/>
                  <w:w w:val="95"/>
                </w:rPr>
                <w:t>Amendment No.1 to Amended and Restated Operating Agreement of Lazard Group LLC, dated as of October 27, 2016 (incorporated by</w:t>
              </w:r>
            </w:hyperlink>
          </w:p>
        </w:tc>
      </w:tr>
      <w:tr>
        <w:trPr>
          <w:trHeight w:val="196"/>
        </w:trPr>
        <w:tc>
          <w:tcPr>
            <w:tcW w:w="104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reference to Exhibit 10.2 to Registrant’s Quarterly Report (File No. 001-32492) on Form 10-Q filed on October 28, 2016).</w:t>
              </w:r>
            </w:hyperlink>
          </w:p>
        </w:tc>
        <w:tc>
          <w:tcPr>
            <w:tcW w:w="1060" w:type="dxa"/>
            <w:vAlign w:val="bottom"/>
            <w:tcBorders>
              <w:top w:val="single" w:sz="8" w:color="0000EE"/>
            </w:tcBorders>
            <w:gridSpan w:val="3"/>
          </w:tcPr>
          <w:p>
            <w:pPr>
              <w:spacing w:after="0"/>
              <w:rPr>
                <w:sz w:val="17"/>
                <w:szCs w:val="17"/>
                <w:color w:val="auto"/>
              </w:rPr>
            </w:pPr>
          </w:p>
        </w:tc>
        <w:tc>
          <w:tcPr>
            <w:tcW w:w="520" w:type="dxa"/>
            <w:vAlign w:val="bottom"/>
            <w:gridSpan w:val="15"/>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10.3</w:t>
            </w:r>
          </w:p>
        </w:tc>
        <w:tc>
          <w:tcPr>
            <w:tcW w:w="10360" w:type="dxa"/>
            <w:vAlign w:val="bottom"/>
            <w:tcBorders>
              <w:bottom w:val="single" w:sz="8" w:color="0000EE"/>
            </w:tcBorders>
            <w:gridSpan w:val="33"/>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Second Amended and Restated Tax Receivable Agreement, dated as of October 26, 2015, by and among Ltd Sub A, Ltd Sub B and LTBP Trust</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5"/>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(incorporated by reference to Exhibit 10.2 to the Registrant’s Quarterly Report (File No. 001-32492) on Form 10-Q filed on October 28, 2015).</w:t>
              </w:r>
            </w:hyperlink>
          </w:p>
        </w:tc>
      </w:tr>
      <w:tr>
        <w:trPr>
          <w:trHeight w:val="20"/>
        </w:trPr>
        <w:tc>
          <w:tcPr>
            <w:tcW w:w="1040" w:type="dxa"/>
            <w:vAlign w:val="bottom"/>
          </w:tcPr>
          <w:p>
            <w:pPr>
              <w:spacing w:after="0" w:line="20" w:lineRule="exact"/>
              <w:rPr>
                <w:sz w:val="1"/>
                <w:szCs w:val="1"/>
                <w:color w:val="auto"/>
              </w:rPr>
            </w:pPr>
          </w:p>
        </w:tc>
        <w:tc>
          <w:tcPr>
            <w:tcW w:w="5600" w:type="dxa"/>
            <w:vAlign w:val="bottom"/>
            <w:gridSpan w:val="11"/>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280" w:type="dxa"/>
            <w:vAlign w:val="bottom"/>
            <w:gridSpan w:val="11"/>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10.4</w:t>
            </w:r>
          </w:p>
        </w:tc>
        <w:tc>
          <w:tcPr>
            <w:tcW w:w="10340" w:type="dxa"/>
            <w:vAlign w:val="bottom"/>
            <w:tcBorders>
              <w:bottom w:val="single" w:sz="8" w:color="0000EE"/>
            </w:tcBorders>
            <w:gridSpan w:val="32"/>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Lease, dated as of January 27, 1994, by and between Rockefeller Center Properties and Lazard Frères &amp; Co. LLC (incorporated by reference to</w:t>
              </w:r>
            </w:hyperlink>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5"/>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Exhibit 10.19 to the Registrant’s Registration Statement (File No. 333-121407) on Form S-1/A filed on February 11, 2005).</w:t>
              </w:r>
            </w:hyperlink>
          </w:p>
        </w:tc>
      </w:tr>
      <w:tr>
        <w:trPr>
          <w:trHeight w:val="20"/>
        </w:trPr>
        <w:tc>
          <w:tcPr>
            <w:tcW w:w="1040" w:type="dxa"/>
            <w:vAlign w:val="bottom"/>
          </w:tcPr>
          <w:p>
            <w:pPr>
              <w:spacing w:after="0" w:line="20" w:lineRule="exact"/>
              <w:rPr>
                <w:sz w:val="1"/>
                <w:szCs w:val="1"/>
                <w:color w:val="auto"/>
              </w:rPr>
            </w:pPr>
          </w:p>
        </w:tc>
        <w:tc>
          <w:tcPr>
            <w:tcW w:w="5600" w:type="dxa"/>
            <w:vAlign w:val="bottom"/>
            <w:gridSpan w:val="11"/>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2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10.5</w:t>
            </w:r>
          </w:p>
        </w:tc>
        <w:tc>
          <w:tcPr>
            <w:tcW w:w="10380" w:type="dxa"/>
            <w:vAlign w:val="bottom"/>
            <w:tcBorders>
              <w:bottom w:val="single" w:sz="8" w:color="0000EE"/>
            </w:tcBorders>
            <w:gridSpan w:val="34"/>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Fourth Amendment dated as of February 16, 2011, by and among RCPI Landmark Properties, L.L.C. (as the successor in interest to Rockefeller</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Center Properties), RCPI 30 Rock 22234849, L.L.C. and Lazard Group LLC (as the successor in interest to Lazard Frères &amp; Co. LLC), to the</w:t>
              </w:r>
            </w:hyperlink>
          </w:p>
        </w:tc>
        <w:tc>
          <w:tcPr>
            <w:tcW w:w="20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Lease dated as of January 27, 1994, by and among Rockefeller Center Properties and Lazard Frères &amp; Co. LLC (incorporated by reference to</w:t>
              </w:r>
            </w:hyperlink>
          </w:p>
        </w:tc>
        <w:tc>
          <w:tcPr>
            <w:tcW w:w="22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5"/>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Exhibit 10.16 to the Registrant’s Quarterly Report (File No. 001-32492) on Form 10-Q filed on April 29, 2011).</w:t>
              </w:r>
            </w:hyperlink>
          </w:p>
        </w:tc>
      </w:tr>
      <w:tr>
        <w:trPr>
          <w:trHeight w:val="20"/>
        </w:trPr>
        <w:tc>
          <w:tcPr>
            <w:tcW w:w="1040" w:type="dxa"/>
            <w:vAlign w:val="bottom"/>
          </w:tcPr>
          <w:p>
            <w:pPr>
              <w:spacing w:after="0" w:line="20" w:lineRule="exact"/>
              <w:rPr>
                <w:sz w:val="1"/>
                <w:szCs w:val="1"/>
                <w:color w:val="auto"/>
              </w:rPr>
            </w:pPr>
          </w:p>
        </w:tc>
        <w:tc>
          <w:tcPr>
            <w:tcW w:w="5600" w:type="dxa"/>
            <w:vAlign w:val="bottom"/>
            <w:gridSpan w:val="11"/>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2200" w:type="dxa"/>
            <w:vAlign w:val="bottom"/>
            <w:gridSpan w:val="1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10.6</w:t>
            </w:r>
          </w:p>
        </w:tc>
        <w:tc>
          <w:tcPr>
            <w:tcW w:w="10400" w:type="dxa"/>
            <w:vAlign w:val="bottom"/>
            <w:gridSpan w:val="35"/>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Occupational Lease, dated as of August 9, 2002, by and among Burford (Stratton) Nominee 1 Limited, Burford (Stratton) Nominee 2 Limited,</w:t>
              </w:r>
            </w:hyperlink>
          </w:p>
        </w:tc>
      </w:tr>
      <w:tr>
        <w:trPr>
          <w:trHeight w:val="20"/>
        </w:trPr>
        <w:tc>
          <w:tcPr>
            <w:tcW w:w="1040" w:type="dxa"/>
            <w:vAlign w:val="bottom"/>
          </w:tcPr>
          <w:p>
            <w:pPr>
              <w:spacing w:after="0" w:line="20" w:lineRule="exact"/>
              <w:rPr>
                <w:sz w:val="1"/>
                <w:szCs w:val="1"/>
                <w:color w:val="auto"/>
              </w:rPr>
            </w:pPr>
          </w:p>
        </w:tc>
        <w:tc>
          <w:tcPr>
            <w:tcW w:w="5600" w:type="dxa"/>
            <w:vAlign w:val="bottom"/>
            <w:gridSpan w:val="11"/>
            <w:shd w:val="clear" w:color="auto" w:fill="0000EE"/>
          </w:tcPr>
          <w:p>
            <w:pPr>
              <w:spacing w:after="0" w:line="20" w:lineRule="exact"/>
              <w:rPr>
                <w:sz w:val="1"/>
                <w:szCs w:val="1"/>
                <w:color w:val="auto"/>
              </w:rPr>
            </w:pPr>
          </w:p>
        </w:tc>
        <w:tc>
          <w:tcPr>
            <w:tcW w:w="4660" w:type="dxa"/>
            <w:vAlign w:val="bottom"/>
            <w:gridSpan w:val="20"/>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4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Burford (Stratton) Limited, Lazard &amp; Co., Limited and Lazard LLC (incorporated by reference to Exhibit 10.21 to the Registrant’s Registration</w:t>
              </w:r>
            </w:hyperlink>
          </w:p>
        </w:tc>
        <w:tc>
          <w:tcPr>
            <w:tcW w:w="6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5"/>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Statement (File No. 333-121407) on Form S-1/A filed on February 11, 2005).</w:t>
              </w:r>
            </w:hyperlink>
          </w:p>
        </w:tc>
      </w:tr>
      <w:tr>
        <w:trPr>
          <w:trHeight w:val="453"/>
        </w:trPr>
        <w:tc>
          <w:tcPr>
            <w:tcW w:w="1040" w:type="dxa"/>
            <w:vAlign w:val="bottom"/>
          </w:tcPr>
          <w:p>
            <w:pPr>
              <w:spacing w:after="0"/>
              <w:rPr>
                <w:sz w:val="24"/>
                <w:szCs w:val="24"/>
                <w:color w:val="auto"/>
              </w:rPr>
            </w:pPr>
          </w:p>
        </w:tc>
        <w:tc>
          <w:tcPr>
            <w:tcW w:w="4820" w:type="dxa"/>
            <w:vAlign w:val="bottom"/>
            <w:tcBorders>
              <w:top w:val="single" w:sz="8" w:color="0000EE"/>
            </w:tcBorders>
            <w:gridSpan w:val="9"/>
          </w:tcPr>
          <w:p>
            <w:pPr>
              <w:ind w:left="4580"/>
              <w:spacing w:after="0"/>
              <w:rPr>
                <w:sz w:val="20"/>
                <w:szCs w:val="20"/>
                <w:color w:val="auto"/>
              </w:rPr>
            </w:pPr>
            <w:r>
              <w:rPr>
                <w:rFonts w:ascii="Arial" w:cs="Arial" w:eastAsia="Arial" w:hAnsi="Arial"/>
                <w:sz w:val="18"/>
                <w:szCs w:val="18"/>
                <w:color w:val="auto"/>
              </w:rPr>
              <w:t>67</w:t>
            </w:r>
          </w:p>
        </w:tc>
        <w:tc>
          <w:tcPr>
            <w:tcW w:w="6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9" w:name="page70"/>
    <w:bookmarkEnd w:id="69"/>
    <w:p>
      <w:pPr>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r:id="rId122">
        <w:r>
          <w:rPr>
            <w:rFonts w:ascii="Arial" w:cs="Arial" w:eastAsia="Arial" w:hAnsi="Arial"/>
            <w:sz w:val="16"/>
            <w:szCs w:val="16"/>
            <w:u w:val="single" w:color="auto"/>
            <w:color w:val="0000EE"/>
          </w:rPr>
          <w:t>Lazard Ltd 2005 Equity Incentive Plan (incorporated by reference to Exhibit 10.21 to the Registrant’s Registration Statement (File No. 333-</w:t>
        </w:r>
      </w:hyperlink>
    </w:p>
    <w:p>
      <w:pPr>
        <w:spacing w:after="0" w:line="23" w:lineRule="exact"/>
        <w:rPr>
          <w:sz w:val="20"/>
          <w:szCs w:val="20"/>
          <w:color w:val="auto"/>
        </w:rPr>
      </w:pPr>
    </w:p>
    <w:p>
      <w:pPr>
        <w:ind w:left="940"/>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121407) on Form S-1/A filed on May 2, 2005).</w:t>
        </w:r>
      </w:hyperlink>
    </w:p>
    <w:p>
      <w:pPr>
        <w:spacing w:after="0" w:line="76" w:lineRule="exact"/>
        <w:rPr>
          <w:sz w:val="20"/>
          <w:szCs w:val="20"/>
          <w:color w:val="auto"/>
        </w:rPr>
      </w:pPr>
    </w:p>
    <w:p>
      <w:pPr>
        <w:ind w:left="940" w:right="58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23">
        <w:r>
          <w:rPr>
            <w:rFonts w:ascii="Arial" w:cs="Arial" w:eastAsia="Arial" w:hAnsi="Arial"/>
            <w:sz w:val="18"/>
            <w:szCs w:val="18"/>
            <w:u w:val="single" w:color="auto"/>
            <w:color w:val="0000EE"/>
          </w:rPr>
          <w:t>Lazard Ltd 2008 Incentive Compensation Plan (incorporated by reference to Annex B to the Registrant’s Definitive Proxy Statement on</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Schedule 14A (File No. 001-32492) filed on March 24, 2008).</w:t>
        </w:r>
      </w:hyperlink>
    </w:p>
    <w:p>
      <w:pPr>
        <w:spacing w:after="0" w:line="35" w:lineRule="exact"/>
        <w:rPr>
          <w:sz w:val="20"/>
          <w:szCs w:val="20"/>
          <w:color w:val="auto"/>
        </w:rPr>
      </w:pPr>
    </w:p>
    <w:p>
      <w:pPr>
        <w:ind w:left="940" w:right="6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24">
        <w:r>
          <w:rPr>
            <w:rFonts w:ascii="Arial" w:cs="Arial" w:eastAsia="Arial" w:hAnsi="Arial"/>
            <w:sz w:val="18"/>
            <w:szCs w:val="18"/>
            <w:u w:val="single" w:color="auto"/>
            <w:color w:val="0000EE"/>
          </w:rPr>
          <w:t>Lazard Ltd 2016 French Sub-plan (incorporated by reference to Annex B to the Registrant’s Definitive Proxy Statement on Schedule 14A (File</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No. 001-32492) filed on March 10, 2016).</w:t>
        </w:r>
      </w:hyperlink>
    </w:p>
    <w:p>
      <w:pPr>
        <w:spacing w:after="0" w:line="35" w:lineRule="exact"/>
        <w:rPr>
          <w:sz w:val="20"/>
          <w:szCs w:val="20"/>
          <w:color w:val="auto"/>
        </w:rPr>
      </w:pPr>
    </w:p>
    <w:p>
      <w:pPr>
        <w:ind w:left="940" w:right="58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25">
        <w:r>
          <w:rPr>
            <w:rFonts w:ascii="Arial" w:cs="Arial" w:eastAsia="Arial" w:hAnsi="Arial"/>
            <w:sz w:val="18"/>
            <w:szCs w:val="18"/>
            <w:u w:val="single" w:color="auto"/>
            <w:color w:val="0000EE"/>
          </w:rPr>
          <w:t>Lazard Ltd 2018 Incentive Compensation Plan (incorporated by reference to Annex B to the Registrant’s Definitive Proxy Statement on</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Schedule 14A (File No. 001-32492) filed on March 15, 2018).</w:t>
        </w:r>
      </w:hyperlink>
    </w:p>
    <w:p>
      <w:pPr>
        <w:spacing w:after="0" w:line="35" w:lineRule="exact"/>
        <w:rPr>
          <w:sz w:val="20"/>
          <w:szCs w:val="20"/>
          <w:color w:val="auto"/>
        </w:rPr>
      </w:pPr>
    </w:p>
    <w:p>
      <w:pPr>
        <w:ind w:left="940" w:right="6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26">
        <w:r>
          <w:rPr>
            <w:rFonts w:ascii="Arial" w:cs="Arial" w:eastAsia="Arial" w:hAnsi="Arial"/>
            <w:sz w:val="18"/>
            <w:szCs w:val="18"/>
            <w:u w:val="single" w:color="auto"/>
            <w:color w:val="0000EE"/>
          </w:rPr>
          <w:t>Amended and Restated Agreement relating to Retention and Noncompetition and Other Covenants, dated as of March 9, 2016, by and among</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the Registrant, Lazard Group LLC and Kenneth M. Jacobs (incorporated by reference to Exhibit 10.9 to the Registrant’s Quarterly Report (File</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No. 001-32492) on Form 10-Q filed on April 27, 2016).</w:t>
        </w:r>
      </w:hyperlink>
    </w:p>
    <w:p>
      <w:pPr>
        <w:spacing w:after="0" w:line="46" w:lineRule="exact"/>
        <w:rPr>
          <w:rFonts w:ascii="Arial" w:cs="Arial" w:eastAsia="Arial" w:hAnsi="Arial"/>
          <w:sz w:val="18"/>
          <w:szCs w:val="18"/>
          <w:u w:val="single" w:color="auto"/>
          <w:color w:val="0000EE"/>
        </w:rPr>
      </w:pPr>
    </w:p>
    <w:p>
      <w:pPr>
        <w:jc w:val="both"/>
        <w:ind w:left="940" w:right="16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27">
        <w:r>
          <w:rPr>
            <w:rFonts w:ascii="Arial" w:cs="Arial" w:eastAsia="Arial" w:hAnsi="Arial"/>
            <w:sz w:val="18"/>
            <w:szCs w:val="18"/>
            <w:u w:val="single" w:color="auto"/>
            <w:color w:val="0000EE"/>
          </w:rPr>
          <w:t>Amended and Restated Agreement relating to Retention and Noncompetition and Other Covenants, dated as of March 9, 2016, by and among</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the Registrant, Lazard Group LLC and Ashish Bhutani (incorporated by reference to Exhibit 10.10 to the Registrant’s Quarterly Report (File</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No. 001-32492) on Form 10-Q filed on April 27, 2016).</w:t>
        </w:r>
      </w:hyperlink>
    </w:p>
    <w:p>
      <w:pPr>
        <w:spacing w:after="0" w:line="46" w:lineRule="exact"/>
        <w:rPr>
          <w:rFonts w:ascii="Arial" w:cs="Arial" w:eastAsia="Arial" w:hAnsi="Arial"/>
          <w:sz w:val="18"/>
          <w:szCs w:val="18"/>
          <w:u w:val="single" w:color="auto"/>
          <w:color w:val="0000EE"/>
        </w:rPr>
      </w:pPr>
    </w:p>
    <w:p>
      <w:pPr>
        <w:jc w:val="both"/>
        <w:ind w:left="940" w:right="8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28">
        <w:r>
          <w:rPr>
            <w:rFonts w:ascii="Arial" w:cs="Arial" w:eastAsia="Arial" w:hAnsi="Arial"/>
            <w:sz w:val="18"/>
            <w:szCs w:val="18"/>
            <w:u w:val="single" w:color="auto"/>
            <w:color w:val="0000EE"/>
          </w:rPr>
          <w:t>Amended and Restated Agreement relating to Retention and Noncompetition and Other Covenants, dated as of March 9, 2016, by and among</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the Registrant, Lazard Group LLC and Matthieu Bucaille (incorporated by reference to Exhibit 10.11 to the Registrant’s Quarterly Report (File</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No. 001-32492) on Form 10-Q filed on April 27, 2016).</w:t>
        </w:r>
      </w:hyperlink>
    </w:p>
    <w:p>
      <w:pPr>
        <w:spacing w:after="0" w:line="46" w:lineRule="exact"/>
        <w:rPr>
          <w:rFonts w:ascii="Arial" w:cs="Arial" w:eastAsia="Arial" w:hAnsi="Arial"/>
          <w:sz w:val="18"/>
          <w:szCs w:val="18"/>
          <w:u w:val="single" w:color="auto"/>
          <w:color w:val="0000EE"/>
        </w:rPr>
      </w:pPr>
    </w:p>
    <w:p>
      <w:pPr>
        <w:jc w:val="both"/>
        <w:ind w:left="940" w:right="8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29">
        <w:r>
          <w:rPr>
            <w:rFonts w:ascii="Arial" w:cs="Arial" w:eastAsia="Arial" w:hAnsi="Arial"/>
            <w:sz w:val="18"/>
            <w:szCs w:val="18"/>
            <w:u w:val="single" w:color="auto"/>
            <w:color w:val="0000EE"/>
          </w:rPr>
          <w:t>Amended and Restated Agreement relating to Retention and Noncompetition and Other Covenants, dated as of March 9, 2016, by and among</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the Registrant, Lazard Group LLC and Scott D. Hoffman (incorporated by reference to Exhibit 10.12 to the Registrant’s Quarterly Report (File</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No. 001-32492) on Form 10-Q filed on April 27, 2016).</w:t>
        </w:r>
      </w:hyperlink>
    </w:p>
    <w:p>
      <w:pPr>
        <w:spacing w:after="0" w:line="46" w:lineRule="exact"/>
        <w:rPr>
          <w:rFonts w:ascii="Arial" w:cs="Arial" w:eastAsia="Arial" w:hAnsi="Arial"/>
          <w:sz w:val="18"/>
          <w:szCs w:val="18"/>
          <w:u w:val="single" w:color="auto"/>
          <w:color w:val="0000EE"/>
        </w:rPr>
      </w:pPr>
    </w:p>
    <w:p>
      <w:pPr>
        <w:ind w:left="940" w:right="240" w:hanging="949"/>
        <w:spacing w:after="0" w:line="286" w:lineRule="auto"/>
        <w:tabs>
          <w:tab w:leader="none" w:pos="920" w:val="left"/>
        </w:tabs>
        <w:rPr>
          <w:rFonts w:ascii="Arial" w:cs="Arial" w:eastAsia="Arial" w:hAnsi="Arial"/>
          <w:sz w:val="17"/>
          <w:szCs w:val="17"/>
          <w:u w:val="single" w:color="auto"/>
          <w:color w:val="0000EE"/>
        </w:rPr>
      </w:pPr>
      <w:r>
        <w:rPr>
          <w:rFonts w:ascii="Arial" w:cs="Arial" w:eastAsia="Arial" w:hAnsi="Arial"/>
          <w:sz w:val="18"/>
          <w:szCs w:val="18"/>
          <w:color w:val="auto"/>
        </w:rPr>
        <w:t>10.15*</w:t>
      </w:r>
      <w:r>
        <w:rPr>
          <w:sz w:val="20"/>
          <w:szCs w:val="20"/>
          <w:color w:val="auto"/>
        </w:rPr>
        <w:tab/>
      </w:r>
      <w:hyperlink r:id="rId130">
        <w:r>
          <w:rPr>
            <w:rFonts w:ascii="Arial" w:cs="Arial" w:eastAsia="Arial" w:hAnsi="Arial"/>
            <w:sz w:val="17"/>
            <w:szCs w:val="17"/>
            <w:u w:val="single" w:color="auto"/>
            <w:color w:val="0000EE"/>
          </w:rPr>
          <w:t>Amendment, dated as of October 30, 2017, to Amended and Restated Agreement relating to Retention and Noncompetition and Other</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Covenants, dated as of March 9, 2016, by and among the Registrant, Lazard Group LLC and Scott D. Hoffman (incorporated by reference to</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Exhibit 10.14 to the Registrant’s Quarterly Report (File No. 001-324927) on Form 10-Q filed October 31, 2017).</w:t>
        </w:r>
      </w:hyperlink>
    </w:p>
    <w:p>
      <w:pPr>
        <w:spacing w:after="0" w:line="30" w:lineRule="exact"/>
        <w:rPr>
          <w:rFonts w:ascii="Arial" w:cs="Arial" w:eastAsia="Arial" w:hAnsi="Arial"/>
          <w:sz w:val="17"/>
          <w:szCs w:val="17"/>
          <w:u w:val="single" w:color="auto"/>
          <w:color w:val="0000EE"/>
        </w:rPr>
      </w:pPr>
    </w:p>
    <w:p>
      <w:pPr>
        <w:jc w:val="both"/>
        <w:ind w:left="94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31">
        <w:r>
          <w:rPr>
            <w:rFonts w:ascii="Arial" w:cs="Arial" w:eastAsia="Arial" w:hAnsi="Arial"/>
            <w:sz w:val="18"/>
            <w:szCs w:val="18"/>
            <w:u w:val="single" w:color="auto"/>
            <w:color w:val="0000EE"/>
          </w:rPr>
          <w:t>Agreement relating to Retention and Noncompetition and Other Covenants, dated as of October 30, 2017, by and among the Registrant, Lazard</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Group LLC and Evan L. Russo (incorporated by reference to Exhibit 10.15 to the Registrant’s Quarterly Report (File No. 001-324927) on Form</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10-Q filed October 31, 2017).</w:t>
        </w:r>
      </w:hyperlink>
    </w:p>
    <w:p>
      <w:pPr>
        <w:spacing w:after="0" w:line="46" w:lineRule="exact"/>
        <w:rPr>
          <w:rFonts w:ascii="Arial" w:cs="Arial" w:eastAsia="Arial" w:hAnsi="Arial"/>
          <w:sz w:val="18"/>
          <w:szCs w:val="18"/>
          <w:u w:val="single" w:color="auto"/>
          <w:color w:val="0000EE"/>
        </w:rPr>
      </w:pPr>
    </w:p>
    <w:p>
      <w:pPr>
        <w:ind w:left="940" w:right="2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32">
        <w:r>
          <w:rPr>
            <w:rFonts w:ascii="Arial" w:cs="Arial" w:eastAsia="Arial" w:hAnsi="Arial"/>
            <w:sz w:val="18"/>
            <w:szCs w:val="18"/>
            <w:u w:val="single" w:color="auto"/>
            <w:color w:val="0000EE"/>
          </w:rPr>
          <w:t>Amended and Restated Agreement relating to Retention and Noncompetition and Other Covenants, dated as of March 9, 2016, by and among</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the Registrant, Lazard Group LLC and Alexander F. Stern (incorporated by reference to Exhibit 10.13 to the Registrant’s Quarterly Report (File</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No. 001-32492) on Form 10-Q filed on April 27, 2016).</w:t>
        </w:r>
      </w:hyperlink>
    </w:p>
    <w:p>
      <w:pPr>
        <w:spacing w:after="0" w:line="46" w:lineRule="exact"/>
        <w:rPr>
          <w:rFonts w:ascii="Arial" w:cs="Arial" w:eastAsia="Arial" w:hAnsi="Arial"/>
          <w:sz w:val="18"/>
          <w:szCs w:val="18"/>
          <w:u w:val="single" w:color="auto"/>
          <w:color w:val="0000EE"/>
        </w:rPr>
      </w:pPr>
    </w:p>
    <w:p>
      <w:pPr>
        <w:ind w:left="940" w:right="18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33">
        <w:r>
          <w:rPr>
            <w:rFonts w:ascii="Arial" w:cs="Arial" w:eastAsia="Arial" w:hAnsi="Arial"/>
            <w:sz w:val="18"/>
            <w:szCs w:val="18"/>
            <w:u w:val="single" w:color="auto"/>
            <w:color w:val="0000EE"/>
          </w:rPr>
          <w:t>Form of Award Letter for Annual Grant of Deferred Stock Units to Non-Executive Directors (incorporated by reference to Exhibit 99.1 to the</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Registrant’s Current Report on Form 8-K (File No. 001-32492) filed on September 8, 2005).</w:t>
        </w:r>
      </w:hyperlink>
    </w:p>
    <w:p>
      <w:pPr>
        <w:spacing w:after="0" w:line="35" w:lineRule="exact"/>
        <w:rPr>
          <w:sz w:val="20"/>
          <w:szCs w:val="20"/>
          <w:color w:val="auto"/>
        </w:rPr>
      </w:pPr>
    </w:p>
    <w:p>
      <w:pPr>
        <w:ind w:left="940" w:right="320" w:hanging="949"/>
        <w:spacing w:after="0" w:line="334"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10.19*</w:t>
      </w:r>
      <w:r>
        <w:rPr>
          <w:sz w:val="20"/>
          <w:szCs w:val="20"/>
          <w:color w:val="auto"/>
        </w:rPr>
        <w:tab/>
      </w:r>
      <w:hyperlink r:id="rId134">
        <w:r>
          <w:rPr>
            <w:rFonts w:ascii="Arial" w:cs="Arial" w:eastAsia="Arial" w:hAnsi="Arial"/>
            <w:sz w:val="16"/>
            <w:szCs w:val="16"/>
            <w:u w:val="single" w:color="auto"/>
            <w:color w:val="0000EE"/>
          </w:rPr>
          <w:t>Form of Agreement evidencing a grant of Restricted Stock Units to Executive Officers under the 2008 Incentive Compensation Plan</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(incorporated by reference to Exhibit 10.41 to the Registrant’s Annual Report (File No. 001-32492) on Form 10-K filed on March 2, 2009).</w:t>
        </w:r>
      </w:hyperlink>
    </w:p>
    <w:p>
      <w:pPr>
        <w:spacing w:after="0" w:line="1" w:lineRule="exact"/>
        <w:rPr>
          <w:sz w:val="20"/>
          <w:szCs w:val="20"/>
          <w:color w:val="auto"/>
        </w:rPr>
      </w:pPr>
    </w:p>
    <w:p>
      <w:pPr>
        <w:ind w:left="940" w:right="58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35">
        <w:r>
          <w:rPr>
            <w:rFonts w:ascii="Arial" w:cs="Arial" w:eastAsia="Arial" w:hAnsi="Arial"/>
            <w:sz w:val="18"/>
            <w:szCs w:val="18"/>
            <w:u w:val="single" w:color="auto"/>
            <w:color w:val="0000EE"/>
          </w:rPr>
          <w:t>Form of Agreement evidencing a grant of Deferred Cash Award to Executive Officers (incorporated by reference to Exhibit 10.42 to the</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Registrant’s Annual Report (File No. 001-32492) on Form 10-K filed on March 2, 2009).</w:t>
        </w:r>
      </w:hyperlink>
    </w:p>
    <w:p>
      <w:pPr>
        <w:spacing w:after="0" w:line="35" w:lineRule="exact"/>
        <w:rPr>
          <w:sz w:val="20"/>
          <w:szCs w:val="20"/>
          <w:color w:val="auto"/>
        </w:rPr>
      </w:pPr>
    </w:p>
    <w:p>
      <w:pPr>
        <w:ind w:left="940" w:right="36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36">
        <w:r>
          <w:rPr>
            <w:rFonts w:ascii="Arial" w:cs="Arial" w:eastAsia="Arial" w:hAnsi="Arial"/>
            <w:sz w:val="18"/>
            <w:szCs w:val="18"/>
            <w:u w:val="single" w:color="auto"/>
            <w:color w:val="0000EE"/>
          </w:rPr>
          <w:t>Directors’ Fee Deferral Unit Plan (incorporated by reference to Exhibit 10.39 to the Registrant’s Quarterly Report (File No. 001-32492) on</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Form 10-Q filed on May 11, 2006).</w:t>
        </w:r>
      </w:hyperlink>
    </w:p>
    <w:p>
      <w:pPr>
        <w:spacing w:after="0" w:line="35" w:lineRule="exact"/>
        <w:rPr>
          <w:sz w:val="20"/>
          <w:szCs w:val="20"/>
          <w:color w:val="auto"/>
        </w:rPr>
      </w:pPr>
    </w:p>
    <w:p>
      <w:pPr>
        <w:jc w:val="both"/>
        <w:ind w:left="940" w:right="34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37">
        <w:r>
          <w:rPr>
            <w:rFonts w:ascii="Arial" w:cs="Arial" w:eastAsia="Arial" w:hAnsi="Arial"/>
            <w:sz w:val="18"/>
            <w:szCs w:val="18"/>
            <w:u w:val="single" w:color="auto"/>
            <w:color w:val="0000EE"/>
          </w:rPr>
          <w:t>Amended and Restated Credit Agreement, dated as of September 25, 2015, among Lazard Group LLC, the Banks from time to time parties</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thereto, and Citibank, N.A., as Administrative Agent (incorporated by reference to Exhibit 10.27 to the Registrant’s Quarterly Report (File</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No. 001-32492) on Form 10-Q filed on October 28, 2015).</w:t>
        </w:r>
      </w:hyperlink>
    </w:p>
    <w:p>
      <w:pPr>
        <w:spacing w:after="0" w:line="46" w:lineRule="exact"/>
        <w:rPr>
          <w:rFonts w:ascii="Arial" w:cs="Arial" w:eastAsia="Arial" w:hAnsi="Arial"/>
          <w:sz w:val="18"/>
          <w:szCs w:val="18"/>
          <w:u w:val="single" w:color="auto"/>
          <w:color w:val="0000EE"/>
        </w:rPr>
      </w:pPr>
    </w:p>
    <w:p>
      <w:pPr>
        <w:ind w:left="940" w:right="26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38">
        <w:r>
          <w:rPr>
            <w:rFonts w:ascii="Arial" w:cs="Arial" w:eastAsia="Arial" w:hAnsi="Arial"/>
            <w:sz w:val="18"/>
            <w:szCs w:val="18"/>
            <w:u w:val="single" w:color="auto"/>
            <w:color w:val="0000EE"/>
          </w:rPr>
          <w:t>Form of Agreement evidencing a grant of Lazard Fund Interests to Named Executive Officers (incorporated by reference to Exhibit 10.55 to</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the Registrant’s Quarterly Report (File No. 001-32492) on Form 10-Q filed on May 1, 2013).</w:t>
        </w:r>
      </w:hyperlink>
    </w:p>
    <w:p>
      <w:pPr>
        <w:spacing w:after="0" w:line="35" w:lineRule="exact"/>
        <w:rPr>
          <w:sz w:val="20"/>
          <w:szCs w:val="20"/>
          <w:color w:val="auto"/>
        </w:rPr>
      </w:pPr>
    </w:p>
    <w:p>
      <w:pPr>
        <w:ind w:left="940" w:right="360" w:hanging="949"/>
        <w:spacing w:after="0" w:line="334"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10.24*</w:t>
      </w:r>
      <w:r>
        <w:rPr>
          <w:sz w:val="20"/>
          <w:szCs w:val="20"/>
          <w:color w:val="auto"/>
        </w:rPr>
        <w:tab/>
      </w:r>
      <w:hyperlink r:id="rId139">
        <w:r>
          <w:rPr>
            <w:rFonts w:ascii="Arial" w:cs="Arial" w:eastAsia="Arial" w:hAnsi="Arial"/>
            <w:sz w:val="16"/>
            <w:szCs w:val="16"/>
            <w:u w:val="single" w:color="auto"/>
            <w:color w:val="0000EE"/>
          </w:rPr>
          <w:t>Form of Agreement evidencing a February 20, 2014 grant of Performance-Based Stock Units under the 2008 Incentive Compensation Plan</w:t>
        </w:r>
      </w:hyperlink>
      <w:r>
        <w:rPr>
          <w:rFonts w:ascii="Arial" w:cs="Arial" w:eastAsia="Arial" w:hAnsi="Arial"/>
          <w:sz w:val="16"/>
          <w:szCs w:val="16"/>
          <w:u w:val="single" w:color="auto"/>
          <w:color w:val="0000EE"/>
        </w:rPr>
        <w:t xml:space="preserve"> </w:t>
      </w:r>
      <w:hyperlink r:id="rId139">
        <w:r>
          <w:rPr>
            <w:rFonts w:ascii="Arial" w:cs="Arial" w:eastAsia="Arial" w:hAnsi="Arial"/>
            <w:sz w:val="16"/>
            <w:szCs w:val="16"/>
            <w:u w:val="single" w:color="auto"/>
            <w:color w:val="0000EE"/>
          </w:rPr>
          <w:t>(incorporated by reference to Exhibit 10.55 to the Registrant’s Quarterly Report (File No. 001-32492) on Form 10-Q filed May 6, 2014).</w:t>
        </w:r>
      </w:hyperlink>
    </w:p>
    <w:p>
      <w:pPr>
        <w:spacing w:after="0" w:line="1" w:lineRule="exact"/>
        <w:rPr>
          <w:sz w:val="20"/>
          <w:szCs w:val="20"/>
          <w:color w:val="auto"/>
        </w:rPr>
      </w:pPr>
    </w:p>
    <w:p>
      <w:pPr>
        <w:ind w:left="940" w:right="42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40">
        <w:r>
          <w:rPr>
            <w:rFonts w:ascii="Arial" w:cs="Arial" w:eastAsia="Arial" w:hAnsi="Arial"/>
            <w:sz w:val="18"/>
            <w:szCs w:val="18"/>
            <w:u w:val="single" w:color="auto"/>
            <w:color w:val="0000EE"/>
          </w:rPr>
          <w:t>Agreement between the Company and Kenneth M. Jacobs, dated as of February 20, 2014, evidencing a grant of Performance-Based Stock</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Units under the 2008 Incentive Compensation Plan (incorporated by reference to Exhibit 10.56 to the Registrant’s Quarterly Report</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(File No. 001-32492) on Form 10-Q filed on May 6, 2014).</w:t>
        </w:r>
      </w:hyperlink>
    </w:p>
    <w:p>
      <w:pPr>
        <w:spacing w:after="0" w:line="262" w:lineRule="exact"/>
        <w:rPr>
          <w:rFonts w:ascii="Arial" w:cs="Arial" w:eastAsia="Arial" w:hAnsi="Arial"/>
          <w:sz w:val="18"/>
          <w:szCs w:val="18"/>
          <w:u w:val="single" w:color="auto"/>
          <w:color w:val="0000EE"/>
        </w:rPr>
      </w:pPr>
    </w:p>
    <w:p>
      <w:pPr>
        <w:jc w:val="center"/>
        <w:ind w:right="100"/>
        <w:spacing w:after="0"/>
        <w:rPr>
          <w:sz w:val="20"/>
          <w:szCs w:val="20"/>
          <w:color w:val="auto"/>
        </w:rPr>
      </w:pPr>
      <w:r>
        <w:rPr>
          <w:rFonts w:ascii="Arial" w:cs="Arial" w:eastAsia="Arial" w:hAnsi="Arial"/>
          <w:sz w:val="18"/>
          <w:szCs w:val="18"/>
          <w:color w:val="auto"/>
        </w:rPr>
        <w:t>68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40" w:top="422"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Arial" w:cs="Arial" w:eastAsia="Arial" w:hAnsi="Arial"/>
                <w:sz w:val="18"/>
                <w:szCs w:val="18"/>
                <w:color w:val="auto"/>
              </w:rPr>
              <w:t>10.26*</w:t>
            </w:r>
          </w:p>
        </w:tc>
        <w:tc>
          <w:tcPr>
            <w:tcW w:w="10240" w:type="dxa"/>
            <w:vAlign w:val="bottom"/>
            <w:tcBorders>
              <w:bottom w:val="single" w:sz="8" w:color="0000EE"/>
            </w:tcBorders>
            <w:gridSpan w:val="9"/>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Form of Agreement evidencing a grant of Restricted Stock under the 2008 Incentive Compensation Plan (incorporated by reference to Exhibit</w:t>
              </w:r>
            </w:hyperlink>
          </w:p>
        </w:tc>
      </w:tr>
      <w:tr>
        <w:trPr>
          <w:trHeight w:val="196"/>
        </w:trPr>
        <w:tc>
          <w:tcPr>
            <w:tcW w:w="1040" w:type="dxa"/>
            <w:vAlign w:val="bottom"/>
          </w:tcPr>
          <w:p>
            <w:pPr>
              <w:spacing w:after="0"/>
              <w:rPr>
                <w:sz w:val="17"/>
                <w:szCs w:val="17"/>
                <w:color w:val="auto"/>
              </w:rPr>
            </w:pPr>
          </w:p>
        </w:tc>
        <w:tc>
          <w:tcPr>
            <w:tcW w:w="75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55</w:t>
              </w:r>
              <w:r>
                <w:rPr>
                  <w:rFonts w:ascii="Arial" w:cs="Arial" w:eastAsia="Arial" w:hAnsi="Arial"/>
                  <w:sz w:val="18"/>
                  <w:szCs w:val="18"/>
                  <w:color w:val="0000EE"/>
                  <w:w w:val="92"/>
                </w:rPr>
                <w:t xml:space="preserve"> to the Registrant’s Quarterly Report (File No. 001-32492) on Form 10-Q filed on April 30, 2010).</w:t>
              </w:r>
            </w:hyperlink>
          </w:p>
        </w:tc>
        <w:tc>
          <w:tcPr>
            <w:tcW w:w="2740" w:type="dxa"/>
            <w:vAlign w:val="bottom"/>
            <w:gridSpan w:val="2"/>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10.27*</w:t>
            </w:r>
          </w:p>
        </w:tc>
        <w:tc>
          <w:tcPr>
            <w:tcW w:w="9880" w:type="dxa"/>
            <w:vAlign w:val="bottom"/>
            <w:tcBorders>
              <w:bottom w:val="single" w:sz="8" w:color="0000EE"/>
            </w:tcBorders>
            <w:gridSpan w:val="8"/>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Form of Agreement evidencing a grant of Lazard Fund Interests (incorporated by reference to Exhibit 10.55 to the Registrant’s Quarterly</w:t>
              </w:r>
            </w:hyperlink>
          </w:p>
        </w:tc>
        <w:tc>
          <w:tcPr>
            <w:tcW w:w="36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9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Report (File No. 001-32492) on Form 10-Q filed on April 29, 2011).</w:t>
              </w:r>
            </w:hyperlink>
          </w:p>
        </w:tc>
        <w:tc>
          <w:tcPr>
            <w:tcW w:w="5280" w:type="dxa"/>
            <w:vAlign w:val="bottom"/>
            <w:gridSpan w:val="3"/>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12.1</w:t>
            </w:r>
          </w:p>
        </w:tc>
        <w:tc>
          <w:tcPr>
            <w:tcW w:w="3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Computation of Ratio of Earnings to Fixed Charges.</w:t>
              </w:r>
            </w:hyperlink>
          </w:p>
        </w:tc>
        <w:tc>
          <w:tcPr>
            <w:tcW w:w="6460" w:type="dxa"/>
            <w:vAlign w:val="bottom"/>
            <w:gridSpan w:val="4"/>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31.1</w:t>
            </w:r>
          </w:p>
        </w:tc>
        <w:tc>
          <w:tcPr>
            <w:tcW w:w="37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Rule 13a-14(a) Certification of Kenneth M. Jacobs.</w:t>
              </w:r>
            </w:hyperlink>
          </w:p>
        </w:tc>
        <w:tc>
          <w:tcPr>
            <w:tcW w:w="6520" w:type="dxa"/>
            <w:vAlign w:val="bottom"/>
            <w:gridSpan w:val="5"/>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10240" w:type="dxa"/>
            <w:vAlign w:val="bottom"/>
            <w:gridSpan w:val="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Rule 13a-14(a) Certification of Evan L. Russo.</w:t>
              </w:r>
            </w:hyperlink>
          </w:p>
        </w:tc>
      </w:tr>
      <w:tr>
        <w:trPr>
          <w:trHeight w:val="20"/>
        </w:trPr>
        <w:tc>
          <w:tcPr>
            <w:tcW w:w="104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36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Section 1350 Certification for Kenneth M. Jacobs.</w:t>
              </w:r>
            </w:hyperlink>
          </w:p>
        </w:tc>
        <w:tc>
          <w:tcPr>
            <w:tcW w:w="6600" w:type="dxa"/>
            <w:vAlign w:val="bottom"/>
            <w:gridSpan w:val="6"/>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10240" w:type="dxa"/>
            <w:vAlign w:val="bottom"/>
            <w:gridSpan w:val="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Section 1350 Certification for Evan L. Russo.</w:t>
              </w:r>
            </w:hyperlink>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33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6940" w:type="dxa"/>
            <w:vAlign w:val="bottom"/>
            <w:gridSpan w:val="8"/>
          </w:tcPr>
          <w:p>
            <w:pPr>
              <w:spacing w:after="0"/>
              <w:rPr>
                <w:sz w:val="24"/>
                <w:szCs w:val="24"/>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9"/>
          </w:tcPr>
          <w:p>
            <w:pPr>
              <w:spacing w:after="0"/>
              <w:rPr>
                <w:sz w:val="20"/>
                <w:szCs w:val="20"/>
                <w:color w:val="auto"/>
              </w:rPr>
            </w:pPr>
            <w:r>
              <w:rPr>
                <w:rFonts w:ascii="Arial" w:cs="Arial" w:eastAsia="Arial" w:hAnsi="Arial"/>
                <w:sz w:val="18"/>
                <w:szCs w:val="18"/>
                <w:color w:val="auto"/>
              </w:rPr>
              <w:t>XBRL Taxonomy Extension Schema</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2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2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2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2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090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4"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24" w:right="37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Evan L. Russo</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Evan L. Russo</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r>
      <w:tr>
        <w:trPr>
          <w:trHeight w:val="45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Dominick Ragone</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Dominick Ragone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3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March 31, 2018</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jc w:val="right"/>
              <w:ind w:right="65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185,828</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825,446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517,461</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(16,620)</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519,465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216,807</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Add—Fixed charges</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20,154</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77,716</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73,654</w:t>
            </w:r>
          </w:p>
        </w:tc>
        <w:tc>
          <w:tcPr>
            <w:tcW w:w="3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75,109</w:t>
            </w:r>
          </w:p>
        </w:tc>
        <w:tc>
          <w:tcPr>
            <w:tcW w:w="3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86,066</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103,668</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 before fixed charges</w:t>
            </w: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205,982</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903,162</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591,115</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58,489</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605,531</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320,475</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(b)</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13,507</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53,518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50,292</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51,159</w:t>
            </w:r>
          </w:p>
        </w:tc>
        <w:tc>
          <w:tcPr>
            <w:tcW w:w="3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62,570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79,381</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(c)</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6,647</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24,198</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23,362</w:t>
            </w:r>
          </w:p>
        </w:tc>
        <w:tc>
          <w:tcPr>
            <w:tcW w:w="3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23,950</w:t>
            </w:r>
          </w:p>
        </w:tc>
        <w:tc>
          <w:tcPr>
            <w:tcW w:w="3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23,496</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24,287</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fixed charges</w:t>
            </w: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20,154</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77,716</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73,654</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75,109</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86,066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103,668</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Ratio of earnings to fixed charges</w:t>
            </w: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34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w w:val="99"/>
              </w:rPr>
              <w:t>(d)</w:t>
            </w: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3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w w:val="90"/>
              </w:rPr>
              <w:t>(e)</w:t>
            </w: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3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(f)</w:t>
            </w:r>
          </w:p>
        </w:tc>
        <w:tc>
          <w:tcPr>
            <w:tcW w:w="1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(g)</w:t>
            </w:r>
          </w:p>
        </w:tc>
        <w:tc>
          <w:tcPr>
            <w:tcW w:w="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3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w w:val="90"/>
              </w:rPr>
              <w:t>(h)</w:t>
            </w:r>
          </w:p>
        </w:tc>
        <w:tc>
          <w:tcPr>
            <w:tcW w:w="0" w:type="dxa"/>
            <w:vAlign w:val="bottom"/>
          </w:tcPr>
          <w:p>
            <w:pPr>
              <w:spacing w:after="0"/>
              <w:rPr>
                <w:sz w:val="1"/>
                <w:szCs w:val="1"/>
                <w:color w:val="auto"/>
              </w:rPr>
            </w:pPr>
          </w:p>
        </w:tc>
      </w:tr>
      <w:tr>
        <w:trPr>
          <w:trHeight w:val="196"/>
        </w:trPr>
        <w:tc>
          <w:tcPr>
            <w:tcW w:w="452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Deficiency in the coverage of operating income</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before fixed charges to total fixed charges</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16,620</w:t>
            </w:r>
          </w:p>
        </w:tc>
        <w:tc>
          <w:tcPr>
            <w:tcW w:w="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5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17"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17"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Operating income for the three months ended March 31, 2018 is presented after giving effect to a charge of (i) $33 of acquisition-related costs, (ii)</w:t>
      </w:r>
    </w:p>
    <w:p>
      <w:pPr>
        <w:spacing w:after="0" w:line="59" w:lineRule="exact"/>
        <w:rPr>
          <w:rFonts w:ascii="Arial" w:cs="Arial" w:eastAsia="Arial" w:hAnsi="Arial"/>
          <w:sz w:val="16"/>
          <w:szCs w:val="16"/>
          <w:color w:val="auto"/>
        </w:rPr>
      </w:pPr>
    </w:p>
    <w:p>
      <w:pPr>
        <w:ind w:left="520" w:right="140"/>
        <w:spacing w:after="0" w:line="277" w:lineRule="auto"/>
        <w:rPr>
          <w:rFonts w:ascii="Arial" w:cs="Arial" w:eastAsia="Arial" w:hAnsi="Arial"/>
          <w:sz w:val="16"/>
          <w:szCs w:val="16"/>
          <w:color w:val="auto"/>
        </w:rPr>
      </w:pPr>
      <w:r>
        <w:rPr>
          <w:rFonts w:ascii="Arial" w:cs="Arial" w:eastAsia="Arial" w:hAnsi="Arial"/>
          <w:sz w:val="18"/>
          <w:szCs w:val="18"/>
          <w:color w:val="auto"/>
        </w:rPr>
        <w:t>$7,426 of expenses associated with the ERP system implementation and (iii) $1,389 of expenses related to office space reorganization. Excluding the impact of such charges, the ratio of earnings to fixed charges would have been 10.84.</w:t>
      </w:r>
    </w:p>
    <w:p>
      <w:pPr>
        <w:spacing w:after="0" w:line="62" w:lineRule="exact"/>
        <w:rPr>
          <w:rFonts w:ascii="Arial" w:cs="Arial" w:eastAsia="Arial" w:hAnsi="Arial"/>
          <w:sz w:val="16"/>
          <w:szCs w:val="16"/>
          <w:color w:val="auto"/>
        </w:rPr>
      </w:pPr>
    </w:p>
    <w:p>
      <w:pPr>
        <w:ind w:left="520" w:right="40" w:hanging="512"/>
        <w:spacing w:after="0" w:line="312" w:lineRule="auto"/>
        <w:tabs>
          <w:tab w:leader="none" w:pos="5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2017 is presented after giving effect to (i) $6,582 of acquisition-related costs, (ii) $25,308 of expenses associated with the ERP system implementation, (iii) $11,354 of expenses related to office space reorganization and (iv) $202,546 relating to the benefit pursuant to the tax receivable agreement. Excluding the impact of such items, the ratio of earnings to fixed charges would have been 9.56.</w:t>
      </w:r>
    </w:p>
    <w:p>
      <w:pPr>
        <w:spacing w:after="0" w:line="38" w:lineRule="exact"/>
        <w:rPr>
          <w:rFonts w:ascii="Arial" w:cs="Arial" w:eastAsia="Arial" w:hAnsi="Arial"/>
          <w:sz w:val="16"/>
          <w:szCs w:val="16"/>
          <w:color w:val="auto"/>
        </w:rPr>
      </w:pPr>
    </w:p>
    <w:p>
      <w:pPr>
        <w:ind w:left="520" w:right="40" w:hanging="512"/>
        <w:spacing w:after="0" w:line="297" w:lineRule="auto"/>
        <w:tabs>
          <w:tab w:leader="none" w:pos="5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2016 is presented after giving effect to a charge of (i) $3,148 associated with the redemption of the remaining portion of the 6.85% senior notes due June 2017 (the “2017 Notes”), (ii) $599 excess interest expense due to the period of time between the issuance of the 2027 Notes and the settlement of the redemption of the 2017 Notes, (iii) $34,092 of acquisition-related costs and (iv) $12,668 gain on the acquisition of MBA Lazard (which resulted from the increase in the fair value of the Company’s investment in MBA Lazard prior to the acquisition). Excluding the impact of such charges, the ratio of earnings to fixed charges would have been 8.43.</w:t>
      </w:r>
    </w:p>
    <w:p>
      <w:pPr>
        <w:spacing w:after="0" w:line="50" w:lineRule="exact"/>
        <w:rPr>
          <w:rFonts w:ascii="Arial" w:cs="Arial" w:eastAsia="Arial" w:hAnsi="Arial"/>
          <w:sz w:val="16"/>
          <w:szCs w:val="16"/>
          <w:color w:val="auto"/>
        </w:rPr>
      </w:pPr>
    </w:p>
    <w:p>
      <w:pPr>
        <w:ind w:left="520" w:hanging="512"/>
        <w:spacing w:after="0"/>
        <w:tabs>
          <w:tab w:leader="none" w:pos="5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2015 is presented after giving effect to a charge of (i) $60,219 associated with the redemption of</w:t>
      </w:r>
    </w:p>
    <w:p>
      <w:pPr>
        <w:spacing w:after="0" w:line="46" w:lineRule="exact"/>
        <w:rPr>
          <w:rFonts w:ascii="Arial" w:cs="Arial" w:eastAsia="Arial" w:hAnsi="Arial"/>
          <w:sz w:val="16"/>
          <w:szCs w:val="16"/>
          <w:color w:val="auto"/>
        </w:rPr>
      </w:pPr>
    </w:p>
    <w:p>
      <w:pPr>
        <w:ind w:left="520" w:right="20"/>
        <w:spacing w:after="0" w:line="295" w:lineRule="auto"/>
        <w:rPr>
          <w:rFonts w:ascii="Arial" w:cs="Arial" w:eastAsia="Arial" w:hAnsi="Arial"/>
          <w:sz w:val="16"/>
          <w:szCs w:val="16"/>
          <w:color w:val="auto"/>
        </w:rPr>
      </w:pPr>
      <w:r>
        <w:rPr>
          <w:rFonts w:ascii="Arial" w:cs="Arial" w:eastAsia="Arial" w:hAnsi="Arial"/>
          <w:sz w:val="16"/>
          <w:szCs w:val="16"/>
          <w:color w:val="auto"/>
        </w:rPr>
        <w:t>$450 million of the 2017 Notes, (ii) $2,655 excess interest expense due to the period of time between the issuance of the 2025 Notes and the settlement of the redemption of the 2017 Notes, (iii) $12,203 relating to a private equity revenue adjustment and (iv) $542,270 relating to the provision pursuant to the tax receivable agreement. Excluding the impact of such items, the ratio of earnings to fixed charges would have been 8.95. The Company’s net income for the year ended December 31, 2015, which was affected by a significant income tax benefit during such period, was $992,932.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ind w:left="512" w:hanging="512"/>
        <w:spacing w:after="0" w:line="259" w:lineRule="auto"/>
        <w:tabs>
          <w:tab w:leader="none" w:pos="512"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2013 is presented after giving effect to a charge of (i) $64,703 associated with the cost saving initiatives announced by the Company in October 2012, (ii) $54,087 pertaining to the refinancing of the 7.125% senior notes due May 2015 and the issuance of the 2020 Notes and (iii) $12,203 relating to private equity incentive compensation. Excluding the impact of such charge, the ratio of earnings to fixed charges would have been 4.35.</w:t>
      </w:r>
    </w:p>
    <w:p>
      <w:pPr>
        <w:sectPr>
          <w:pgSz w:w="11900" w:h="16838" w:orient="portrait"/>
          <w:cols w:equalWidth="0" w:num="1">
            <w:col w:w="11152"/>
          </w:cols>
          <w:pgMar w:left="248" w:top="125" w:right="49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2018 of Lazard Ltd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337"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Evan L. Russo, certify that:</w:t>
      </w:r>
    </w:p>
    <w:p>
      <w:pPr>
        <w:spacing w:after="0" w:line="117" w:lineRule="exact"/>
        <w:rPr>
          <w:sz w:val="20"/>
          <w:szCs w:val="20"/>
          <w:color w:val="auto"/>
        </w:rPr>
      </w:pPr>
    </w:p>
    <w:p>
      <w:pPr>
        <w:ind w:left="700" w:hanging="174"/>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2018 of Lazard Ltd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30,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March 31, 2018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30,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March 31, 2018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1."/>
      <w:numFmt w:val="decimal"/>
      <w:start w:val="2"/>
    </w:lvl>
  </w:abstractNum>
  <w:abstractNum w:abstractNumId="6">
    <w:nsid w:val="419AC241"/>
    <w:multiLevelType w:val="hybridMultilevel"/>
    <w:lvl w:ilvl="0">
      <w:lvlJc w:val="left"/>
      <w:lvlText w:val="%1."/>
      <w:numFmt w:val="decimal"/>
      <w:start w:val="3"/>
    </w:lvl>
  </w:abstractNum>
  <w:abstractNum w:abstractNumId="7">
    <w:nsid w:val="5577F8E1"/>
    <w:multiLevelType w:val="hybridMultilevel"/>
    <w:lvl w:ilvl="0">
      <w:lvlJc w:val="left"/>
      <w:lvlText w:val="(%1)"/>
      <w:numFmt w:val="lowerLetter"/>
      <w:start w:val="1"/>
    </w:lvl>
  </w:abstractNum>
  <w:abstractNum w:abstractNumId="8">
    <w:nsid w:val="440BADFC"/>
    <w:multiLevelType w:val="hybridMultilevel"/>
    <w:lvl w:ilvl="0">
      <w:lvlJc w:val="left"/>
      <w:lvlText w:val="%1."/>
      <w:numFmt w:val="decimal"/>
      <w:start w:val="4"/>
    </w:lvl>
  </w:abstractNum>
  <w:abstractNum w:abstractNumId="9">
    <w:nsid w:val="5072367"/>
    <w:multiLevelType w:val="hybridMultilevel"/>
    <w:lvl w:ilvl="0">
      <w:lvlJc w:val="left"/>
      <w:lvlText w:val="%1."/>
      <w:numFmt w:val="decimal"/>
      <w:start w:val="5"/>
    </w:lvl>
  </w:abstractNum>
  <w:abstractNum w:abstractNumId="10">
    <w:nsid w:val="3804823E"/>
    <w:multiLevelType w:val="hybridMultilevel"/>
    <w:lvl w:ilvl="0">
      <w:lvlJc w:val="left"/>
      <w:lvlText w:val="(%1)"/>
      <w:numFmt w:val="lowerLetter"/>
      <w:start w:val="1"/>
    </w:lvl>
  </w:abstractNum>
  <w:abstractNum w:abstractNumId="11">
    <w:nsid w:val="77465F01"/>
    <w:multiLevelType w:val="hybridMultilevel"/>
    <w:lvl w:ilvl="0">
      <w:lvlJc w:val="left"/>
      <w:lvlText w:val="%1."/>
      <w:numFmt w:val="decimal"/>
      <w:start w:val="6"/>
    </w:lvl>
  </w:abstractNum>
  <w:abstractNum w:abstractNumId="12">
    <w:nsid w:val="7724C67E"/>
    <w:multiLevelType w:val="hybridMultilevel"/>
    <w:lvl w:ilvl="0">
      <w:lvlJc w:val="left"/>
      <w:lvlText w:val="(%1)"/>
      <w:numFmt w:val="lowerLetter"/>
      <w:start w:val="1"/>
    </w:lvl>
  </w:abstractNum>
  <w:abstractNum w:abstractNumId="13">
    <w:nsid w:val="5C482A97"/>
    <w:multiLevelType w:val="hybridMultilevel"/>
    <w:lvl w:ilvl="0">
      <w:lvlJc w:val="left"/>
      <w:lvlText w:val="(%1)"/>
      <w:numFmt w:val="lowerLetter"/>
      <w:start w:val="1"/>
    </w:lvl>
  </w:abstractNum>
  <w:abstractNum w:abstractNumId="14">
    <w:nsid w:val="2463B9EA"/>
    <w:multiLevelType w:val="hybridMultilevel"/>
    <w:lvl w:ilvl="0">
      <w:lvlJc w:val="left"/>
      <w:lvlText w:val="(%1)"/>
      <w:numFmt w:val="lowerLetter"/>
      <w:start w:val="1"/>
    </w:lvl>
  </w:abstractNum>
  <w:abstractNum w:abstractNumId="15">
    <w:nsid w:val="5E884ADC"/>
    <w:multiLevelType w:val="hybridMultilevel"/>
    <w:lvl w:ilvl="0">
      <w:lvlJc w:val="left"/>
      <w:lvlText w:val="%1."/>
      <w:numFmt w:val="decimal"/>
      <w:start w:val="7"/>
    </w:lvl>
  </w:abstractNum>
  <w:abstractNum w:abstractNumId="16">
    <w:nsid w:val="51EAD36B"/>
    <w:multiLevelType w:val="hybridMultilevel"/>
    <w:lvl w:ilvl="0">
      <w:lvlJc w:val="left"/>
      <w:lvlText w:val="(%1)"/>
      <w:numFmt w:val="lowerLetter"/>
      <w:start w:val="1"/>
    </w:lvl>
  </w:abstractNum>
  <w:abstractNum w:abstractNumId="17">
    <w:nsid w:val="2D517796"/>
    <w:multiLevelType w:val="hybridMultilevel"/>
    <w:lvl w:ilvl="0">
      <w:lvlJc w:val="left"/>
      <w:lvlText w:val="%1."/>
      <w:numFmt w:val="decimal"/>
      <w:start w:val="8"/>
    </w:lvl>
  </w:abstractNum>
  <w:abstractNum w:abstractNumId="18">
    <w:nsid w:val="580BD78F"/>
    <w:multiLevelType w:val="hybridMultilevel"/>
    <w:lvl w:ilvl="0">
      <w:lvlJc w:val="left"/>
      <w:lvlText w:val="%1."/>
      <w:numFmt w:val="decimal"/>
      <w:start w:val="9"/>
    </w:lvl>
  </w:abstractNum>
  <w:abstractNum w:abstractNumId="19">
    <w:nsid w:val="153EA438"/>
    <w:multiLevelType w:val="hybridMultilevel"/>
    <w:lvl w:ilvl="0">
      <w:lvlJc w:val="left"/>
      <w:lvlText w:val="%1"/>
      <w:numFmt w:val="decimal"/>
      <w:start w:val="1"/>
    </w:lvl>
    <w:lvl w:ilvl="1">
      <w:lvlJc w:val="left"/>
      <w:lvlText w:val="(%2)"/>
      <w:numFmt w:val="lowerLetter"/>
      <w:start w:val="1"/>
    </w:lvl>
  </w:abstractNum>
  <w:abstractNum w:abstractNumId="20">
    <w:nsid w:val="3855585C"/>
    <w:multiLevelType w:val="hybridMultilevel"/>
    <w:lvl w:ilvl="0">
      <w:lvlJc w:val="left"/>
      <w:lvlText w:val="%1."/>
      <w:numFmt w:val="decimal"/>
      <w:start w:val="10"/>
    </w:lvl>
    <w:lvl w:ilvl="1">
      <w:lvlJc w:val="left"/>
      <w:lvlText w:val="%2"/>
      <w:numFmt w:val="lowerLetter"/>
      <w:start w:val="1"/>
    </w:lvl>
  </w:abstractNum>
  <w:abstractNum w:abstractNumId="21">
    <w:nsid w:val="70A64E2A"/>
    <w:multiLevelType w:val="hybridMultilevel"/>
    <w:lvl w:ilvl="0">
      <w:lvlJc w:val="left"/>
      <w:lvlText w:val="(%1)"/>
      <w:numFmt w:val="lowerLetter"/>
      <w:start w:val="1"/>
    </w:lvl>
  </w:abstractNum>
  <w:abstractNum w:abstractNumId="22">
    <w:nsid w:val="6A2342EC"/>
    <w:multiLevelType w:val="hybridMultilevel"/>
    <w:lvl w:ilvl="0">
      <w:lvlJc w:val="left"/>
      <w:lvlText w:val="%1."/>
      <w:numFmt w:val="decimal"/>
      <w:start w:val="11"/>
    </w:lvl>
  </w:abstractNum>
  <w:abstractNum w:abstractNumId="23">
    <w:nsid w:val="2A487CB0"/>
    <w:multiLevelType w:val="hybridMultilevel"/>
    <w:lvl w:ilvl="0">
      <w:lvlJc w:val="left"/>
      <w:lvlText w:val="%1."/>
      <w:numFmt w:val="decimal"/>
      <w:start w:val="12"/>
    </w:lvl>
  </w:abstractNum>
  <w:abstractNum w:abstractNumId="24">
    <w:nsid w:val="1D4ED43B"/>
    <w:multiLevelType w:val="hybridMultilevel"/>
    <w:lvl w:ilvl="0">
      <w:lvlJc w:val="left"/>
      <w:lvlText w:val="(%1)"/>
      <w:numFmt w:val="lowerLetter"/>
      <w:start w:val="1"/>
    </w:lvl>
  </w:abstractNum>
  <w:abstractNum w:abstractNumId="25">
    <w:nsid w:val="725A06FB"/>
    <w:multiLevelType w:val="hybridMultilevel"/>
    <w:lvl w:ilvl="0">
      <w:lvlJc w:val="left"/>
      <w:lvlText w:val="%1."/>
      <w:numFmt w:val="decimal"/>
      <w:start w:val="13"/>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decimal"/>
      <w:start w:val="14"/>
    </w:lvl>
  </w:abstractNum>
  <w:abstractNum w:abstractNumId="28">
    <w:nsid w:val="7A6D8D3C"/>
    <w:multiLevelType w:val="hybridMultilevel"/>
    <w:lvl w:ilvl="0">
      <w:lvlJc w:val="left"/>
      <w:lvlText w:val="%1."/>
      <w:numFmt w:val="decimal"/>
      <w:start w:val="15"/>
    </w:lvl>
  </w:abstractNum>
  <w:abstractNum w:abstractNumId="29">
    <w:nsid w:val="4B588F54"/>
    <w:multiLevelType w:val="hybridMultilevel"/>
    <w:lvl w:ilvl="0">
      <w:lvlJc w:val="left"/>
      <w:lvlText w:val="%1."/>
      <w:numFmt w:val="decimal"/>
      <w:start w:val="16"/>
    </w:lvl>
  </w:abstractNum>
  <w:abstractNum w:abstractNumId="30">
    <w:nsid w:val="542289EC"/>
    <w:multiLevelType w:val="hybridMultilevel"/>
    <w:lvl w:ilvl="0">
      <w:lvlJc w:val="left"/>
      <w:lvlText w:val="%1."/>
      <w:numFmt w:val="decimal"/>
      <w:start w:val="17"/>
    </w:lvl>
  </w:abstractNum>
  <w:abstractNum w:abstractNumId="31">
    <w:nsid w:val="6DE91B18"/>
    <w:multiLevelType w:val="hybridMultilevel"/>
    <w:lvl w:ilvl="0">
      <w:lvlJc w:val="left"/>
      <w:lvlText w:val="(%1)"/>
      <w:numFmt w:val="lowerRoman"/>
      <w:start w:val="1"/>
    </w:lvl>
  </w:abstractNum>
  <w:abstractNum w:abstractNumId="32">
    <w:nsid w:val="38437FDB"/>
    <w:multiLevelType w:val="hybridMultilevel"/>
    <w:lvl w:ilvl="0">
      <w:lvlJc w:val="left"/>
      <w:lvlText w:val="%1."/>
      <w:numFmt w:val="decimal"/>
      <w:start w:val="18"/>
    </w:lvl>
  </w:abstractNum>
  <w:abstractNum w:abstractNumId="33">
    <w:nsid w:val="7644A45C"/>
    <w:multiLevelType w:val="hybridMultilevel"/>
    <w:lvl w:ilvl="0">
      <w:lvlJc w:val="left"/>
      <w:lvlText w:val="%1."/>
      <w:numFmt w:val="decimal"/>
      <w:start w:val="19"/>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lvl w:ilvl="1">
      <w:lvlJc w:val="left"/>
      <w:lvlText w:val="(%2)"/>
      <w:numFmt w:val="lowerRoman"/>
      <w:start w:val="1"/>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lowerRoman"/>
      <w:start w:val="2"/>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2"/>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1)"/>
      <w:numFmt w:val="lowerLetter"/>
      <w:start w:val="2"/>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1)"/>
      <w:numFmt w:val="lowerRoman"/>
      <w:start w:val="3"/>
    </w:lvl>
  </w:abstractNum>
  <w:abstractNum w:abstractNumId="55">
    <w:nsid w:val="354FE9F9"/>
    <w:multiLevelType w:val="hybridMultilevel"/>
    <w:lvl w:ilvl="0">
      <w:lvlJc w:val="left"/>
      <w:lvlText w:val="(%1)"/>
      <w:numFmt w:val="decimal"/>
      <w:start w:val="1"/>
    </w:lvl>
  </w:abstractNum>
  <w:abstractNum w:abstractNumId="56">
    <w:nsid w:val="15B5AF5C"/>
    <w:multiLevelType w:val="hybridMultilevel"/>
    <w:lvl w:ilvl="0">
      <w:lvlJc w:val="left"/>
      <w:lvlText w:val="(%1)"/>
      <w:numFmt w:val="decimal"/>
      <w:start w:val="2"/>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lowerLetter"/>
      <w:start w:val="1"/>
    </w:lvl>
    <w:lvl w:ilvl="1">
      <w:lvlJc w:val="left"/>
      <w:lvlText w:val="•"/>
      <w:numFmt w:val="bullet"/>
      <w:start w:val="1"/>
    </w:lvl>
  </w:abstractNum>
  <w:abstractNum w:abstractNumId="59">
    <w:nsid w:val="10233C99"/>
    <w:multiLevelType w:val="hybridMultilevel"/>
    <w:lvl w:ilvl="0">
      <w:lvlJc w:val="left"/>
      <w:lvlText w:val="(%1)"/>
      <w:numFmt w:val="lowerLetter"/>
      <w:start w:val="8"/>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41" Type="http://schemas.openxmlformats.org/officeDocument/2006/relationships/image" Target="media/image98.png"/><Relationship Id="rId144" Type="http://schemas.openxmlformats.org/officeDocument/2006/relationships/image" Target="media/image99.png"/><Relationship Id="rId145"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03" Type="http://schemas.openxmlformats.org/officeDocument/2006/relationships/hyperlink" Target="http://www.sec.gov/Archives/edgar/data/1311370/000119312505056426/dex31.htm" TargetMode="External"/><Relationship Id="rId104" Type="http://schemas.openxmlformats.org/officeDocument/2006/relationships/hyperlink" Target="http://www.sec.gov/Archives/edgar/data/1311370/000119312505056426/dex32.htm" TargetMode="External"/><Relationship Id="rId105" Type="http://schemas.openxmlformats.org/officeDocument/2006/relationships/hyperlink" Target="http://www.sec.gov/Archives/edgar/data/1311370/000119312505126336/dex33.htm" TargetMode="External"/><Relationship Id="rId106" Type="http://schemas.openxmlformats.org/officeDocument/2006/relationships/hyperlink" Target="http://www.sec.gov/Archives/edgar/data/1311370/000119312508108332/dex34.htm" TargetMode="External"/><Relationship Id="rId107" Type="http://schemas.openxmlformats.org/officeDocument/2006/relationships/hyperlink" Target="http://www.sec.gov/Archives/edgar/data/1311370/000119312510102269/dex35.htm" TargetMode="External"/><Relationship Id="rId108" Type="http://schemas.openxmlformats.org/officeDocument/2006/relationships/hyperlink" Target="http://www.sec.gov/Archives/edgar/data/1311370/000119312505073325/dex41.htm" TargetMode="External"/><Relationship Id="rId109" Type="http://schemas.openxmlformats.org/officeDocument/2006/relationships/hyperlink" Target="http://www.sec.gov/Archives/edgar/data/1326141/000119312505145683/dex41.htm" TargetMode="External"/><Relationship Id="rId110" Type="http://schemas.openxmlformats.org/officeDocument/2006/relationships/hyperlink" Target="http://www.sec.gov/Archives/edgar/data/1311370/000119312507140226/dex41.htm" TargetMode="External"/><Relationship Id="rId111" Type="http://schemas.openxmlformats.org/officeDocument/2006/relationships/hyperlink" Target="http://www.sec.gov/Archives/edgar/data/1311370/000119312513442315/d627962dex41.htm" TargetMode="External"/><Relationship Id="rId112" Type="http://schemas.openxmlformats.org/officeDocument/2006/relationships/hyperlink" Target="http://www.sec.gov/Archives/edgar/data/1311370/000119312515050385/d871111dex41.htm" TargetMode="External"/><Relationship Id="rId113" Type="http://schemas.openxmlformats.org/officeDocument/2006/relationships/hyperlink" Target="http://www.sec.gov/Archives/edgar/data/1311370/000119312516760477/d43064dex41.htm" TargetMode="External"/><Relationship Id="rId114" Type="http://schemas.openxmlformats.org/officeDocument/2006/relationships/hyperlink" Target="http://www.sec.gov/Archives/edgar/data/1311370/000119312515355042/d41332dex101.htm" TargetMode="External"/><Relationship Id="rId115" Type="http://schemas.openxmlformats.org/officeDocument/2006/relationships/hyperlink" Target="http://www.sec.gov/Archives/edgar/data/1311370/000156459016026505/laz-ex102_1418.htm" TargetMode="External"/><Relationship Id="rId116" Type="http://schemas.openxmlformats.org/officeDocument/2006/relationships/hyperlink" Target="http://www.sec.gov/Archives/edgar/data/1311370/000119312515355042/d41332dex102.htm" TargetMode="External"/><Relationship Id="rId117" Type="http://schemas.openxmlformats.org/officeDocument/2006/relationships/hyperlink" Target="http://www.sec.gov/Archives/edgar/data/1311370/000119312505025486/dex1019.htm" TargetMode="External"/><Relationship Id="rId118" Type="http://schemas.openxmlformats.org/officeDocument/2006/relationships/hyperlink" Target="http://www.sec.gov/Archives/edgar/data/1311370/000119312511117012/dex1016.htm" TargetMode="External"/><Relationship Id="rId119" Type="http://schemas.openxmlformats.org/officeDocument/2006/relationships/hyperlink" Target="http://www.sec.gov/Archives/edgar/data/1311370/000119312505025486/dex1021.htm" TargetMode="External"/><Relationship Id="rId122" Type="http://schemas.openxmlformats.org/officeDocument/2006/relationships/hyperlink" Target="http://www.sec.gov/Archives/edgar/data/1311370/000119312505091140/dex1021.htm" TargetMode="External"/><Relationship Id="rId123" Type="http://schemas.openxmlformats.org/officeDocument/2006/relationships/hyperlink" Target="http://www.sec.gov/Archives/edgar/data/1311370/000119312508063107/ddef14a.htm" TargetMode="External"/><Relationship Id="rId124" Type="http://schemas.openxmlformats.org/officeDocument/2006/relationships/hyperlink" Target="http://www.sec.gov/Archives/edgar/data/1311370/000119312516500308/d128121ddef14a.htm" TargetMode="External"/><Relationship Id="rId125" Type="http://schemas.openxmlformats.org/officeDocument/2006/relationships/hyperlink" Target="http://www.sec.gov/Archives/edgar/data/1311370/000119312518082725/d525181ddef14a.htm" TargetMode="External"/><Relationship Id="rId126" Type="http://schemas.openxmlformats.org/officeDocument/2006/relationships/hyperlink" Target="http://www.sec.gov/Archives/edgar/data/1311370/000119312516556959/d150073dex109.htm" TargetMode="External"/><Relationship Id="rId127" Type="http://schemas.openxmlformats.org/officeDocument/2006/relationships/hyperlink" Target="http://www.sec.gov/Archives/edgar/data/1311370/000119312516556959/d150073dex1010.htm" TargetMode="External"/><Relationship Id="rId128" Type="http://schemas.openxmlformats.org/officeDocument/2006/relationships/hyperlink" Target="http://www.sec.gov/Archives/edgar/data/1311370/000119312516556959/d150073dex1011.htm" TargetMode="External"/><Relationship Id="rId129" Type="http://schemas.openxmlformats.org/officeDocument/2006/relationships/hyperlink" Target="http://www.sec.gov/Archives/edgar/data/1311370/000119312516556959/d150073dex1012.htm" TargetMode="External"/><Relationship Id="rId130" Type="http://schemas.openxmlformats.org/officeDocument/2006/relationships/hyperlink" Target="http://www.sec.gov/Archives/edgar/data/1311370/000156459017020405/laz-ex1014_1108.htm" TargetMode="External"/><Relationship Id="rId131" Type="http://schemas.openxmlformats.org/officeDocument/2006/relationships/hyperlink" Target="http://www.sec.gov/Archives/edgar/data/1311370/000156459017020405/laz-ex1015_1109.htm" TargetMode="External"/><Relationship Id="rId132" Type="http://schemas.openxmlformats.org/officeDocument/2006/relationships/hyperlink" Target="http://www.sec.gov/Archives/edgar/data/1311370/000119312516556959/d150073dex1013.htm" TargetMode="External"/><Relationship Id="rId133" Type="http://schemas.openxmlformats.org/officeDocument/2006/relationships/hyperlink" Target="http://www.sec.gov/Archives/edgar/data/1311370/000089882205001180/sept9_exhibit.txt" TargetMode="External"/><Relationship Id="rId134" Type="http://schemas.openxmlformats.org/officeDocument/2006/relationships/hyperlink" Target="http://www.sec.gov/Archives/edgar/data/1311370/000119312509041325/dex1041.htm" TargetMode="External"/><Relationship Id="rId135" Type="http://schemas.openxmlformats.org/officeDocument/2006/relationships/hyperlink" Target="http://www.sec.gov/Archives/edgar/data/1311370/000119312509041325/dex1042.htm" TargetMode="External"/><Relationship Id="rId136" Type="http://schemas.openxmlformats.org/officeDocument/2006/relationships/hyperlink" Target="http://www.sec.gov/Archives/edgar/data/1311370/000119312506109044/dex1039.htm" TargetMode="External"/><Relationship Id="rId137" Type="http://schemas.openxmlformats.org/officeDocument/2006/relationships/hyperlink" Target="http://www.sec.gov/Archives/edgar/data/1311370/000119312515355042/d41332dex1027.htm" TargetMode="External"/><Relationship Id="rId138" Type="http://schemas.openxmlformats.org/officeDocument/2006/relationships/hyperlink" Target="http://www.sec.gov/Archives/edgar/data/1311370/000119312513188120/d498095dex1055.htm" TargetMode="External"/><Relationship Id="rId139" Type="http://schemas.openxmlformats.org/officeDocument/2006/relationships/hyperlink" Target="http://www.sec.gov/Archives/edgar/data/1311370/000119312514184963/d687179dex1055.htm" TargetMode="External"/><Relationship Id="rId140" Type="http://schemas.openxmlformats.org/officeDocument/2006/relationships/hyperlink" Target="http://www.sec.gov/Archives/edgar/data/1311370/000119312514184963/d687179dex1056.htm" TargetMode="External"/><Relationship Id="rId142" Type="http://schemas.openxmlformats.org/officeDocument/2006/relationships/hyperlink" Target="http://www.sec.gov/Archives/edgar/data/1311370/000119312510102269/dex1055.htm" TargetMode="External"/><Relationship Id="rId143" Type="http://schemas.openxmlformats.org/officeDocument/2006/relationships/hyperlink" Target="http://www.sec.gov/Archives/edgar/data/1311370/000119312511117012/dex105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2019-12-28T22:58:33Z</dcterms:created>
  <dcterms:modified xsi:type="dcterms:W3CDTF">2019-12-28T22:58:33Z</dcterms:modified>
</cp:coreProperties>
</file>