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17, 2026.</w:t>
      </w:r>
    </w:p>
    <w:p>
      <w:pPr>
        <w:spacing w:after="0" w:line="14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3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1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Lazard, Inc.</w:t>
      </w:r>
    </w:p>
    <w:p>
      <w:pPr>
        <w:spacing w:after="0" w:line="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53" w:lineRule="exact"/>
        <w:rPr>
          <w:sz w:val="24"/>
          <w:szCs w:val="24"/>
          <w:color w:val="auto"/>
        </w:rPr>
      </w:pPr>
    </w:p>
    <w:tbl>
      <w:tblPr>
        <w:tblLayout w:type="fixed"/>
        <w:tblInd w:w="1860" w:type="dxa"/>
        <w:tblCellMar>
          <w:top w:w="0" w:type="dxa"/>
          <w:left w:w="0" w:type="dxa"/>
          <w:bottom w:w="0" w:type="dxa"/>
          <w:right w:w="0" w:type="dxa"/>
        </w:tblCellMar>
      </w:tblPr>
      <w:tr>
        <w:trPr>
          <w:trHeight w:val="161"/>
        </w:trPr>
        <w:tc>
          <w:tcPr>
            <w:tcW w:w="3980" w:type="dxa"/>
            <w:vAlign w:val="bottom"/>
          </w:tcPr>
          <w:p>
            <w:pPr>
              <w:jc w:val="center"/>
              <w:ind w:right="202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220" w:type="dxa"/>
            <w:vAlign w:val="bottom"/>
          </w:tcPr>
          <w:p>
            <w:pPr>
              <w:jc w:val="center"/>
              <w:ind w:left="2029"/>
              <w:spacing w:after="0"/>
              <w:rPr>
                <w:sz w:val="20"/>
                <w:szCs w:val="20"/>
                <w:color w:val="auto"/>
              </w:rPr>
            </w:pPr>
            <w:r>
              <w:rPr>
                <w:rFonts w:ascii="Times New Roman" w:cs="Times New Roman" w:eastAsia="Times New Roman" w:hAnsi="Times New Roman"/>
                <w:sz w:val="14"/>
                <w:szCs w:val="14"/>
                <w:b w:val="1"/>
                <w:bCs w:val="1"/>
                <w:color w:val="auto"/>
              </w:rPr>
              <w:t>98-0437848</w:t>
            </w:r>
          </w:p>
        </w:tc>
      </w:tr>
      <w:tr>
        <w:trPr>
          <w:trHeight w:val="145"/>
        </w:trPr>
        <w:tc>
          <w:tcPr>
            <w:tcW w:w="3980" w:type="dxa"/>
            <w:vAlign w:val="bottom"/>
          </w:tcPr>
          <w:p>
            <w:pPr>
              <w:jc w:val="center"/>
              <w:ind w:right="2049"/>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20" w:type="dxa"/>
            <w:vAlign w:val="bottom"/>
          </w:tcPr>
          <w:p>
            <w:pPr>
              <w:jc w:val="center"/>
              <w:ind w:left="2029"/>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3980" w:type="dxa"/>
            <w:vAlign w:val="bottom"/>
          </w:tcPr>
          <w:p>
            <w:pPr>
              <w:jc w:val="center"/>
              <w:ind w:right="204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20" w:type="dxa"/>
            <w:vAlign w:val="bottom"/>
          </w:tcPr>
          <w:p>
            <w:pPr>
              <w:jc w:val="center"/>
              <w:ind w:left="202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3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30 Rockefeller Plaza</w:t>
      </w:r>
    </w:p>
    <w:p>
      <w:pPr>
        <w:spacing w:after="0" w:line="3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York, New York 10112</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(212) 632-6000</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Lazard, Inc. 2018 Incentive Compensation Plan</w:t>
      </w:r>
    </w:p>
    <w:p>
      <w:pPr>
        <w:spacing w:after="0" w:line="3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1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Christian A. Weideman</w:t>
      </w:r>
    </w:p>
    <w:p>
      <w:pPr>
        <w:spacing w:after="0" w:line="3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Lazard, Inc.</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30 Rockefeller Plaza</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York, New York 10112</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(212) 632-6000</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1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Catherine M. Clarkin</w:t>
      </w:r>
    </w:p>
    <w:p>
      <w:pPr>
        <w:spacing w:after="0" w:line="3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Stephen M. Salley</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Sullivan &amp; Cromwell LLP</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125 Broad Street</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York, New York 10004</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(212) 558-4000</w:t>
      </w:r>
    </w:p>
    <w:p>
      <w:pPr>
        <w:spacing w:after="0" w:line="135" w:lineRule="exact"/>
        <w:rPr>
          <w:sz w:val="24"/>
          <w:szCs w:val="24"/>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5"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42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27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414"/>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4220" w:type="dxa"/>
            <w:vAlign w:val="bottom"/>
            <w:vMerge w:val="restart"/>
          </w:tcPr>
          <w:p>
            <w:pPr>
              <w:ind w:left="6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(Do not check if a smaller reporting company)</w:t>
            </w:r>
          </w:p>
        </w:tc>
        <w:tc>
          <w:tcPr>
            <w:tcW w:w="27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87"/>
        </w:trPr>
        <w:tc>
          <w:tcPr>
            <w:tcW w:w="1980" w:type="dxa"/>
            <w:vAlign w:val="bottom"/>
          </w:tcPr>
          <w:p>
            <w:pPr>
              <w:spacing w:after="0"/>
              <w:rPr>
                <w:sz w:val="16"/>
                <w:szCs w:val="16"/>
                <w:color w:val="auto"/>
              </w:rPr>
            </w:pPr>
          </w:p>
        </w:tc>
        <w:tc>
          <w:tcPr>
            <w:tcW w:w="4220" w:type="dxa"/>
            <w:vAlign w:val="bottom"/>
            <w:vMerge w:val="continue"/>
          </w:tcPr>
          <w:p>
            <w:pPr>
              <w:spacing w:after="0"/>
              <w:rPr>
                <w:sz w:val="16"/>
                <w:szCs w:val="16"/>
                <w:color w:val="auto"/>
              </w:rPr>
            </w:pPr>
          </w:p>
        </w:tc>
        <w:tc>
          <w:tcPr>
            <w:tcW w:w="2760" w:type="dxa"/>
            <w:vAlign w:val="bottom"/>
          </w:tcPr>
          <w:p>
            <w:pPr>
              <w:spacing w:after="0"/>
              <w:rPr>
                <w:sz w:val="16"/>
                <w:szCs w:val="16"/>
                <w:color w:val="auto"/>
              </w:rPr>
            </w:pPr>
          </w:p>
        </w:tc>
        <w:tc>
          <w:tcPr>
            <w:tcW w:w="580" w:type="dxa"/>
            <w:vAlign w:val="bottom"/>
            <w:vMerge w:val="restart"/>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27"/>
        </w:trPr>
        <w:tc>
          <w:tcPr>
            <w:tcW w:w="19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7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Emerging growth company</w:t>
            </w: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19"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160"/>
          </w:cols>
          <w:pgMar w:left="320" w:top="1440" w:right="41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Registration Statement is filed by Lazard, Inc (the “Company”) pursuant to General Instruction E to Form S-8. The contents of the Registration Statements on Form S-8 previously filed on April 30, 2018 (No. 333-224552) and February 23, 2023 (No. 333-269977), each as amended on February 2, 2024, are incorporated by reference herein and made a part hereof, except as supplemented, amended or superseded by the information set forth below. This Registration Statement on Form S-8 is filed by the Company to register an additional 45,000,000 shares of the Company’s common stock, par value $0.01 per share, that may become issuable under the Lazard, Inc. 2018 Incentive Compensation Plan, as amended.</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Certificate of Incorporation of Lazard, Inc. (incorporated by reference to Exhibit 3.1 to the Company’s Current Report (File No. 001-</w:t>
            </w:r>
          </w:p>
        </w:tc>
      </w:tr>
      <w:tr>
        <w:trPr>
          <w:trHeight w:val="233"/>
        </w:trPr>
        <w:tc>
          <w:tcPr>
            <w:tcW w:w="1040" w:type="dxa"/>
            <w:vAlign w:val="bottom"/>
          </w:tcPr>
          <w:p>
            <w:pPr>
              <w:spacing w:after="0"/>
              <w:rPr>
                <w:sz w:val="20"/>
                <w:szCs w:val="20"/>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32492) on Form 8-K filed on January 2, 2024).</w:t>
            </w:r>
          </w:p>
        </w:tc>
      </w:tr>
      <w:tr>
        <w:trPr>
          <w:trHeight w:val="181"/>
        </w:trPr>
        <w:tc>
          <w:tcPr>
            <w:tcW w:w="10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992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auto"/>
                <w:w w:val="98"/>
              </w:rPr>
              <w:t>Certificate of Amendment, dated May 22, 2026, to the Certificate of Incorporation of Lazard, Inc. (incorporated by reference to Exhibit 3.1</w:t>
            </w:r>
          </w:p>
        </w:tc>
      </w:tr>
      <w:tr>
        <w:trPr>
          <w:trHeight w:val="233"/>
        </w:trPr>
        <w:tc>
          <w:tcPr>
            <w:tcW w:w="1040" w:type="dxa"/>
            <w:vAlign w:val="bottom"/>
          </w:tcPr>
          <w:p>
            <w:pPr>
              <w:spacing w:after="0"/>
              <w:rPr>
                <w:sz w:val="20"/>
                <w:szCs w:val="20"/>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 the Company’s Current Report (File No. 001-32492) on Form 8-K filed on May 22, 2026).</w:t>
            </w:r>
          </w:p>
        </w:tc>
      </w:tr>
      <w:tr>
        <w:trPr>
          <w:trHeight w:val="181"/>
        </w:trPr>
        <w:tc>
          <w:tcPr>
            <w:tcW w:w="10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3.3</w:t>
            </w:r>
          </w:p>
        </w:tc>
        <w:tc>
          <w:tcPr>
            <w:tcW w:w="992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auto"/>
                <w:w w:val="99"/>
              </w:rPr>
              <w:t>Amended and Restated By-Laws of Lazard, Inc. (incorporated by reference to Exhibit 3.2 to the Company’s Current Report (File No. 001-</w:t>
            </w:r>
          </w:p>
        </w:tc>
      </w:tr>
      <w:tr>
        <w:trPr>
          <w:trHeight w:val="233"/>
        </w:trPr>
        <w:tc>
          <w:tcPr>
            <w:tcW w:w="1040" w:type="dxa"/>
            <w:vAlign w:val="bottom"/>
          </w:tcPr>
          <w:p>
            <w:pPr>
              <w:spacing w:after="0"/>
              <w:rPr>
                <w:sz w:val="20"/>
                <w:szCs w:val="20"/>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32492) on Form 8-K filed on May 22, 2026).</w:t>
            </w:r>
          </w:p>
        </w:tc>
      </w:tr>
      <w:tr>
        <w:trPr>
          <w:trHeight w:val="195"/>
        </w:trPr>
        <w:tc>
          <w:tcPr>
            <w:tcW w:w="10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5.1*</w:t>
            </w:r>
          </w:p>
        </w:tc>
        <w:tc>
          <w:tcPr>
            <w:tcW w:w="992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Opinion of Sullivan &amp; Cromwell LLP</w:t>
            </w:r>
            <w:r>
              <w:rPr>
                <w:rFonts w:ascii="Times New Roman" w:cs="Times New Roman" w:eastAsia="Times New Roman" w:hAnsi="Times New Roman"/>
                <w:sz w:val="18"/>
                <w:szCs w:val="18"/>
                <w:color w:val="000000"/>
              </w:rPr>
              <w:t>.</w:t>
            </w:r>
          </w:p>
        </w:tc>
      </w:tr>
      <w:tr>
        <w:trPr>
          <w:trHeight w:val="20"/>
        </w:trPr>
        <w:tc>
          <w:tcPr>
            <w:tcW w:w="104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992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Lazard, Inc. 2018 Incentive Compensation Plan (incorporated by reference to Annex B to the Company’s Definitive Proxy Statement on</w:t>
            </w:r>
          </w:p>
        </w:tc>
      </w:tr>
      <w:tr>
        <w:trPr>
          <w:trHeight w:val="233"/>
        </w:trPr>
        <w:tc>
          <w:tcPr>
            <w:tcW w:w="1040" w:type="dxa"/>
            <w:vAlign w:val="bottom"/>
          </w:tcPr>
          <w:p>
            <w:pPr>
              <w:spacing w:after="0"/>
              <w:rPr>
                <w:sz w:val="20"/>
                <w:szCs w:val="20"/>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Schedule 14A (File No. 001-32492) filed on March 15, 2018).</w:t>
            </w:r>
          </w:p>
        </w:tc>
      </w:tr>
      <w:tr>
        <w:trPr>
          <w:trHeight w:val="195"/>
        </w:trPr>
        <w:tc>
          <w:tcPr>
            <w:tcW w:w="10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10.2*</w:t>
            </w:r>
          </w:p>
        </w:tc>
        <w:tc>
          <w:tcPr>
            <w:tcW w:w="992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Third Amendment to the Lazard, Inc. 2018 Incentive Compensation Plan.</w:t>
            </w:r>
          </w:p>
        </w:tc>
      </w:tr>
      <w:tr>
        <w:trPr>
          <w:trHeight w:val="20"/>
        </w:trPr>
        <w:tc>
          <w:tcPr>
            <w:tcW w:w="1040" w:type="dxa"/>
            <w:vAlign w:val="bottom"/>
          </w:tcPr>
          <w:p>
            <w:pPr>
              <w:spacing w:after="0" w:line="20" w:lineRule="exact"/>
              <w:rPr>
                <w:sz w:val="1"/>
                <w:szCs w:val="1"/>
                <w:color w:val="auto"/>
              </w:rPr>
            </w:pPr>
          </w:p>
        </w:tc>
        <w:tc>
          <w:tcPr>
            <w:tcW w:w="4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Fourth Amendment to the Lazard, Inc. 2018 Incentive Compensation Plan</w:t>
            </w:r>
            <w:r>
              <w:rPr>
                <w:rFonts w:ascii="Times New Roman" w:cs="Times New Roman" w:eastAsia="Times New Roman" w:hAnsi="Times New Roman"/>
                <w:sz w:val="18"/>
                <w:szCs w:val="18"/>
                <w:color w:val="000000"/>
              </w:rPr>
              <w:t>.</w:t>
            </w:r>
          </w:p>
        </w:tc>
      </w:t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2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r>
              <w:rPr>
                <w:rFonts w:ascii="Times New Roman" w:cs="Times New Roman" w:eastAsia="Times New Roman" w:hAnsi="Times New Roman"/>
                <w:sz w:val="18"/>
                <w:szCs w:val="18"/>
                <w:color w:val="000000"/>
              </w:rPr>
              <w:t>.</w:t>
            </w:r>
          </w:p>
        </w:tc>
        <w:tc>
          <w:tcPr>
            <w:tcW w:w="4640" w:type="dxa"/>
            <w:vAlign w:val="bottom"/>
            <w:gridSpan w:val="2"/>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42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Sullivan &amp; Cromwell LLP (included in Exhibit 5.1).</w:t>
            </w:r>
          </w:p>
        </w:tc>
      </w:tr>
      <w:tr>
        <w:trPr>
          <w:trHeight w:val="20"/>
        </w:trPr>
        <w:tc>
          <w:tcPr>
            <w:tcW w:w="104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 to this Registration Statement)</w:t>
            </w:r>
            <w:r>
              <w:rPr>
                <w:rFonts w:ascii="Times New Roman" w:cs="Times New Roman" w:eastAsia="Times New Roman" w:hAnsi="Times New Roman"/>
                <w:sz w:val="18"/>
                <w:szCs w:val="18"/>
                <w:color w:val="000000"/>
              </w:rPr>
              <w:t>.</w:t>
            </w:r>
          </w:p>
        </w:tc>
      </w:tr>
      <w:tr>
        <w:trPr>
          <w:trHeight w:val="24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5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Filing Fee Table</w:t>
            </w:r>
          </w:p>
        </w:tc>
        <w:tc>
          <w:tcPr>
            <w:tcW w:w="4360" w:type="dxa"/>
            <w:vAlign w:val="bottom"/>
          </w:tcPr>
          <w:p>
            <w:pPr>
              <w:spacing w:after="0"/>
              <w:rPr>
                <w:sz w:val="21"/>
                <w:szCs w:val="21"/>
                <w:color w:val="auto"/>
              </w:rPr>
            </w:pPr>
          </w:p>
        </w:tc>
      </w:tr>
    </w:tbl>
    <w:p>
      <w:pPr>
        <w:spacing w:after="0" w:line="315" w:lineRule="exact"/>
        <w:rPr>
          <w:sz w:val="20"/>
          <w:szCs w:val="20"/>
          <w:color w:val="auto"/>
        </w:rPr>
      </w:pPr>
    </w:p>
    <w:p>
      <w:pPr>
        <w:ind w:left="400" w:hanging="313"/>
        <w:spacing w:after="0"/>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120"/>
          </w:cols>
          <w:pgMar w:left="320" w:top="1400"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8"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the 17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June, 2026.</w:t>
      </w:r>
    </w:p>
    <w:p>
      <w:pPr>
        <w:spacing w:after="0" w:line="10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LAZARD, INC.</w:t>
      </w:r>
    </w:p>
    <w:p>
      <w:pPr>
        <w:spacing w:after="0" w:line="224" w:lineRule="exact"/>
        <w:rPr>
          <w:sz w:val="20"/>
          <w:szCs w:val="20"/>
          <w:color w:val="auto"/>
        </w:rPr>
      </w:pPr>
    </w:p>
    <w:p>
      <w:pPr>
        <w:ind w:left="3860"/>
        <w:spacing w:after="0"/>
        <w:tabs>
          <w:tab w:leader="none" w:pos="4260" w:val="left"/>
        </w:tabs>
        <w:rPr>
          <w:sz w:val="20"/>
          <w:szCs w:val="20"/>
          <w:color w:val="auto"/>
        </w:rPr>
      </w:pPr>
      <w:r>
        <w:rPr>
          <w:rFonts w:ascii="Times New Roman" w:cs="Times New Roman" w:eastAsia="Times New Roman" w:hAnsi="Times New Roman"/>
          <w:sz w:val="18"/>
          <w:szCs w:val="18"/>
          <w:color w:val="auto"/>
        </w:rPr>
        <w:t>By:</w:t>
        <w:tab/>
        <w:t>/s/ Peter R. Orszag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-8890</wp:posOffset>
            </wp:positionV>
            <wp:extent cx="12998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6" w:lineRule="exact"/>
        <w:rPr>
          <w:sz w:val="20"/>
          <w:szCs w:val="20"/>
          <w:color w:val="auto"/>
        </w:rPr>
      </w:pPr>
    </w:p>
    <w:p>
      <w:pPr>
        <w:ind w:left="4040"/>
        <w:spacing w:after="0"/>
        <w:tabs>
          <w:tab w:leader="none" w:pos="4660" w:val="left"/>
        </w:tabs>
        <w:rPr>
          <w:sz w:val="20"/>
          <w:szCs w:val="20"/>
          <w:color w:val="auto"/>
        </w:rPr>
      </w:pPr>
      <w:r>
        <w:rPr>
          <w:rFonts w:ascii="Times New Roman" w:cs="Times New Roman" w:eastAsia="Times New Roman" w:hAnsi="Times New Roman"/>
          <w:sz w:val="18"/>
          <w:szCs w:val="18"/>
          <w:color w:val="auto"/>
        </w:rPr>
        <w:t>Name:</w:t>
        <w:tab/>
        <w:t>Peter R. Orszag</w:t>
      </w:r>
    </w:p>
    <w:p>
      <w:pPr>
        <w:spacing w:after="0" w:line="7" w:lineRule="exact"/>
        <w:rPr>
          <w:sz w:val="20"/>
          <w:szCs w:val="20"/>
          <w:color w:val="auto"/>
        </w:rPr>
      </w:pPr>
    </w:p>
    <w:p>
      <w:pPr>
        <w:ind w:left="4020"/>
        <w:spacing w:after="0"/>
        <w:tabs>
          <w:tab w:leader="none" w:pos="4560" w:val="left"/>
        </w:tabs>
        <w:rPr>
          <w:sz w:val="20"/>
          <w:szCs w:val="20"/>
          <w:color w:val="auto"/>
        </w:rPr>
      </w:pPr>
      <w:r>
        <w:rPr>
          <w:rFonts w:ascii="Times New Roman" w:cs="Times New Roman" w:eastAsia="Times New Roman" w:hAnsi="Times New Roman"/>
          <w:sz w:val="18"/>
          <w:szCs w:val="18"/>
          <w:color w:val="auto"/>
        </w:rPr>
        <w:t>Title:</w:t>
        <w:tab/>
        <w:t>Chief Executive Officer and Chairman</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KNOW ALL MEN BY THESE PRESENTS, that each person whose signature appears below hereby constitutes and appoints CHRISTIAN A. WEIDEMAN and SHARI L. SOLOWAY, and each of them (with full power to act alone), his or her true and lawful attorney-in-fact and agent, with full power of substitution and resubstitution, for him or her in his or her name, place and stead, in any and all capacities, to sign any and all amendments, including post-effective amendments, of and supplements to this Registration Statement, and to file the same with all exhibits thereto and other documents in connection therewith, with the Commission, granting unto any such attorney-in-fact and agent full power and authority to do and perform each and every act and thing requisite and necessary to be done in and about the premises, to all intents and purposes and as fully as they might or could do in person, hereby ratifying and confirming all that such attorneys-in-fact and agents, or any of their respective substitutes, may lawfully do or cause to be done by virtue hereof.</w:t>
      </w:r>
    </w:p>
    <w:p>
      <w:pPr>
        <w:spacing w:after="0" w:line="17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as amended, this Registration Statement has been signed by the following persons in the capacities and on the dates indicated.</w:t>
      </w:r>
    </w:p>
    <w:p>
      <w:pPr>
        <w:sectPr>
          <w:pgSz w:w="11900" w:h="16838" w:orient="portrait"/>
          <w:cols w:equalWidth="0" w:num="1">
            <w:col w:w="11240"/>
          </w:cols>
          <w:pgMar w:left="320" w:top="14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Peter R. Orszag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25400</wp:posOffset>
            </wp:positionV>
            <wp:extent cx="19850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5010" cy="1714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Peter R. Orszag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Tracy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25400</wp:posOffset>
            </wp:positionV>
            <wp:extent cx="19850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5010" cy="1714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Tracy Farr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Ann-Kristin Achleitner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25400</wp:posOffset>
            </wp:positionV>
            <wp:extent cx="19850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85010" cy="1714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Ann-Kristin Achleitner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Andrew M. Alper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25400</wp:posOffset>
            </wp:positionV>
            <wp:extent cx="19850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85010" cy="1714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Andrew M. Alper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Peter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25400</wp:posOffset>
            </wp:positionV>
            <wp:extent cx="19850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5010" cy="1714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Peter Harrison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Stephen R. Howe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25400</wp:posOffset>
            </wp:positionV>
            <wp:extent cx="1985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85010" cy="1714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Stephen R. Howe Jr.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Michelle Jarrard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25400</wp:posOffset>
            </wp:positionV>
            <wp:extent cx="1985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85010" cy="1714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Michelle Jarrard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Iris Knobloch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25400</wp:posOffset>
            </wp:positionV>
            <wp:extent cx="19850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85010" cy="1714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Iris Knobloch</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Dan Schulman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34290</wp:posOffset>
            </wp:positionV>
            <wp:extent cx="19850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85010" cy="1714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Dan Schulman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Dmitry Shevelenko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25400</wp:posOffset>
            </wp:positionV>
            <wp:extent cx="1985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85010" cy="1714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Dmitry Shevelenko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5"/>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Chairman, Chief Executive Officer and Director</w:t>
            </w:r>
          </w:p>
        </w:tc>
        <w:tc>
          <w:tcPr>
            <w:tcW w:w="2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June 17, 2026</w:t>
            </w:r>
          </w:p>
        </w:tc>
      </w:tr>
      <w:tr>
        <w:trPr>
          <w:trHeight w:val="165"/>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Principal Executive Officer</w:t>
            </w:r>
            <w:r>
              <w:rPr>
                <w:rFonts w:ascii="Times New Roman" w:cs="Times New Roman" w:eastAsia="Times New Roman" w:hAnsi="Times New Roman"/>
                <w:sz w:val="12"/>
                <w:szCs w:val="12"/>
                <w:color w:val="auto"/>
              </w:rPr>
              <w:t>)</w:t>
            </w:r>
          </w:p>
        </w:tc>
        <w:tc>
          <w:tcPr>
            <w:tcW w:w="2260" w:type="dxa"/>
            <w:vAlign w:val="bottom"/>
          </w:tcPr>
          <w:p>
            <w:pPr>
              <w:spacing w:after="0"/>
              <w:rPr>
                <w:sz w:val="14"/>
                <w:szCs w:val="14"/>
                <w:color w:val="auto"/>
              </w:rPr>
            </w:pPr>
          </w:p>
        </w:tc>
      </w:tr>
      <w:tr>
        <w:trPr>
          <w:trHeight w:val="38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c>
          <w:tcPr>
            <w:tcW w:w="2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June 17, 2026</w:t>
            </w:r>
          </w:p>
        </w:tc>
      </w:tr>
      <w:tr>
        <w:trPr>
          <w:trHeight w:val="165"/>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Principal Financial Officer</w:t>
            </w:r>
            <w:r>
              <w:rPr>
                <w:rFonts w:ascii="Times New Roman" w:cs="Times New Roman" w:eastAsia="Times New Roman" w:hAnsi="Times New Roman"/>
                <w:sz w:val="12"/>
                <w:szCs w:val="12"/>
                <w:color w:val="auto"/>
              </w:rPr>
              <w:t>)</w:t>
            </w:r>
          </w:p>
        </w:tc>
        <w:tc>
          <w:tcPr>
            <w:tcW w:w="2260" w:type="dxa"/>
            <w:vAlign w:val="bottom"/>
          </w:tcPr>
          <w:p>
            <w:pPr>
              <w:spacing w:after="0"/>
              <w:rPr>
                <w:sz w:val="14"/>
                <w:szCs w:val="14"/>
                <w:color w:val="auto"/>
              </w:rPr>
            </w:pPr>
          </w:p>
        </w:tc>
      </w:tr>
      <w:tr>
        <w:trPr>
          <w:trHeight w:val="36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c>
          <w:tcPr>
            <w:tcW w:w="2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June 17, 2026</w:t>
            </w:r>
          </w:p>
        </w:tc>
      </w:tr>
      <w:tr>
        <w:trPr>
          <w:trHeight w:val="548"/>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c>
          <w:tcPr>
            <w:tcW w:w="2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June 17, 2026</w:t>
            </w:r>
          </w:p>
        </w:tc>
      </w:tr>
      <w:tr>
        <w:trPr>
          <w:trHeight w:val="548"/>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c>
          <w:tcPr>
            <w:tcW w:w="2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June 17, 2026</w:t>
            </w:r>
          </w:p>
        </w:tc>
      </w:tr>
      <w:tr>
        <w:trPr>
          <w:trHeight w:val="548"/>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c>
          <w:tcPr>
            <w:tcW w:w="2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June 17, 2026</w:t>
            </w:r>
          </w:p>
        </w:tc>
      </w:tr>
      <w:tr>
        <w:trPr>
          <w:trHeight w:val="56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c>
          <w:tcPr>
            <w:tcW w:w="2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June 17, 2026</w:t>
            </w:r>
          </w:p>
        </w:tc>
      </w:tr>
      <w:tr>
        <w:trPr>
          <w:trHeight w:val="56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c>
          <w:tcPr>
            <w:tcW w:w="2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June 17, 2026</w:t>
            </w:r>
          </w:p>
        </w:tc>
      </w:tr>
      <w:tr>
        <w:trPr>
          <w:trHeight w:val="56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Lead Independent Director</w:t>
            </w:r>
          </w:p>
        </w:tc>
        <w:tc>
          <w:tcPr>
            <w:tcW w:w="2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June 17, 2026</w:t>
            </w:r>
          </w:p>
        </w:tc>
      </w:tr>
      <w:tr>
        <w:trPr>
          <w:trHeight w:val="548"/>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c>
          <w:tcPr>
            <w:tcW w:w="2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June 17, 2026</w:t>
            </w:r>
          </w:p>
        </w:tc>
      </w:tr>
    </w:tbl>
    <w:p>
      <w:pPr>
        <w:sectPr>
          <w:pgSz w:w="11900" w:h="16838" w:orient="portrait"/>
          <w:cols w:equalWidth="0" w:num="2">
            <w:col w:w="2640" w:space="720"/>
            <w:col w:w="6679"/>
          </w:cols>
          <w:pgMar w:left="420" w:top="1437" w:right="1440" w:bottom="1440" w:gutter="0" w:footer="0" w:header="0"/>
        </w:sectPr>
      </w:pPr>
    </w:p>
    <w:bookmarkStart w:id="4" w:name="page5"/>
    <w:bookmarkEnd w:id="4"/>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Lazard,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vMerge w:val="restart"/>
            <w:shd w:val="clear" w:color="auto" w:fill="9ADAF6"/>
          </w:tcPr>
          <w:p>
            <w:pP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420" w:type="dxa"/>
            <w:vAlign w:val="bottom"/>
            <w:vMerge w:val="restart"/>
            <w:shd w:val="clear" w:color="auto" w:fill="9ADAF6"/>
          </w:tcPr>
          <w:p>
            <w:pPr>
              <w:ind w:left="28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0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7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7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2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shd w:val="clear" w:color="auto" w:fill="9ADAF6"/>
          </w:tcPr>
          <w:p>
            <w:pPr>
              <w:ind w:left="180"/>
              <w:spacing w:after="0"/>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3"/>
                <w:szCs w:val="23"/>
                <w:color w:val="auto"/>
              </w:rPr>
            </w:pPr>
          </w:p>
        </w:tc>
        <w:tc>
          <w:tcPr>
            <w:tcW w:w="1420" w:type="dxa"/>
            <w:vAlign w:val="bottom"/>
            <w:shd w:val="clear" w:color="auto" w:fill="9ADAF6"/>
          </w:tcPr>
          <w:p>
            <w:pPr>
              <w:ind w:left="180"/>
              <w:spacing w:after="0"/>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23"/>
                <w:szCs w:val="23"/>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3"/>
                <w:szCs w:val="23"/>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3"/>
                <w:szCs w:val="23"/>
                <w:color w:val="auto"/>
              </w:rPr>
            </w:pPr>
          </w:p>
        </w:tc>
        <w:tc>
          <w:tcPr>
            <w:tcW w:w="17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 par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value $0.01</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reserved for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85"/>
              </w:rPr>
              <w:t>1</w:t>
            </w:r>
          </w:p>
        </w:tc>
        <w:tc>
          <w:tcPr>
            <w:tcW w:w="40" w:type="dxa"/>
            <w:vAlign w:val="bottom"/>
          </w:tcPr>
          <w:p>
            <w:pPr>
              <w:spacing w:after="0"/>
              <w:rPr>
                <w:sz w:val="20"/>
                <w:szCs w:val="20"/>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4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issuance</w:t>
            </w:r>
          </w:p>
        </w:tc>
        <w:tc>
          <w:tcPr>
            <w:tcW w:w="20" w:type="dxa"/>
            <w:vAlign w:val="bottom"/>
          </w:tcPr>
          <w:p>
            <w:pPr>
              <w:spacing w:after="0"/>
              <w:rPr>
                <w:sz w:val="20"/>
                <w:szCs w:val="20"/>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45,000,000</w:t>
            </w:r>
          </w:p>
        </w:tc>
        <w:tc>
          <w:tcPr>
            <w:tcW w:w="20" w:type="dxa"/>
            <w:vAlign w:val="bottom"/>
          </w:tcPr>
          <w:p>
            <w:pPr>
              <w:spacing w:after="0"/>
              <w:rPr>
                <w:sz w:val="20"/>
                <w:szCs w:val="20"/>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$ 42.44</w:t>
            </w:r>
          </w:p>
        </w:tc>
        <w:tc>
          <w:tcPr>
            <w:tcW w:w="20" w:type="dxa"/>
            <w:vAlign w:val="bottom"/>
          </w:tcPr>
          <w:p>
            <w:pPr>
              <w:spacing w:after="0"/>
              <w:rPr>
                <w:sz w:val="20"/>
                <w:szCs w:val="20"/>
                <w:color w:val="auto"/>
              </w:rPr>
            </w:pPr>
          </w:p>
        </w:tc>
        <w:tc>
          <w:tcPr>
            <w:tcW w:w="17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$ 263,743.38</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under the</w:t>
            </w:r>
          </w:p>
        </w:tc>
        <w:tc>
          <w:tcPr>
            <w:tcW w:w="20" w:type="dxa"/>
            <w:vAlign w:val="bottom"/>
          </w:tcPr>
          <w:p>
            <w:pPr>
              <w:spacing w:after="0"/>
              <w:rPr>
                <w:sz w:val="20"/>
                <w:szCs w:val="20"/>
                <w:color w:val="auto"/>
              </w:rPr>
            </w:pPr>
          </w:p>
        </w:tc>
        <w:tc>
          <w:tcPr>
            <w:tcW w:w="120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1,909,800,000.00</w:t>
            </w:r>
          </w:p>
        </w:tc>
        <w:tc>
          <w:tcPr>
            <w:tcW w:w="20" w:type="dxa"/>
            <w:vAlign w:val="bottom"/>
          </w:tcPr>
          <w:p>
            <w:pPr>
              <w:spacing w:after="0"/>
              <w:rPr>
                <w:sz w:val="20"/>
                <w:szCs w:val="20"/>
                <w:color w:val="auto"/>
              </w:rPr>
            </w:pPr>
          </w:p>
        </w:tc>
        <w:tc>
          <w:tcPr>
            <w:tcW w:w="10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vMerge w:val="continue"/>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Lazard, Inc.</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2018</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Compensation</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shd w:val="clear" w:color="auto" w:fill="E7E7E2"/>
          </w:tcPr>
          <w:p>
            <w:pPr>
              <w:ind w:left="20"/>
              <w:spacing w:after="0"/>
              <w:rPr>
                <w:sz w:val="20"/>
                <w:szCs w:val="20"/>
                <w:color w:val="auto"/>
              </w:rPr>
            </w:pPr>
            <w:r>
              <w:rPr>
                <w:rFonts w:ascii="Arial" w:cs="Arial" w:eastAsia="Arial" w:hAnsi="Arial"/>
                <w:sz w:val="21"/>
                <w:szCs w:val="21"/>
                <w:color w:val="auto"/>
              </w:rPr>
              <w:t>Plan</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7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21"/>
                <w:szCs w:val="21"/>
                <w:color w:val="auto"/>
              </w:rPr>
              <w:t>$ 263,743.38</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21"/>
                <w:szCs w:val="21"/>
                <w:color w:val="auto"/>
              </w:rPr>
              <w:t>1,909,800,000.00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21"/>
                <w:szCs w:val="21"/>
                <w:color w:val="auto"/>
              </w:rPr>
              <w:t>$ 263,743.38</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740" w:firstLine="2"/>
        <w:spacing w:after="0" w:line="242" w:lineRule="auto"/>
        <w:tabs>
          <w:tab w:leader="none" w:pos="1121" w:val="left"/>
        </w:tabs>
        <w:numPr>
          <w:ilvl w:val="0"/>
          <w:numId w:val="2"/>
        </w:numPr>
        <w:rPr>
          <w:rFonts w:ascii="Arial" w:cs="Arial" w:eastAsia="Arial" w:hAnsi="Arial"/>
          <w:sz w:val="21"/>
          <w:szCs w:val="21"/>
          <w:color w:val="auto"/>
        </w:rPr>
      </w:pPr>
      <w:r>
        <w:rPr>
          <w:rFonts w:ascii="Arial" w:cs="Arial" w:eastAsia="Arial" w:hAnsi="Arial"/>
          <w:sz w:val="21"/>
          <w:szCs w:val="21"/>
          <w:color w:val="auto"/>
        </w:rPr>
        <w:t>This registration statement (this "Registration Statement") is being filed with the Securities and Exchange Commission by Lazard, Inc. (the "Registrant") to register additional shares of Company's common stock, par value $0.01 per share (the "Common Stock"), which may be issued under the Lazard, Inc. 2018 Incentive Compensation Plan (as the same may be further amended from time to time, the "2018 Plan"). Pursuant to Rule 416(a) of the Securities Act of 1933, as amended (the "Securities Act"), this Registration Statement shall also cover any additional shares of the Company's Common Stock that become issuable under the 2018 Plan by reason of any stock dividend, stock split, recapitalization or other similar transaction pursuant to the anti-dilution provisions of the 2018 Plan. (2) Represents an aggregate of 45,000,000 shares of Common Stock reserved for future issuance under the 2018 Plan. (3) Estimated in accordance with Rule 457(c) and (h) of the Securities Act. Such computation is based on the average of the high and low prices as reported on The New York Stock Exchange on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82550</wp:posOffset>
            </wp:positionV>
            <wp:extent cx="6387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8"/>
                <w:szCs w:val="18"/>
                <w:color w:val="auto"/>
              </w:rPr>
            </w:pPr>
          </w:p>
        </w:tc>
        <w:tc>
          <w:tcPr>
            <w:tcW w:w="8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145"/>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12"/>
                <w:szCs w:val="12"/>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2"/>
                <w:szCs w:val="12"/>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Date</w:t>
            </w:r>
          </w:p>
        </w:tc>
        <w:tc>
          <w:tcPr>
            <w:tcW w:w="0" w:type="dxa"/>
            <w:vAlign w:val="bottom"/>
          </w:tcPr>
          <w:p>
            <w:pPr>
              <w:spacing w:after="0"/>
              <w:rPr>
                <w:sz w:val="1"/>
                <w:szCs w:val="1"/>
                <w:color w:val="auto"/>
              </w:rPr>
            </w:pPr>
          </w:p>
        </w:tc>
      </w:tr>
      <w:tr>
        <w:trPr>
          <w:trHeight w:val="142"/>
        </w:trPr>
        <w:tc>
          <w:tcPr>
            <w:tcW w:w="60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2"/>
                <w:szCs w:val="12"/>
                <w:color w:val="auto"/>
              </w:rPr>
            </w:pPr>
          </w:p>
        </w:tc>
        <w:tc>
          <w:tcPr>
            <w:tcW w:w="60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215"/>
        </w:trPr>
        <w:tc>
          <w:tcPr>
            <w:tcW w:w="8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p>
      <w:pPr>
        <w:sectPr>
          <w:pgSz w:w="11900" w:h="16838" w:orient="portrait"/>
          <w:cols w:equalWidth="0" w:num="3">
            <w:col w:w="1980" w:space="40"/>
            <w:col w:w="2720" w:space="40"/>
            <w:col w:w="6460"/>
          </w:cols>
          <w:pgMar w:left="360" w:top="142" w:right="299" w:bottom="131"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[Letterhead of Sullivan &amp; Cromwell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June 17,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Lazard, Inc.,</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30 Rockefeller Plaza,</w:t>
      </w:r>
    </w:p>
    <w:p>
      <w:pPr>
        <w:spacing w:after="0" w:line="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New York, New York 10112.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26" w:lineRule="exact"/>
        <w:rPr>
          <w:sz w:val="20"/>
          <w:szCs w:val="20"/>
          <w:color w:val="auto"/>
        </w:rPr>
      </w:pPr>
    </w:p>
    <w:p>
      <w:pPr>
        <w:ind w:right="100" w:firstLine="1282"/>
        <w:spacing w:after="0" w:line="264" w:lineRule="auto"/>
        <w:rPr>
          <w:sz w:val="20"/>
          <w:szCs w:val="20"/>
          <w:color w:val="auto"/>
        </w:rPr>
      </w:pPr>
      <w:r>
        <w:rPr>
          <w:rFonts w:ascii="Times New Roman" w:cs="Times New Roman" w:eastAsia="Times New Roman" w:hAnsi="Times New Roman"/>
          <w:sz w:val="21"/>
          <w:szCs w:val="21"/>
          <w:color w:val="auto"/>
        </w:rPr>
        <w:t>In connection with the registration under the Securities Act of 1933 (the “Act”) of 45,000,000 shares (the “Securities”) of common stock, par value $0.01 per share, of Lazard, Inc., a Delaware corporation (the “Company”), issuable under the Lazard, Inc. 2018 Incentive Compensation Plan (as amended, the “Plan”), we, as your counsel, have examined such corporate records, certificates and other documents, and such questions of law, as we have considered necessary or appropriate for the purposes of this opinion.</w:t>
      </w:r>
    </w:p>
    <w:p>
      <w:pPr>
        <w:spacing w:after="0" w:line="141" w:lineRule="exact"/>
        <w:rPr>
          <w:sz w:val="20"/>
          <w:szCs w:val="20"/>
          <w:color w:val="auto"/>
        </w:rPr>
      </w:pPr>
    </w:p>
    <w:p>
      <w:pPr>
        <w:ind w:right="20" w:firstLine="1282"/>
        <w:spacing w:after="0" w:line="260" w:lineRule="auto"/>
        <w:rPr>
          <w:sz w:val="20"/>
          <w:szCs w:val="20"/>
          <w:color w:val="auto"/>
        </w:rPr>
      </w:pPr>
      <w:r>
        <w:rPr>
          <w:rFonts w:ascii="Times New Roman" w:cs="Times New Roman" w:eastAsia="Times New Roman" w:hAnsi="Times New Roman"/>
          <w:sz w:val="21"/>
          <w:szCs w:val="21"/>
          <w:color w:val="auto"/>
        </w:rPr>
        <w:t>Upon the basis of such examination, it is our opinion that when the registration statement relating to the Securities (the “Registration Statement”) has become effective under the Act, the terms of the sale of the Securities have been duly established in conformity with the Company’s certificate of incorporation, as amended, and the Plan so as not to violate any applicable law or result in a default under or breach of any agreement or instrument binding upon the Company, and so as to comply with any requirement or restriction imposed by any court or governmental body having jurisdiction over the Company, and the Securities have been duly issued and sold as contemplated by the Registration Statement, the Securities will be validly issued, fully paid and non-assessable.</w:t>
      </w:r>
    </w:p>
    <w:p>
      <w:pPr>
        <w:spacing w:after="0" w:line="132" w:lineRule="exact"/>
        <w:rPr>
          <w:sz w:val="20"/>
          <w:szCs w:val="20"/>
          <w:color w:val="auto"/>
        </w:rPr>
      </w:pPr>
    </w:p>
    <w:p>
      <w:pPr>
        <w:ind w:right="20" w:firstLine="1282"/>
        <w:spacing w:after="0" w:line="288" w:lineRule="auto"/>
        <w:rPr>
          <w:sz w:val="20"/>
          <w:szCs w:val="20"/>
          <w:color w:val="auto"/>
        </w:rPr>
      </w:pPr>
      <w:r>
        <w:rPr>
          <w:rFonts w:ascii="Times New Roman" w:cs="Times New Roman" w:eastAsia="Times New Roman" w:hAnsi="Times New Roman"/>
          <w:sz w:val="21"/>
          <w:szCs w:val="21"/>
          <w:color w:val="auto"/>
        </w:rPr>
        <w:t>In rendering the foregoing opinion, we are not passing upon, and assume no responsibility for, any disclosure in any registration statement or any related prospectus or other offering material relating to the offer and sale of the Securities.</w:t>
      </w:r>
    </w:p>
    <w:p>
      <w:pPr>
        <w:spacing w:after="0" w:line="115" w:lineRule="exact"/>
        <w:rPr>
          <w:sz w:val="20"/>
          <w:szCs w:val="20"/>
          <w:color w:val="auto"/>
        </w:rPr>
      </w:pPr>
    </w:p>
    <w:p>
      <w:pPr>
        <w:ind w:right="280" w:firstLine="1282"/>
        <w:spacing w:after="0" w:line="288" w:lineRule="auto"/>
        <w:rPr>
          <w:sz w:val="20"/>
          <w:szCs w:val="20"/>
          <w:color w:val="auto"/>
        </w:rPr>
      </w:pPr>
      <w:r>
        <w:rPr>
          <w:rFonts w:ascii="Times New Roman" w:cs="Times New Roman" w:eastAsia="Times New Roman" w:hAnsi="Times New Roman"/>
          <w:sz w:val="21"/>
          <w:szCs w:val="21"/>
          <w:color w:val="auto"/>
        </w:rPr>
        <w:t>The foregoing opinion is limited to the Federal laws of the United States and the General Corporation Law of the State of Delaware, and we are expressing no opinion as to the effect of the laws of any other jurisdiction.</w:t>
      </w:r>
    </w:p>
    <w:p>
      <w:pPr>
        <w:spacing w:after="0" w:line="115" w:lineRule="exact"/>
        <w:rPr>
          <w:sz w:val="20"/>
          <w:szCs w:val="20"/>
          <w:color w:val="auto"/>
        </w:rPr>
      </w:pPr>
    </w:p>
    <w:p>
      <w:pPr>
        <w:ind w:right="160" w:firstLine="1282"/>
        <w:spacing w:after="0" w:line="288" w:lineRule="auto"/>
        <w:rPr>
          <w:sz w:val="20"/>
          <w:szCs w:val="20"/>
          <w:color w:val="auto"/>
        </w:rPr>
      </w:pPr>
      <w:r>
        <w:rPr>
          <w:rFonts w:ascii="Times New Roman" w:cs="Times New Roman" w:eastAsia="Times New Roman" w:hAnsi="Times New Roman"/>
          <w:sz w:val="21"/>
          <w:szCs w:val="21"/>
          <w:color w:val="auto"/>
        </w:rPr>
        <w:t>We have relied as to certain factual matters on information obtained from public officials, officers of the Company and other sources believed by us to be responsible.</w:t>
      </w:r>
    </w:p>
    <w:p>
      <w:pPr>
        <w:spacing w:after="0" w:line="102" w:lineRule="exact"/>
        <w:rPr>
          <w:sz w:val="20"/>
          <w:szCs w:val="20"/>
          <w:color w:val="auto"/>
        </w:rPr>
      </w:pPr>
    </w:p>
    <w:p>
      <w:pPr>
        <w:ind w:right="220" w:firstLine="1282"/>
        <w:spacing w:after="0" w:line="302" w:lineRule="auto"/>
        <w:rPr>
          <w:sz w:val="20"/>
          <w:szCs w:val="20"/>
          <w:color w:val="auto"/>
        </w:rPr>
      </w:pPr>
      <w:r>
        <w:rPr>
          <w:rFonts w:ascii="Times New Roman" w:cs="Times New Roman" w:eastAsia="Times New Roman" w:hAnsi="Times New Roman"/>
          <w:sz w:val="21"/>
          <w:szCs w:val="21"/>
          <w:color w:val="auto"/>
        </w:rPr>
        <w:t>We hereby consent to the filing of this opinion as an exhibit to the Registration Statement. In giving such consent, we do not thereby admit that we are in the category of persons whose consent is required under Section 7 of the Act.</w:t>
      </w:r>
    </w:p>
    <w:p>
      <w:pPr>
        <w:spacing w:after="0" w:line="8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11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color w:val="auto"/>
        </w:rPr>
        <w:t>/s/ Sullivan &amp; Cromwell LLP</w:t>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AMENDMENT TO THE</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LAZARD,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2018 INCENTIVE COMPENSATION PLAN</w:t>
      </w:r>
    </w:p>
    <w:p>
      <w:pPr>
        <w:spacing w:after="0" w:line="242" w:lineRule="exact"/>
        <w:rPr>
          <w:sz w:val="20"/>
          <w:szCs w:val="20"/>
          <w:color w:val="auto"/>
        </w:rPr>
      </w:pPr>
    </w:p>
    <w:p>
      <w:pPr>
        <w:ind w:right="460" w:firstLine="641"/>
        <w:spacing w:after="0" w:line="288" w:lineRule="auto"/>
        <w:rPr>
          <w:sz w:val="20"/>
          <w:szCs w:val="20"/>
          <w:color w:val="auto"/>
        </w:rPr>
      </w:pPr>
      <w:r>
        <w:rPr>
          <w:rFonts w:ascii="Times New Roman" w:cs="Times New Roman" w:eastAsia="Times New Roman" w:hAnsi="Times New Roman"/>
          <w:sz w:val="21"/>
          <w:szCs w:val="21"/>
          <w:color w:val="auto"/>
        </w:rPr>
        <w:t>WHEREAS, Lazard, Inc., a Delaware corporation (the “Company”), currently maintains and sponsors the Lazard, Inc. 2018 Incentive Compensation Plan, as amended (the “Plan”);</w:t>
      </w:r>
    </w:p>
    <w:p>
      <w:pPr>
        <w:spacing w:after="0" w:line="169" w:lineRule="exact"/>
        <w:rPr>
          <w:sz w:val="20"/>
          <w:szCs w:val="20"/>
          <w:color w:val="auto"/>
        </w:rPr>
      </w:pPr>
    </w:p>
    <w:p>
      <w:pPr>
        <w:ind w:right="80" w:firstLine="641"/>
        <w:spacing w:after="0" w:line="268" w:lineRule="auto"/>
        <w:rPr>
          <w:sz w:val="20"/>
          <w:szCs w:val="20"/>
          <w:color w:val="auto"/>
        </w:rPr>
      </w:pPr>
      <w:r>
        <w:rPr>
          <w:rFonts w:ascii="Times New Roman" w:cs="Times New Roman" w:eastAsia="Times New Roman" w:hAnsi="Times New Roman"/>
          <w:sz w:val="21"/>
          <w:szCs w:val="21"/>
          <w:color w:val="auto"/>
        </w:rPr>
        <w:t>WHEREAS, Section 13(c) of the Plan provides that the Board of the Directors of the Company (“Board”) may amend the Plan from time to time, except that shareholder approval shall be required for any amendment that would increase the maximum number of shares of common stock, par value $0.01 per share, of the Company (“Shares”) for which awards may be granted under the Plan; and</w:t>
      </w:r>
    </w:p>
    <w:p>
      <w:pPr>
        <w:spacing w:after="0" w:line="190" w:lineRule="exact"/>
        <w:rPr>
          <w:sz w:val="20"/>
          <w:szCs w:val="20"/>
          <w:color w:val="auto"/>
        </w:rPr>
      </w:pPr>
    </w:p>
    <w:p>
      <w:pPr>
        <w:ind w:right="740" w:firstLine="641"/>
        <w:spacing w:after="0" w:line="288" w:lineRule="auto"/>
        <w:rPr>
          <w:sz w:val="20"/>
          <w:szCs w:val="20"/>
          <w:color w:val="auto"/>
        </w:rPr>
      </w:pPr>
      <w:r>
        <w:rPr>
          <w:rFonts w:ascii="Times New Roman" w:cs="Times New Roman" w:eastAsia="Times New Roman" w:hAnsi="Times New Roman"/>
          <w:sz w:val="21"/>
          <w:szCs w:val="21"/>
          <w:color w:val="auto"/>
        </w:rPr>
        <w:t>WHEREAS, the Board has determined it to be in its best interests to amend the Plan as set forth herein (this “Third Amendment”).</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NOW, THEREFORE:</w:t>
      </w:r>
    </w:p>
    <w:p>
      <w:pPr>
        <w:spacing w:after="0" w:line="253" w:lineRule="exact"/>
        <w:rPr>
          <w:sz w:val="20"/>
          <w:szCs w:val="20"/>
          <w:color w:val="auto"/>
        </w:rPr>
      </w:pPr>
    </w:p>
    <w:p>
      <w:pPr>
        <w:ind w:left="640" w:right="60" w:hanging="313"/>
        <w:spacing w:after="0" w:line="268" w:lineRule="auto"/>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upon approval by the shareholders of the Company at the Company’s Annual Meeting of Shareholders on May 9, 2024, Section 3(a) of the Plan shall be, and hereby is, amended to increase the aggregate number of Shares for which awards may be granted under the Plan by 20,000,000. Therefore, a new sentence is hereby added to Section 3(a) immediately following the second sentence to read as follows:</w:t>
      </w:r>
    </w:p>
    <w:p>
      <w:pPr>
        <w:spacing w:after="0" w:line="190" w:lineRule="exact"/>
        <w:rPr>
          <w:sz w:val="20"/>
          <w:szCs w:val="20"/>
          <w:color w:val="auto"/>
        </w:rPr>
      </w:pPr>
    </w:p>
    <w:p>
      <w:pPr>
        <w:ind w:left="1040" w:right="800"/>
        <w:spacing w:after="0" w:line="270" w:lineRule="auto"/>
        <w:rPr>
          <w:sz w:val="20"/>
          <w:szCs w:val="20"/>
          <w:color w:val="auto"/>
        </w:rPr>
      </w:pPr>
      <w:r>
        <w:rPr>
          <w:rFonts w:ascii="Times New Roman" w:cs="Times New Roman" w:eastAsia="Times New Roman" w:hAnsi="Times New Roman"/>
          <w:sz w:val="21"/>
          <w:szCs w:val="21"/>
          <w:color w:val="auto"/>
        </w:rPr>
        <w:t>“In addition, effective as of May 9, 2024, subject to adjustment as provided in Section 3(c), the maximum number of Shares that may be issued or paid under or with respect to all Awards (considered in the aggregate) granted under the Plan shall be increased by an additional 20,000,000 Shares”.</w:t>
      </w:r>
    </w:p>
    <w:p>
      <w:pPr>
        <w:spacing w:after="0" w:line="200" w:lineRule="exact"/>
        <w:rPr>
          <w:sz w:val="20"/>
          <w:szCs w:val="20"/>
          <w:color w:val="auto"/>
        </w:rPr>
      </w:pPr>
    </w:p>
    <w:p>
      <w:pPr>
        <w:ind w:left="640" w:right="720" w:hanging="313"/>
        <w:spacing w:after="0" w:line="288" w:lineRule="auto"/>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immediately, Section 15(e) of the Plan shall be, and hereby is, deleted in its entirety and replaced with the following:</w:t>
      </w:r>
    </w:p>
    <w:p>
      <w:pPr>
        <w:spacing w:after="0" w:line="169" w:lineRule="exact"/>
        <w:rPr>
          <w:sz w:val="20"/>
          <w:szCs w:val="20"/>
          <w:color w:val="auto"/>
        </w:rPr>
      </w:pPr>
    </w:p>
    <w:p>
      <w:pPr>
        <w:ind w:left="1040" w:right="820"/>
        <w:spacing w:after="0" w:line="264" w:lineRule="auto"/>
        <w:rPr>
          <w:sz w:val="20"/>
          <w:szCs w:val="20"/>
          <w:color w:val="auto"/>
        </w:rPr>
      </w:pPr>
      <w:r>
        <w:rPr>
          <w:rFonts w:ascii="Times New Roman" w:cs="Times New Roman" w:eastAsia="Times New Roman" w:hAnsi="Times New Roman"/>
          <w:sz w:val="21"/>
          <w:szCs w:val="21"/>
          <w:color w:val="auto"/>
        </w:rPr>
        <w:t>“(e) Clawback Policies; Anti Hedging Policy. To the extent a Participant is subject to the Company’s Compensation Recovery Policy Applicable to Named Executive Officers, the Company’s Incentive Compensation Recovery Policy or to the Company’s Anti-Hedging Policy applicable to directors, officers, employees, advisors, and consultants of the Company, Awards granted pursuant to the Plan shall be subject to such policies, as in effect from time to time.”</w:t>
      </w:r>
    </w:p>
    <w:p>
      <w:pPr>
        <w:spacing w:after="0" w:line="195" w:lineRule="exact"/>
        <w:rPr>
          <w:sz w:val="20"/>
          <w:szCs w:val="20"/>
          <w:color w:val="auto"/>
        </w:rPr>
      </w:pPr>
    </w:p>
    <w:p>
      <w:pPr>
        <w:ind w:left="640" w:right="480" w:hanging="313"/>
        <w:spacing w:after="0" w:line="288" w:lineRule="auto"/>
        <w:tabs>
          <w:tab w:leader="none" w:pos="6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modified by this Third Amendment, all of the terms and conditions of the Plan shall remain valid and in full force and effect.</w:t>
      </w:r>
    </w:p>
    <w:p>
      <w:pPr>
        <w:spacing w:after="0" w:line="169" w:lineRule="exact"/>
        <w:rPr>
          <w:sz w:val="20"/>
          <w:szCs w:val="20"/>
          <w:color w:val="auto"/>
        </w:rPr>
      </w:pPr>
    </w:p>
    <w:p>
      <w:pPr>
        <w:ind w:right="1280" w:firstLine="641"/>
        <w:spacing w:after="0" w:line="288" w:lineRule="auto"/>
        <w:rPr>
          <w:sz w:val="20"/>
          <w:szCs w:val="20"/>
          <w:color w:val="auto"/>
        </w:rPr>
      </w:pPr>
      <w:r>
        <w:rPr>
          <w:rFonts w:ascii="Times New Roman" w:cs="Times New Roman" w:eastAsia="Times New Roman" w:hAnsi="Times New Roman"/>
          <w:sz w:val="21"/>
          <w:szCs w:val="21"/>
          <w:color w:val="auto"/>
        </w:rPr>
        <w:t>IN WITNESS WHEREOF, Company has executed this Third Amendment to the Lazard, Inc. 2018 Incentive Compensation Plan as of May 9, 2024.</w:t>
      </w:r>
    </w:p>
    <w:p>
      <w:pPr>
        <w:sectPr>
          <w:pgSz w:w="11900" w:h="16838" w:orient="portrait"/>
          <w:cols w:equalWidth="0" w:num="1">
            <w:col w:w="11240"/>
          </w:cols>
          <w:pgMar w:left="320" w:top="121" w:right="339" w:bottom="1440" w:gutter="0" w:footer="0" w:header="0"/>
        </w:sectPr>
      </w:pPr>
    </w:p>
    <w:bookmarkStart w:id="7" w:name="page8"/>
    <w:bookmarkEnd w:id="7"/>
    <w:p>
      <w:pPr>
        <w:spacing w:after="0" w:line="200" w:lineRule="exact"/>
        <w:rPr>
          <w:sz w:val="20"/>
          <w:szCs w:val="20"/>
          <w:color w:val="auto"/>
        </w:rPr>
      </w:pPr>
    </w:p>
    <w:p>
      <w:pPr>
        <w:spacing w:after="0" w:line="2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LAZARD, INC.</w:t>
      </w:r>
    </w:p>
    <w:p>
      <w:pPr>
        <w:spacing w:after="0" w:line="36" w:lineRule="exact"/>
        <w:rPr>
          <w:sz w:val="20"/>
          <w:szCs w:val="20"/>
          <w:color w:val="auto"/>
        </w:rPr>
      </w:pPr>
    </w:p>
    <w:p>
      <w:pPr>
        <w:ind w:left="380"/>
        <w:spacing w:after="0"/>
        <w:tabs>
          <w:tab w:leader="none" w:pos="8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Shari Soloway</w:t>
      </w:r>
    </w:p>
    <w:p>
      <w:pPr>
        <w:spacing w:after="0" w:line="12" w:lineRule="exact"/>
        <w:rPr>
          <w:sz w:val="20"/>
          <w:szCs w:val="20"/>
          <w:color w:val="auto"/>
        </w:rPr>
      </w:pPr>
    </w:p>
    <w:p>
      <w:pPr>
        <w:ind w:left="380"/>
        <w:spacing w:after="0"/>
        <w:tabs>
          <w:tab w:leader="none" w:pos="1140" w:val="left"/>
        </w:tabs>
        <w:rPr>
          <w:sz w:val="20"/>
          <w:szCs w:val="20"/>
          <w:color w:val="auto"/>
        </w:rPr>
      </w:pPr>
      <w:r>
        <w:rPr>
          <w:rFonts w:ascii="Times New Roman" w:cs="Times New Roman" w:eastAsia="Times New Roman" w:hAnsi="Times New Roman"/>
          <w:sz w:val="21"/>
          <w:szCs w:val="21"/>
          <w:color w:val="auto"/>
        </w:rPr>
        <w:t>Name:</w:t>
        <w:tab/>
        <w:t>Shari Soloway</w:t>
      </w:r>
    </w:p>
    <w:p>
      <w:pPr>
        <w:spacing w:after="0" w:line="13" w:lineRule="exact"/>
        <w:rPr>
          <w:sz w:val="20"/>
          <w:szCs w:val="20"/>
          <w:color w:val="auto"/>
        </w:rPr>
      </w:pPr>
    </w:p>
    <w:p>
      <w:pPr>
        <w:ind w:left="380"/>
        <w:spacing w:after="0"/>
        <w:tabs>
          <w:tab w:leader="none" w:pos="1020" w:val="left"/>
        </w:tabs>
        <w:rPr>
          <w:sz w:val="20"/>
          <w:szCs w:val="20"/>
          <w:color w:val="auto"/>
        </w:rPr>
      </w:pPr>
      <w:r>
        <w:rPr>
          <w:rFonts w:ascii="Times New Roman" w:cs="Times New Roman" w:eastAsia="Times New Roman" w:hAnsi="Times New Roman"/>
          <w:sz w:val="21"/>
          <w:szCs w:val="21"/>
          <w:color w:val="auto"/>
        </w:rPr>
        <w:t>Title:</w:t>
        <w:tab/>
        <w:t>Corporate Secretary</w:t>
      </w:r>
    </w:p>
    <w:p>
      <w:pPr>
        <w:sectPr>
          <w:pgSz w:w="11900" w:h="16838" w:orient="portrait"/>
          <w:cols w:equalWidth="0" w:num="1">
            <w:col w:w="9019"/>
          </w:cols>
          <w:pgMar w:left="1440" w:top="1440"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FOURTH AMENDMENT TO THE</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LAZARD,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2018 INCENTIVE COMPENSATION PLAN</w:t>
      </w:r>
    </w:p>
    <w:p>
      <w:pPr>
        <w:spacing w:after="0" w:line="242"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21"/>
          <w:szCs w:val="21"/>
          <w:color w:val="auto"/>
        </w:rPr>
        <w:t>WHEREAS, Lazard, Inc., a Delaware corporation (the “Company”), currently maintains and sponsors the Lazard, Inc. 2018 Incentive Compensation Plan, as amended (the “Plan”);</w:t>
      </w:r>
    </w:p>
    <w:p>
      <w:pPr>
        <w:spacing w:after="0" w:line="169" w:lineRule="exact"/>
        <w:rPr>
          <w:sz w:val="20"/>
          <w:szCs w:val="20"/>
          <w:color w:val="auto"/>
        </w:rPr>
      </w:pPr>
    </w:p>
    <w:p>
      <w:pPr>
        <w:jc w:val="both"/>
        <w:ind w:firstLine="641"/>
        <w:spacing w:after="0" w:line="260" w:lineRule="auto"/>
        <w:rPr>
          <w:sz w:val="20"/>
          <w:szCs w:val="20"/>
          <w:color w:val="auto"/>
        </w:rPr>
      </w:pPr>
      <w:r>
        <w:rPr>
          <w:rFonts w:ascii="Times New Roman" w:cs="Times New Roman" w:eastAsia="Times New Roman" w:hAnsi="Times New Roman"/>
          <w:sz w:val="21"/>
          <w:szCs w:val="21"/>
          <w:color w:val="auto"/>
        </w:rPr>
        <w:t>WHEREAS, Section 13(c) of the Plan provides that the Board of Directors of the Company (“Board”) may amend the Plan from time to time, except that shareholder approval shall be required for any amendment that would increase the maximum number of shares of common stock, par value $0.01 per share, of the Company (“Shares”) for which awards may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granted under the Plan; and</w:t>
      </w:r>
    </w:p>
    <w:p>
      <w:pPr>
        <w:spacing w:after="0" w:line="242"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21"/>
          <w:szCs w:val="21"/>
          <w:color w:val="auto"/>
        </w:rPr>
        <w:t>WHEREAS, the Board has determined it to be in its best interests to amend the Plan as set forth herein (this “Fourth Amendment”).</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NOW, THEREFORE:</w:t>
      </w:r>
    </w:p>
    <w:p>
      <w:pPr>
        <w:spacing w:after="0" w:line="253" w:lineRule="exact"/>
        <w:rPr>
          <w:sz w:val="20"/>
          <w:szCs w:val="20"/>
          <w:color w:val="auto"/>
        </w:rPr>
      </w:pPr>
    </w:p>
    <w:p>
      <w:pPr>
        <w:jc w:val="both"/>
        <w:ind w:left="640" w:hanging="313"/>
        <w:spacing w:after="0" w:line="268" w:lineRule="auto"/>
        <w:tabs>
          <w:tab w:leader="none" w:pos="64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upon approval by the shareholders of the Company at the Company’s Annual Meeting of Shareholders on May 21, 2026, Section 3(a) of the Plan shall be, and hereby is, amended to increase the aggregate number of Shares for which awards may be granted under the Plan by 25,000,000. Therefore, a new sentence is hereby added to Section 3(a) immediately following the second sentence to read as follows:</w:t>
      </w:r>
    </w:p>
    <w:p>
      <w:pPr>
        <w:spacing w:after="0" w:line="190" w:lineRule="exact"/>
        <w:rPr>
          <w:sz w:val="20"/>
          <w:szCs w:val="20"/>
          <w:color w:val="auto"/>
        </w:rPr>
      </w:pPr>
    </w:p>
    <w:p>
      <w:pPr>
        <w:jc w:val="both"/>
        <w:ind w:left="960" w:right="640"/>
        <w:spacing w:after="0" w:line="270" w:lineRule="auto"/>
        <w:rPr>
          <w:sz w:val="20"/>
          <w:szCs w:val="20"/>
          <w:color w:val="auto"/>
        </w:rPr>
      </w:pPr>
      <w:r>
        <w:rPr>
          <w:rFonts w:ascii="Times New Roman" w:cs="Times New Roman" w:eastAsia="Times New Roman" w:hAnsi="Times New Roman"/>
          <w:sz w:val="21"/>
          <w:szCs w:val="21"/>
          <w:color w:val="auto"/>
        </w:rPr>
        <w:t>“In addition, effective as of May 21, 2026, subject to adjustment as provided in Section 3(c), the maximum number of Shares that may be issued or paid under or with respect to all Awards (considered in the aggregate) granted under the Plan shall be increased by an additional 25,000,000 Shares”.</w:t>
      </w:r>
    </w:p>
    <w:p>
      <w:pPr>
        <w:spacing w:after="0" w:line="200" w:lineRule="exact"/>
        <w:rPr>
          <w:sz w:val="20"/>
          <w:szCs w:val="20"/>
          <w:color w:val="auto"/>
        </w:rPr>
      </w:pPr>
    </w:p>
    <w:p>
      <w:pPr>
        <w:ind w:left="640" w:hanging="313"/>
        <w:spacing w:after="0" w:line="288" w:lineRule="auto"/>
        <w:tabs>
          <w:tab w:leader="none" w:pos="6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modified by this Fourth Amendment, all of the terms and conditions of the Plan shall remain valid and in full force and effect.</w:t>
      </w:r>
    </w:p>
    <w:p>
      <w:pPr>
        <w:spacing w:after="0" w:line="169" w:lineRule="exact"/>
        <w:rPr>
          <w:sz w:val="20"/>
          <w:szCs w:val="20"/>
          <w:color w:val="auto"/>
        </w:rPr>
      </w:pPr>
    </w:p>
    <w:p>
      <w:pPr>
        <w:ind w:firstLine="641"/>
        <w:spacing w:after="0" w:line="288" w:lineRule="auto"/>
        <w:rPr>
          <w:sz w:val="20"/>
          <w:szCs w:val="20"/>
          <w:color w:val="auto"/>
        </w:rPr>
      </w:pPr>
      <w:r>
        <w:rPr>
          <w:rFonts w:ascii="Times New Roman" w:cs="Times New Roman" w:eastAsia="Times New Roman" w:hAnsi="Times New Roman"/>
          <w:sz w:val="21"/>
          <w:szCs w:val="21"/>
          <w:color w:val="auto"/>
        </w:rPr>
        <w:t>IN WITNESS WHEREOF, Company has executed this Fourth Amendment to the Lazard, Inc. 2018 Incentive Compensation Plan as of May 21, 2026.</w:t>
      </w:r>
    </w:p>
    <w:p>
      <w:pPr>
        <w:spacing w:after="0" w:line="200" w:lineRule="exact"/>
        <w:rPr>
          <w:sz w:val="20"/>
          <w:szCs w:val="20"/>
          <w:color w:val="auto"/>
        </w:rPr>
      </w:pP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LAZARD, INC.</w:t>
      </w:r>
    </w:p>
    <w:p>
      <w:pPr>
        <w:spacing w:after="0" w:line="37" w:lineRule="exact"/>
        <w:rPr>
          <w:sz w:val="20"/>
          <w:szCs w:val="20"/>
          <w:color w:val="auto"/>
        </w:rPr>
      </w:pPr>
    </w:p>
    <w:p>
      <w:pPr>
        <w:ind w:left="1500"/>
        <w:spacing w:after="0"/>
        <w:tabs>
          <w:tab w:leader="none" w:pos="20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Shari Soloway</w:t>
      </w:r>
    </w:p>
    <w:p>
      <w:pPr>
        <w:spacing w:after="0" w:line="25" w:lineRule="exact"/>
        <w:rPr>
          <w:sz w:val="20"/>
          <w:szCs w:val="20"/>
          <w:color w:val="auto"/>
        </w:rPr>
      </w:pPr>
    </w:p>
    <w:p>
      <w:pPr>
        <w:ind w:left="1500"/>
        <w:spacing w:after="0"/>
        <w:tabs>
          <w:tab w:leader="none" w:pos="2260" w:val="left"/>
        </w:tabs>
        <w:rPr>
          <w:sz w:val="20"/>
          <w:szCs w:val="20"/>
          <w:color w:val="auto"/>
        </w:rPr>
      </w:pPr>
      <w:r>
        <w:rPr>
          <w:rFonts w:ascii="Times New Roman" w:cs="Times New Roman" w:eastAsia="Times New Roman" w:hAnsi="Times New Roman"/>
          <w:sz w:val="21"/>
          <w:szCs w:val="21"/>
          <w:color w:val="auto"/>
        </w:rPr>
        <w:t>Name:</w:t>
        <w:tab/>
        <w:t>Shari Soloway</w:t>
      </w:r>
    </w:p>
    <w:p>
      <w:pPr>
        <w:spacing w:after="0" w:line="12"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1"/>
          <w:szCs w:val="21"/>
          <w:color w:val="auto"/>
        </w:rPr>
        <w:t>Title:</w:t>
        <w:tab/>
        <w:t>Corporate Secretary</w:t>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57" w:lineRule="exact"/>
        <w:rPr>
          <w:sz w:val="20"/>
          <w:szCs w:val="20"/>
          <w:color w:val="auto"/>
        </w:rPr>
      </w:pPr>
    </w:p>
    <w:p>
      <w:pPr>
        <w:jc w:val="both"/>
        <w:ind w:right="200"/>
        <w:spacing w:after="0" w:line="277" w:lineRule="auto"/>
        <w:rPr>
          <w:sz w:val="20"/>
          <w:szCs w:val="20"/>
          <w:color w:val="auto"/>
        </w:rPr>
      </w:pPr>
      <w:r>
        <w:rPr>
          <w:rFonts w:ascii="Times New Roman" w:cs="Times New Roman" w:eastAsia="Times New Roman" w:hAnsi="Times New Roman"/>
          <w:sz w:val="21"/>
          <w:szCs w:val="21"/>
          <w:color w:val="auto"/>
        </w:rPr>
        <w:t>We consent to the incorporation by reference in this Registration Statement on Form S-8 of our reports dated February 23, 2026, relating to the financial statements of Lazard, Inc. and the effectiveness of Lazard, Inc.’s internal control over financial reporting, appearing in the Annual Report on Form 10-K of Lazard, Inc. for the year ended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Deloitte &amp; Touche LLP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 York, New York</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17, 2026</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2026-06-17T15:28:24Z</dcterms:created>
  <dcterms:modified xsi:type="dcterms:W3CDTF">2026-06-17T15:28:24Z</dcterms:modified>
</cp:coreProperties>
</file>