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03"/>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71"/>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63"/>
        </w:trPr>
        <w:tc>
          <w:tcPr>
            <w:tcW w:w="29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76"/>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97"/>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280" w:firstLine="342"/>
        <w:spacing w:after="0" w:line="268" w:lineRule="auto"/>
        <w:rPr>
          <w:sz w:val="20"/>
          <w:szCs w:val="20"/>
          <w:color w:val="auto"/>
        </w:rPr>
      </w:pPr>
      <w:r>
        <w:rPr>
          <w:rFonts w:ascii="Arial" w:cs="Arial" w:eastAsia="Arial" w:hAnsi="Arial"/>
          <w:sz w:val="18"/>
          <w:szCs w:val="18"/>
          <w:color w:val="auto"/>
        </w:rPr>
        <w:t>As of April 24, 2013, there were 128,216,423 shares of the Registrant’s Class A common stock (including 6,805,877 shares held by subsidiaries)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March 31, 2013 of approximately 98.8%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5">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520" w:type="dxa"/>
            <w:vAlign w:val="bottom"/>
            <w:gridSpan w:val="3"/>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Financial Condition as of March 31, 2013 and December 31, 2012</w:t>
              </w:r>
            </w:hyperlink>
          </w:p>
        </w:tc>
        <w:tc>
          <w:tcPr>
            <w:tcW w:w="3520" w:type="dxa"/>
            <w:vAlign w:val="bottom"/>
            <w:gridSpan w:val="5"/>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520" w:type="dxa"/>
            <w:vAlign w:val="bottom"/>
            <w:tcBorders>
              <w:bottom w:val="single" w:sz="8" w:color="0000EE"/>
            </w:tcBorders>
            <w:gridSpan w:val="3"/>
            <w:vMerge w:val="continue"/>
          </w:tcPr>
          <w:p>
            <w:pPr>
              <w:spacing w:after="0"/>
              <w:rPr>
                <w:sz w:val="13"/>
                <w:szCs w:val="13"/>
                <w:color w:val="auto"/>
              </w:rPr>
            </w:pPr>
          </w:p>
        </w:tc>
        <w:tc>
          <w:tcPr>
            <w:tcW w:w="3520" w:type="dxa"/>
            <w:vAlign w:val="bottom"/>
            <w:gridSpan w:val="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7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periods ended March 31, 2013 and 2012</w:t>
              </w:r>
            </w:hyperlink>
          </w:p>
        </w:tc>
        <w:tc>
          <w:tcPr>
            <w:tcW w:w="31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periods ended March 31, 2013 and 2012</w:t>
              </w:r>
            </w:hyperlink>
          </w:p>
        </w:tc>
        <w:tc>
          <w:tcPr>
            <w:tcW w:w="2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 periods ended March 31, 2013 and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Stockholders’ Equity for the three month periods ended March 31, 2013 and 2012</w:t>
              </w:r>
            </w:hyperlink>
          </w:p>
        </w:tc>
        <w:tc>
          <w:tcPr>
            <w:tcW w:w="16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620" w:type="dxa"/>
            <w:vAlign w:val="bottom"/>
          </w:tcPr>
          <w:p>
            <w:pPr>
              <w:jc w:val="right"/>
              <w:ind w:right="1672"/>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AND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586,111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60,484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65,232</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 of allowance for doubtful accounts of $22,805 and $23,017 at March 31, 2013 and December 31, 2012,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Fees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368,682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459,880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406,256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414,673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90"/>
              </w:rPr>
              <w:t>Property (net of accumulated amortization and depreciation of $226,570 and $225,861 at March 31, 2013 and 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2012,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239,576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225,033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5"/>
              </w:rPr>
              <w:t>Goodwill and other intangible assets (net of accumulated amortization of $36,158 and $35,281 at March 31, 2013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2012,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393,317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2,728,167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2,986,893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AND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246,792</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2,151,066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2,335,353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March 31, 2013 and December 31, 2012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Class A, par value $.01 per share (500,000,000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w w:val="92"/>
              </w:rPr>
              <w:t>128,216,423 shares issued and outstanding at March 31, 2013 and December 31, 2012, including shares held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by subsidiaries as indicated below)</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Class B, par value $.01 per share (1 share authorized, issued and outstanding at March 31, 2013 and December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31, 2012)</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605,166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(124,758)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Class A common stock held by subsidiaries, at cost (6,804,690 and 12,802,938 shares at March 31, 2013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December 31, 2012, respectively)</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(182,387)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(349,782)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2,728,167</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2,986,893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4"/>
                <w:szCs w:val="14"/>
                <w:b w:val="1"/>
                <w:bCs w:val="1"/>
                <w:color w:val="auto"/>
                <w:w w:val="89"/>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168,104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management fees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231,137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21,686</w:t>
            </w:r>
          </w:p>
        </w:tc>
        <w:tc>
          <w:tcPr>
            <w:tcW w:w="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422,058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Net revenue</w:t>
            </w:r>
          </w:p>
        </w:tc>
        <w:tc>
          <w:tcPr>
            <w:tcW w:w="1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401,903</w:t>
            </w:r>
          </w:p>
        </w:tc>
        <w:tc>
          <w:tcPr>
            <w:tcW w:w="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277,739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18,192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8,613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380,306</w:t>
            </w:r>
          </w:p>
        </w:tc>
        <w:tc>
          <w:tcPr>
            <w:tcW w:w="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640"/>
              <w:spacing w:after="0"/>
              <w:rPr>
                <w:sz w:val="20"/>
                <w:szCs w:val="20"/>
                <w:color w:val="auto"/>
              </w:rPr>
            </w:pPr>
            <w:r>
              <w:rPr>
                <w:rFonts w:ascii="Arial" w:cs="Arial" w:eastAsia="Arial" w:hAnsi="Arial"/>
                <w:sz w:val="18"/>
                <w:szCs w:val="18"/>
                <w:color w:val="auto"/>
              </w:rPr>
              <w:t>Basic</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117,708,204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119,229,541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132,815,560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136,594,178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5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17,649</w:t>
            </w:r>
          </w:p>
        </w:tc>
        <w:tc>
          <w:tcPr>
            <w:tcW w:w="5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29,056</w:t>
            </w:r>
          </w:p>
        </w:tc>
        <w:tc>
          <w:tcPr>
            <w:tcW w:w="100" w:type="dxa"/>
            <w:vAlign w:val="bottom"/>
            <w:shd w:val="clear" w:color="auto" w:fill="CCEEFF"/>
          </w:tcPr>
          <w:p>
            <w:pPr>
              <w:spacing w:after="0"/>
              <w:rPr>
                <w:sz w:val="18"/>
                <w:szCs w:val="18"/>
                <w:color w:val="auto"/>
              </w:rPr>
            </w:pPr>
          </w:p>
        </w:tc>
      </w:tr>
      <w:tr>
        <w:trPr>
          <w:trHeight w:val="221"/>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(12,433)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19,129</w:t>
            </w:r>
          </w:p>
        </w:tc>
      </w:tr>
      <w:tr>
        <w:trPr>
          <w:trHeight w:val="322"/>
        </w:trPr>
        <w:tc>
          <w:tcPr>
            <w:tcW w:w="20" w:type="dxa"/>
            <w:vAlign w:val="bottom"/>
          </w:tcPr>
          <w:p>
            <w:pPr>
              <w:spacing w:after="0"/>
              <w:rPr>
                <w:sz w:val="24"/>
                <w:szCs w:val="24"/>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w:t>
            </w:r>
          </w:p>
        </w:tc>
        <w:tc>
          <w:tcPr>
            <w:tcW w:w="5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110"/>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16"/>
        </w:trPr>
        <w:tc>
          <w:tcPr>
            <w:tcW w:w="20" w:type="dxa"/>
            <w:vAlign w:val="bottom"/>
          </w:tcPr>
          <w:p>
            <w:pPr>
              <w:spacing w:after="0"/>
              <w:rPr>
                <w:sz w:val="24"/>
                <w:szCs w:val="24"/>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w w:val="94"/>
              </w:rPr>
              <w:t>Actuarial loss (net of tax benefit of $1,795 and $1,282 for the three months ended March 31, 2013 and 2012,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1060"/>
              <w:spacing w:after="0"/>
              <w:rPr>
                <w:sz w:val="20"/>
                <w:szCs w:val="20"/>
                <w:color w:val="auto"/>
              </w:rPr>
            </w:pPr>
            <w:r>
              <w:rPr>
                <w:rFonts w:ascii="Arial" w:cs="Arial" w:eastAsia="Arial" w:hAnsi="Arial"/>
                <w:sz w:val="18"/>
                <w:szCs w:val="18"/>
                <w:color w:val="auto"/>
              </w:rPr>
              <w:t>respectively)</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(3,423)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(2,597)</w:t>
            </w:r>
          </w:p>
        </w:tc>
      </w:tr>
      <w:tr>
        <w:trPr>
          <w:trHeight w:val="110"/>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8"/>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Adjustment for items reclassified to earnings (net of tax expense of $402 and $297 for the three months ended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March 31, 2013 and 2012, respectively)</w:t>
            </w:r>
          </w:p>
        </w:tc>
        <w:tc>
          <w:tcPr>
            <w:tcW w:w="4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5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(14,374)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17,611</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5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46,667</w:t>
            </w:r>
          </w:p>
        </w:tc>
        <w:tc>
          <w:tcPr>
            <w:tcW w:w="100" w:type="dxa"/>
            <w:vAlign w:val="bottom"/>
            <w:shd w:val="clear" w:color="auto" w:fill="CCEEFF"/>
          </w:tcPr>
          <w:p>
            <w:pPr>
              <w:spacing w:after="0"/>
              <w:rPr>
                <w:sz w:val="18"/>
                <w:szCs w:val="18"/>
                <w:color w:val="auto"/>
              </w:rPr>
            </w:pPr>
          </w:p>
        </w:tc>
      </w:tr>
      <w:tr>
        <w:trPr>
          <w:trHeight w:val="331"/>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56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42,065</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17,649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incentive compensation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1060"/>
              <w:spacing w:after="0"/>
              <w:rPr>
                <w:sz w:val="20"/>
                <w:szCs w:val="20"/>
                <w:color w:val="auto"/>
              </w:rPr>
            </w:pPr>
            <w:r>
              <w:rPr>
                <w:rFonts w:ascii="Arial" w:cs="Arial" w:eastAsia="Arial" w:hAnsi="Arial"/>
                <w:sz w:val="18"/>
                <w:szCs w:val="18"/>
                <w:color w:val="auto"/>
              </w:rPr>
              <w:t>and interest rate hedge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88,074</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93,937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with banks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30,635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2,812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Receivables-net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4,954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(77,560)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(146,126)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(174,391)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(73,085)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(82,207)</w:t>
            </w: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(29,198)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(25,239)</w:t>
            </w: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Contributions from noncontrolling interests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(2,617)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Class A common stock</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(30,168)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Class A common stock dividends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(116,954)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(148,532)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(138,654)</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(15,895)</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(264,079)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(238,105)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850,190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1,003,791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EQUIVALENTS—March 31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586,111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THREE MONTH PERIOD ENDED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740" w:type="dxa"/>
            <w:vAlign w:val="bottom"/>
            <w:gridSpan w:val="3"/>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2"/>
              </w:rPr>
              <w:t>Series A</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4"/>
                <w:szCs w:val="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40" w:type="dxa"/>
            <w:vAlign w:val="bottom"/>
          </w:tcPr>
          <w:p>
            <w:pPr>
              <w:spacing w:after="0"/>
              <w:rPr>
                <w:sz w:val="9"/>
                <w:szCs w:val="9"/>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6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4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2012</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123,009,312</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$1,230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659,013</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$ 258,646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(88,364)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3,492,017</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$(104,382)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726,143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140,713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866,856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25,552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25,552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w w:val="88"/>
              </w:rPr>
              <w:t>Other comprehensive income (loss) -</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420"/>
              <w:spacing w:after="0" w:line="159" w:lineRule="exact"/>
              <w:rPr>
                <w:sz w:val="20"/>
                <w:szCs w:val="20"/>
                <w:color w:val="auto"/>
              </w:rPr>
            </w:pPr>
            <w:r>
              <w:rPr>
                <w:rFonts w:ascii="Arial" w:cs="Arial" w:eastAsia="Arial" w:hAnsi="Arial"/>
                <w:sz w:val="14"/>
                <w:szCs w:val="14"/>
                <w:color w:val="auto"/>
              </w:rPr>
              <w:t>net of tax:</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17,953</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17,953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1,176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19,129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640"/>
              <w:spacing w:after="0" w:line="138" w:lineRule="exact"/>
              <w:rPr>
                <w:sz w:val="20"/>
                <w:szCs w:val="20"/>
                <w:color w:val="auto"/>
              </w:rPr>
            </w:pPr>
            <w:r>
              <w:rPr>
                <w:rFonts w:ascii="Arial" w:cs="Arial" w:eastAsia="Arial" w:hAnsi="Arial"/>
                <w:sz w:val="14"/>
                <w:szCs w:val="14"/>
                <w:color w:val="auto"/>
                <w:w w:val="93"/>
              </w:rPr>
              <w:t>Amortization of interest rate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250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(2,463)</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(2,463)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773</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773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42,065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4,602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46,667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Amortization of share-based incentive</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81,708</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81,708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4,428</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86,136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2,912</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(2,934)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(19,164)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(19,164)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2,378,445</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(70,540)</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(70,540)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(70,540)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Delivery of Class A common stock in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incentive compensation and related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96"/>
              </w:rPr>
              <w:t>(108,807)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 expense of $972</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2"/>
              </w:rPr>
              <w:t>(2,602,570)</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82,960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(25,847)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(25,897)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w w:val="89"/>
              </w:rPr>
              <w:t>exchange for Lazard Group common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membership 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85,196</w:t>
            </w:r>
          </w:p>
        </w:tc>
        <w:tc>
          <w:tcPr>
            <w:tcW w:w="5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Distributions to noncontrolling interests,</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(23,257)</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(23,257)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w w:val="97"/>
              </w:rPr>
              <w:t>Adjustments related to noncontrolling</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4,043</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(52)</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3,991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(3,991)</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March 31, 2012</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7,921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123,094,508</w:t>
            </w:r>
          </w:p>
        </w:tc>
        <w:tc>
          <w:tcPr>
            <w:tcW w:w="5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1,231</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638,868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0"/>
              </w:rPr>
              <w:t>$ 262,100</w:t>
            </w: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(71,903)</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3,267,892</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 (91,962)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738,334</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122,444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860,778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40" w:right="16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123,009,311 and 123,094,507 shares of the Company’s Class A common stock issued at January 1, 2012 and March 31, 2012,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THREE MONTH PERIOD ENDED 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48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40" w:type="dxa"/>
            <w:vAlign w:val="bottom"/>
            <w:gridSpan w:val="3"/>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5"/>
              </w:rPr>
              <w:t>Series A</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8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8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08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3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40" w:type="dxa"/>
            <w:vAlign w:val="bottom"/>
          </w:tcPr>
          <w:p>
            <w:pPr>
              <w:spacing w:after="0"/>
              <w:rPr>
                <w:sz w:val="9"/>
                <w:szCs w:val="9"/>
                <w:color w:val="auto"/>
              </w:rPr>
            </w:pP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10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8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7"/>
              </w:rPr>
              <w:t>Shares(*)</w:t>
            </w:r>
          </w:p>
        </w:tc>
        <w:tc>
          <w:tcPr>
            <w:tcW w:w="44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of Tax</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2013</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7"/>
              </w:rPr>
              <w:t>128,216,424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88"/>
              </w:rPr>
              <w:t>$1,282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846,050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$ 182,647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(110,541)</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12,802,938</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$(349,782)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569,656</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81,884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651,540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6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15,360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15,360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17,649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ind w:left="200"/>
              <w:spacing w:after="0" w:line="138" w:lineRule="exact"/>
              <w:rPr>
                <w:sz w:val="20"/>
                <w:szCs w:val="20"/>
                <w:color w:val="auto"/>
              </w:rPr>
            </w:pPr>
            <w:r>
              <w:rPr>
                <w:rFonts w:ascii="Arial" w:cs="Arial" w:eastAsia="Arial" w:hAnsi="Arial"/>
                <w:sz w:val="14"/>
                <w:szCs w:val="14"/>
                <w:color w:val="auto"/>
                <w:w w:val="91"/>
              </w:rPr>
              <w:t>Other comprehensive income (loss)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420"/>
              <w:spacing w:after="0" w:line="159" w:lineRule="exact"/>
              <w:rPr>
                <w:sz w:val="20"/>
                <w:szCs w:val="20"/>
                <w:color w:val="auto"/>
              </w:rPr>
            </w:pPr>
            <w:r>
              <w:rPr>
                <w:rFonts w:ascii="Arial" w:cs="Arial" w:eastAsia="Arial" w:hAnsi="Arial"/>
                <w:sz w:val="14"/>
                <w:szCs w:val="14"/>
                <w:color w:val="auto"/>
              </w:rPr>
              <w:t>- net of tax:</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(12,299)</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(12,299)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(12,433)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ind w:left="640"/>
              <w:spacing w:after="0" w:line="138" w:lineRule="exact"/>
              <w:rPr>
                <w:sz w:val="20"/>
                <w:szCs w:val="20"/>
                <w:color w:val="auto"/>
              </w:rPr>
            </w:pPr>
            <w:r>
              <w:rPr>
                <w:rFonts w:ascii="Arial" w:cs="Arial" w:eastAsia="Arial" w:hAnsi="Arial"/>
                <w:sz w:val="14"/>
                <w:szCs w:val="14"/>
                <w:color w:val="auto"/>
                <w:w w:val="92"/>
              </w:rPr>
              <w:t>Amortization of interest rate</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261</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(3,382)</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(3,382)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1,203</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1,203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1,218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4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1,143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2,132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Business acquisitions and related equity</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transactions: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 issuable</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420"/>
              <w:spacing w:after="0" w:line="159" w:lineRule="exact"/>
              <w:rPr>
                <w:sz w:val="20"/>
                <w:szCs w:val="20"/>
                <w:color w:val="auto"/>
              </w:rPr>
            </w:pPr>
            <w:r>
              <w:rPr>
                <w:rFonts w:ascii="Arial" w:cs="Arial" w:eastAsia="Arial" w:hAnsi="Arial"/>
                <w:sz w:val="14"/>
                <w:szCs w:val="14"/>
                <w:color w:val="auto"/>
                <w:w w:val="94"/>
              </w:rPr>
              <w:t>(including related amortization)</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446</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446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Delivery of Class A common stock</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1"/>
              </w:rPr>
              <w:t>(including dividend-equivalents)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(4,994)</w:t>
            </w:r>
          </w:p>
        </w:tc>
        <w:tc>
          <w:tcPr>
            <w:tcW w:w="7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(170,988)</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5,173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spacing w:after="0" w:line="138" w:lineRule="exact"/>
              <w:rPr>
                <w:sz w:val="20"/>
                <w:szCs w:val="20"/>
                <w:color w:val="auto"/>
              </w:rPr>
            </w:pPr>
            <w:r>
              <w:rPr>
                <w:rFonts w:ascii="Arial" w:cs="Arial" w:eastAsia="Arial" w:hAnsi="Arial"/>
                <w:sz w:val="14"/>
                <w:szCs w:val="14"/>
                <w:color w:val="auto"/>
                <w:w w:val="94"/>
              </w:rPr>
              <w:t>Amortization of share-based incentive</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200"/>
              <w:spacing w:after="0" w:line="159" w:lineRule="exact"/>
              <w:rPr>
                <w:sz w:val="20"/>
                <w:szCs w:val="20"/>
                <w:color w:val="auto"/>
              </w:rPr>
            </w:pPr>
            <w:r>
              <w:rPr>
                <w:rFonts w:ascii="Arial" w:cs="Arial" w:eastAsia="Arial" w:hAnsi="Arial"/>
                <w:sz w:val="14"/>
                <w:szCs w:val="14"/>
                <w:color w:val="auto"/>
              </w:rPr>
              <w:t>compensation</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69,868</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69,868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844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70,712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831,157</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(30,168)</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(30,168)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(30,168)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spacing w:after="0" w:line="138" w:lineRule="exact"/>
              <w:rPr>
                <w:sz w:val="20"/>
                <w:szCs w:val="20"/>
                <w:color w:val="auto"/>
              </w:rPr>
            </w:pPr>
            <w:r>
              <w:rPr>
                <w:rFonts w:ascii="Arial" w:cs="Arial" w:eastAsia="Arial" w:hAnsi="Arial"/>
                <w:sz w:val="14"/>
                <w:szCs w:val="14"/>
                <w:color w:val="auto"/>
                <w:w w:val="97"/>
              </w:rPr>
              <w:t>Delivery of Class A common stock in</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connection with shared-based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w w:val="91"/>
              </w:rPr>
              <w:t>incentive compensation and related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200"/>
              <w:spacing w:after="0" w:line="159" w:lineRule="exact"/>
              <w:rPr>
                <w:sz w:val="20"/>
                <w:szCs w:val="20"/>
                <w:color w:val="auto"/>
              </w:rPr>
            </w:pPr>
            <w:r>
              <w:rPr>
                <w:rFonts w:ascii="Arial" w:cs="Arial" w:eastAsia="Arial" w:hAnsi="Arial"/>
                <w:sz w:val="14"/>
                <w:szCs w:val="14"/>
                <w:color w:val="auto"/>
              </w:rPr>
              <w:t>tax benefit of $862</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6"/>
              </w:rPr>
              <w:t>(307,883)</w:t>
            </w:r>
          </w:p>
        </w:tc>
        <w:tc>
          <w:tcPr>
            <w:tcW w:w="7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(609)</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4"/>
              </w:rPr>
              <w:t>(6,658,417)</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192,390</w:t>
            </w: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(116,102)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(116,092)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Distributions to noncontrolling interests,</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(2,617)</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(2,617)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spacing w:after="0" w:line="138" w:lineRule="exact"/>
              <w:rPr>
                <w:sz w:val="20"/>
                <w:szCs w:val="20"/>
                <w:color w:val="auto"/>
              </w:rPr>
            </w:pPr>
            <w:r>
              <w:rPr>
                <w:rFonts w:ascii="Arial" w:cs="Arial" w:eastAsia="Arial" w:hAnsi="Arial"/>
                <w:sz w:val="14"/>
                <w:szCs w:val="14"/>
                <w:color w:val="auto"/>
                <w:w w:val="96"/>
              </w:rPr>
              <w:t>Adjustments related to noncontrolling</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1,757</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1,757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(1,757)</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w:t>
            </w: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March 31, 2013</w:t>
            </w: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60" w:type="dxa"/>
            <w:vAlign w:val="bottom"/>
            <w:gridSpan w:val="2"/>
            <w:vMerge w:val="continue"/>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40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87"/>
              </w:rPr>
              <w:t>128,216,424</w:t>
            </w:r>
          </w:p>
        </w:tc>
        <w:tc>
          <w:tcPr>
            <w:tcW w:w="560" w:type="dxa"/>
            <w:vAlign w:val="bottom"/>
            <w:gridSpan w:val="3"/>
          </w:tcPr>
          <w:p>
            <w:pPr>
              <w:jc w:val="center"/>
              <w:ind w:right="60"/>
              <w:spacing w:after="0" w:line="15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1,282</w:t>
            </w: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605,166</w:t>
            </w:r>
          </w:p>
        </w:tc>
        <w:tc>
          <w:tcPr>
            <w:tcW w:w="70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w w:val="89"/>
              </w:rPr>
              <w:t>$ 197,297</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(124,758)</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6,804,690</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(182,387)</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496,600</w:t>
            </w: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80,501</w:t>
            </w:r>
          </w:p>
        </w:tc>
        <w:tc>
          <w:tcPr>
            <w:tcW w:w="1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577,101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9"/>
          <w:szCs w:val="19"/>
          <w:color w:val="auto"/>
          <w:vertAlign w:val="superscript"/>
        </w:rPr>
      </w:pPr>
      <w:r>
        <w:rPr>
          <w:rFonts w:ascii="Arial" w:cs="Arial" w:eastAsia="Arial" w:hAnsi="Arial"/>
          <w:sz w:val="12"/>
          <w:szCs w:val="12"/>
          <w:color w:val="auto"/>
        </w:rPr>
        <w:t>Includes 128,216,423 shares of the Company’s Class A common stock issued at January 1, 2013 and March 31, 2013,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Lazard Ltd indirectly held approximately 98.8% of all outstanding Lazard Group common membership interests as of March 31, 2013 and December 31, 2012. Lazard Ltd, through its control of the managing members of Lazard Group, controls Lazard Group, which is governed by an Operating Agreement dated as of May 10, 2005, as amended (the “Operating Agreement”). LAZ-MD Holdings LLC (“LAZ-MD Holdings”), an entity owned by Lazard Group’s current and former managing directors, held approximately 1.2% of the outstanding Lazard Group common membership interests as of March 31, 2013 and December 31, 2012. Additionally, LAZ-MD Holdings was the sole owner of the one issued and outstanding share of Lazard Ltd’s Class B common stock (the “Class B common stock”) which provided LAZ-MD Holdings with approximately 1.2% of the voting power but no economic rights in the Company as of March 31, 2013 and December 31, 2012.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sole operating asset is our indirect ownership of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Lazard Frères Banque SA (“LFB”).</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2012 (the “Form 10-K”). The accompanying December 31, 2012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period ended March 31, 2013 are not necessarily indicative of the results to be expected for any future interim or annual period.</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26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i w:val="1"/>
          <w:iCs w:val="1"/>
          <w:color w:val="auto"/>
        </w:rPr>
        <w:t>Offsetting (Netting) Assets and Liabilities</w:t>
      </w:r>
      <w:r>
        <w:rPr>
          <w:rFonts w:ascii="Arial" w:cs="Arial" w:eastAsia="Arial" w:hAnsi="Arial"/>
          <w:sz w:val="16"/>
          <w:szCs w:val="16"/>
          <w:color w:val="auto"/>
        </w:rPr>
        <w:t>—In the first quarter of 2013, the Company adopted the new disclosure requirements issued by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Board (the “FASB”) regarding the nature of an entity’s rights of setoff and related arrangements associated with its financial instruments, including derivatives, repurchase agreements and reverse repurchase agreements and securities borrowing and securities lending transactions that are either (i) offset or (ii) subject to an enforceable master netting arrangement. The new disclosures are designed to make financial statements prepared under U.S. GAAP more comparable to those prepared under International Financial Reporting Standards (“IFRS”) and will enable users of an entity’s financial statements to evaluate the effect or potential effect of netting arrangements on an entity’s financial position. The disclosure requirements are effective for interim and annual reporting periods beginning on or after January 1, 2013, with retrospective application required. The adoption of the new disclosure requirements did not have a material impact on the Company’s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Reclassifications Out of Accumulated Other Comprehensive Income</w:t>
      </w:r>
      <w:r>
        <w:rPr>
          <w:rFonts w:ascii="Arial" w:cs="Arial" w:eastAsia="Arial" w:hAnsi="Arial"/>
          <w:sz w:val="16"/>
          <w:szCs w:val="16"/>
          <w:color w:val="auto"/>
        </w:rPr>
        <w:t>—In the first quarter of 2013, the Company adopted the FASB’s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presentation of amounts reclassified out of accumulated other comprehensive income. The amendment required that the amounts reclassified out of accumulated other comprehensive income be presented by component and disclosed where the respective line item was reported in the consolidated statement of operations. The amendment was to be applied prospectively, and is effective with interim and annual periods beginning after December 15, 2012, with early adoption permitted. The adoption of the amended guidance did not have a material impact on the Company’s consolidated financial statements.</w:t>
      </w:r>
    </w:p>
    <w:p>
      <w:pPr>
        <w:spacing w:after="0" w:line="23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Receivables are stated net of an estimated allowance for doubtful accounts of $22,805 and $23,017 at March 31, 2013 and December 31, 2012, respectively, for past due amounts and for specific accounts deemed uncollectible, which may include situations where a fee is in dispute. The Company recorded bad debt expense, net of recoveries, of $148 and $1,281 for the three month periods ended March 31, 2013 and 2012, respectively. In addition, the Company recorded charge-offs, foreign currency translation and other adjustments, which resulted in a net increase (decrease) to the allowance for doubtful accounts of $(360) and $441 for the three month periods ended March 31, 2013 and 2012, respectively. At March 31, 2013 and December 31, 2012, the Company had receivables deemed past due or uncollectible of $24,729 and $25,604, respectively.</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Of the Company’s total receivables at March 31, 2013 and December 31, 2012, $68,381 and $76,481, respectively, represented interest-bearing financing fee receivables. Based upon our historical loss experience and the credit quality of the counterparties, and as there were no past due or uncollectible amounts, there was no allowance for doubtful accounts required at those dates related to such receivables.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$391,499 and $401,562 at March 31, 2013 and December 31, 2012, respectively, approximates fair value.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2013 and December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$579 and $578, respectively)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r>
      <w:tr>
        <w:trPr>
          <w:trHeight w:val="230"/>
        </w:trPr>
        <w:tc>
          <w:tcPr>
            <w:tcW w:w="932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49,180</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56,961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145,341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154,310</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110,496</w:t>
            </w:r>
          </w:p>
        </w:tc>
        <w:tc>
          <w:tcPr>
            <w:tcW w:w="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112,444</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342,604</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356,721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1"/>
        </w:trPr>
        <w:tc>
          <w:tcPr>
            <w:tcW w:w="932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406,256</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414,673</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2"/>
        </w:trPr>
        <w:tc>
          <w:tcPr>
            <w:tcW w:w="932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398,665</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407,083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$7,797, $16,525 and $72,751, respectively, at March 31, 2013 and $5,054, $18,615 and $76,907, respectively, at December 31, 2012,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12 of Notes to Condensed Consolidated Financial Statements).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Interests in alternative investment funds primarily consist of interests in various Lazard-managed hedge funds and fund of funds.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related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a private equity fund targeting significant noncontrolling-stake investments in established public and private companies, (iii) Edgewater Growth Capital Partners III, L.P. (“EGCP III”), a private equity fund primarily making equity and buyout investments in middle market companies and (iv) Lazard Australia Corporate Opportunities Fund (“COF2”), a Lazard-managed Australian private equity fund targeting Australian mid-market investments.</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aggregated $12,508 and $11,490 at March 31, 2013 and December 31, 2012, respectively (see Note 10 of Notes to Condensed Consolidated Financial Statements).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three month periods ended March 31, 2013 and 2012, the Company reported in revenue-other on its condensed consolidated statements of operations gross unrealized investment gains and losses pertaining to “trading” securities as follows (including, for the three month period ended March 31, 2012, restated amounts pertaining to certain non-broker dealer subsidiaries):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6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614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3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15,357</w:t>
            </w:r>
          </w:p>
        </w:tc>
        <w:tc>
          <w:tcPr>
            <w:tcW w:w="100" w:type="dxa"/>
            <w:vAlign w:val="bottom"/>
            <w:shd w:val="clear" w:color="auto" w:fill="CCEEFF"/>
          </w:tcPr>
          <w:p>
            <w:pPr>
              <w:spacing w:after="0"/>
              <w:rPr>
                <w:sz w:val="18"/>
                <w:szCs w:val="18"/>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4380" w:type="dxa"/>
            <w:vAlign w:val="bottom"/>
            <w:gridSpan w:val="3"/>
          </w:tcPr>
          <w:p>
            <w:pPr>
              <w:jc w:val="right"/>
              <w:ind w:right="200"/>
              <w:spacing w:after="0"/>
              <w:rPr>
                <w:sz w:val="20"/>
                <w:szCs w:val="20"/>
                <w:color w:val="auto"/>
              </w:rPr>
            </w:pPr>
            <w:r>
              <w:rPr>
                <w:rFonts w:ascii="Arial" w:cs="Arial" w:eastAsia="Arial" w:hAnsi="Arial"/>
                <w:sz w:val="18"/>
                <w:szCs w:val="18"/>
                <w:color w:val="auto"/>
              </w:rPr>
              <w:t>$1,636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6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14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considered Level 1 assets when their respective fair values are based on unadjusted quoted prices in active markets and are considered Level 2 assets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fair value of investments in alternative investment funds is classified as either Level 2 or Level 3 depending on the time frame of any applicable redemption restriction, and is valued at NAV or its equivalent, which is primarily determined based on information provided by external fund administrators.</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fair value of investments in debt funds are considered Level 1 assets when the fair values are primarily based on the reported closing price for the fund or Level 2 assets when the fair values are primarily based on NAV or its equivalent and are redeemable within the near term.</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fair value of investments in equity funds is classified as Level 1, 2 or 3 as follows: publicly traded asset management funds are classified as Level 1 and are valued based on the reported closing price for the fund; investments in asset management funds redeemable in the near term are classified as Level 2 and are valued at NAV or its equivalent, which is primarily determined based on information provided by external fund administrators; and Level 3 represents funds valued based on NAV or its equivalent that are not redeemable within the near term.</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and the fair value of interest rate swaps is based on the interest rate yield curve; and the fair value of derivative liabilities related to Lazard Fund Interests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external fund administrators or pricing services, the Company reviews such information to ascertain at which level within the fair value hierarchy to classify the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the categorization of investments and certain other assets and liabilities measured at fair value on a recurring basis as of March 31, 2013 and December 31, 2012 within the fair value hierarchy: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0"/>
              </w:rPr>
              <w:t>March 31, 2013</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48,996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49,180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55,657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29,806</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135,436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145,341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110,496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110,496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215,721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111,984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402,837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159,370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159,370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159,370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162,545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87"/>
              </w:rPr>
              <w:t>December 31, 2012</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44,802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32,077</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145,231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9,069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154,310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112,444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112,444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223,549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68,366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116,101</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408,016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102,492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102,492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102,551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105,247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2013 and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periods ended March 31,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 March 31, 2013</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Realized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Included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In Revenue-</w:t>
            </w:r>
          </w:p>
        </w:tc>
        <w:tc>
          <w:tcPr>
            <w:tcW w:w="6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Purchases/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Sales/</w:t>
            </w: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4"/>
                <w:szCs w:val="14"/>
                <w:color w:val="auto"/>
              </w:rPr>
            </w:pP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Other (a)</w:t>
            </w:r>
          </w:p>
        </w:tc>
        <w:tc>
          <w:tcPr>
            <w:tcW w:w="6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2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vMerge w:val="continue"/>
          </w:tcPr>
          <w:p>
            <w:pPr>
              <w:spacing w:after="0"/>
              <w:rPr>
                <w:sz w:val="19"/>
                <w:szCs w:val="19"/>
                <w:color w:val="auto"/>
              </w:rPr>
            </w:pPr>
          </w:p>
        </w:tc>
        <w:tc>
          <w:tcPr>
            <w:tcW w:w="2000" w:type="dxa"/>
            <w:vAlign w:val="bottom"/>
            <w:gridSpan w:val="4"/>
          </w:tcPr>
          <w:p>
            <w:pPr>
              <w:jc w:val="right"/>
              <w:ind w:right="120"/>
              <w:spacing w:after="0"/>
              <w:rPr>
                <w:sz w:val="20"/>
                <w:szCs w:val="20"/>
                <w:color w:val="auto"/>
              </w:rPr>
            </w:pPr>
            <w:r>
              <w:rPr>
                <w:rFonts w:ascii="Arial" w:cs="Arial" w:eastAsia="Arial" w:hAnsi="Arial"/>
                <w:sz w:val="18"/>
                <w:szCs w:val="18"/>
                <w:color w:val="auto"/>
              </w:rPr>
              <w:t>$ 116,101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776</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(3,513)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 March 31, 2012</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Realized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Included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In Revenue-</w:t>
            </w:r>
          </w:p>
        </w:tc>
        <w:tc>
          <w:tcPr>
            <w:tcW w:w="6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Purchases/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Sales/</w:t>
            </w: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4"/>
                <w:szCs w:val="14"/>
                <w:color w:val="auto"/>
              </w:rPr>
            </w:pP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Other (a)</w:t>
            </w:r>
          </w:p>
        </w:tc>
        <w:tc>
          <w:tcPr>
            <w:tcW w:w="6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7,564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(17,872)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5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(22,265)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1940" w:hanging="5612"/>
        <w:spacing w:after="0" w:line="440" w:lineRule="auto"/>
        <w:tabs>
          <w:tab w:leader="none" w:pos="4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three month periods ended March 31, 2013 and 2012 include net unrealized gains of $670 and $6,080, respectively. 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March 31, 2013 and December 31, 2012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NAV or its equivalent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March 31, 2013</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80" w:type="dxa"/>
            <w:vAlign w:val="bottom"/>
            <w:gridSpan w:val="6"/>
          </w:tcPr>
          <w:p>
            <w:pPr>
              <w:ind w:left="20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Investments Not Redeemable</w:t>
            </w:r>
          </w:p>
        </w:tc>
        <w:tc>
          <w:tcPr>
            <w:tcW w:w="1980" w:type="dxa"/>
            <w:vAlign w:val="bottom"/>
            <w:gridSpan w:val="3"/>
          </w:tcPr>
          <w:p>
            <w:pPr>
              <w:ind w:left="280"/>
              <w:spacing w:after="0"/>
              <w:rPr>
                <w:sz w:val="20"/>
                <w:szCs w:val="20"/>
                <w:color w:val="auto"/>
              </w:rPr>
            </w:pPr>
            <w:r>
              <w:rPr>
                <w:rFonts w:ascii="Arial" w:cs="Arial" w:eastAsia="Arial" w:hAnsi="Arial"/>
                <w:sz w:val="14"/>
                <w:szCs w:val="14"/>
                <w:b w:val="1"/>
                <w:bCs w:val="1"/>
                <w:color w:val="auto"/>
                <w:w w:val="99"/>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80" w:type="dxa"/>
            <w:vAlign w:val="bottom"/>
            <w:tcBorders>
              <w:top w:val="single" w:sz="8" w:color="auto"/>
            </w:tcBorders>
          </w:tcPr>
          <w:p>
            <w:pPr>
              <w:jc w:val="right"/>
              <w:ind w:right="144"/>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Next</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5-10</w:t>
            </w:r>
          </w:p>
        </w:tc>
        <w:tc>
          <w:tcPr>
            <w:tcW w:w="220" w:type="dxa"/>
            <w:vAlign w:val="bottom"/>
          </w:tcPr>
          <w:p>
            <w:pPr>
              <w:spacing w:after="0"/>
              <w:rPr>
                <w:sz w:val="12"/>
                <w:szCs w:val="12"/>
                <w:color w:val="auto"/>
              </w:rPr>
            </w:pPr>
          </w:p>
        </w:tc>
        <w:tc>
          <w:tcPr>
            <w:tcW w:w="84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Redemption</w:t>
            </w:r>
          </w:p>
        </w:tc>
        <w:tc>
          <w:tcPr>
            <w:tcW w:w="0" w:type="dxa"/>
            <w:vAlign w:val="bottom"/>
          </w:tcPr>
          <w:p>
            <w:pPr>
              <w:spacing w:after="0"/>
              <w:rPr>
                <w:sz w:val="1"/>
                <w:szCs w:val="1"/>
                <w:color w:val="auto"/>
              </w:rPr>
            </w:pPr>
          </w:p>
        </w:tc>
      </w:t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Alternative investment funds</w:t>
            </w: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Fair value</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Redeemable</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Thereafter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Frequency</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Notice Period</w:t>
            </w:r>
          </w:p>
        </w:tc>
        <w:tc>
          <w:tcPr>
            <w:tcW w:w="0" w:type="dxa"/>
            <w:vAlign w:val="bottom"/>
          </w:tcPr>
          <w:p>
            <w:pPr>
              <w:spacing w:after="0"/>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56,961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w:t>
            </w:r>
          </w:p>
        </w:tc>
        <w:tc>
          <w:tcPr>
            <w:tcW w:w="220" w:type="dxa"/>
            <w:vAlign w:val="bottom"/>
          </w:tcPr>
          <w:p>
            <w:pPr>
              <w:spacing w:after="0"/>
              <w:rPr>
                <w:sz w:val="18"/>
                <w:szCs w:val="18"/>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4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4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&lt;30-120 days</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9,905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&lt;30-90 days</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110,496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31,501</w:t>
            </w:r>
          </w:p>
        </w:tc>
        <w:tc>
          <w:tcPr>
            <w:tcW w:w="10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177,366</w:t>
            </w:r>
          </w:p>
        </w:tc>
        <w:tc>
          <w:tcPr>
            <w:tcW w:w="2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31,501</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 weekly (9%), monthly (43%) and quarterly (38%)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(36%) and monthly (64%)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December 31, 2012</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Investments Not Redeemable</w:t>
            </w:r>
          </w:p>
        </w:tc>
        <w:tc>
          <w:tcPr>
            <w:tcW w:w="220" w:type="dxa"/>
            <w:vAlign w:val="bottom"/>
          </w:tcPr>
          <w:p>
            <w:pPr>
              <w:spacing w:after="0"/>
              <w:rPr>
                <w:sz w:val="14"/>
                <w:szCs w:val="14"/>
                <w:color w:val="auto"/>
              </w:rPr>
            </w:pPr>
          </w:p>
        </w:tc>
        <w:tc>
          <w:tcPr>
            <w:tcW w:w="19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Investments Redeemable</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Fair value</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Frequency</w:t>
            </w: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223"/>
        </w:trPr>
        <w:tc>
          <w:tcPr>
            <w:tcW w:w="20" w:type="dxa"/>
            <w:vAlign w:val="bottom"/>
          </w:tcPr>
          <w:p>
            <w:pPr>
              <w:spacing w:after="0"/>
              <w:rPr>
                <w:sz w:val="19"/>
                <w:szCs w:val="19"/>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&lt;30-120 days</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Debt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(b)</w:t>
            </w:r>
          </w:p>
        </w:tc>
        <w:tc>
          <w:tcPr>
            <w:tcW w:w="1000" w:type="dxa"/>
            <w:vAlign w:val="bottom"/>
          </w:tcPr>
          <w:p>
            <w:pPr>
              <w:spacing w:after="0"/>
              <w:rPr>
                <w:sz w:val="20"/>
                <w:szCs w:val="20"/>
                <w:color w:val="auto"/>
              </w:rPr>
            </w:pPr>
            <w:r>
              <w:rPr>
                <w:rFonts w:ascii="Arial" w:cs="Arial" w:eastAsia="Arial" w:hAnsi="Arial"/>
                <w:sz w:val="18"/>
                <w:szCs w:val="18"/>
                <w:color w:val="auto"/>
              </w:rPr>
              <w:t>30 days</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8"/>
              </w:rPr>
              <w:t>30-120 days</w:t>
            </w: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112,444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31,482</w:t>
            </w:r>
          </w:p>
        </w:tc>
        <w:tc>
          <w:tcPr>
            <w:tcW w:w="1040" w:type="dxa"/>
            <w:vAlign w:val="bottom"/>
            <w:gridSpan w:val="2"/>
          </w:tcPr>
          <w:p>
            <w:pPr>
              <w:jc w:val="right"/>
              <w:ind w:right="86"/>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2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48%</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179,417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 weekly (9%), monthly (38%) and quarterly (43%)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(37%) and monthly (61%)</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See Note 4 of Notes to Condensed Consolidated Financial Statements for discussion of significant investment strategies for investments with value based on NAV.</w:t>
      </w:r>
    </w:p>
    <w:p>
      <w:pPr>
        <w:spacing w:after="0" w:line="132"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March 31, 2013, the maximum unfunded commitments by the Company for capital contributions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related to (i) CP II, amounting to $1,940 for potential “follow-on investments” and/or for fund expenses through the earlier of February 25, 2017 or the liquidation of the fund, (ii) EGCP III, amounting to $21,435,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investment period) for investments and/or expenses (with a portion of the undrawn amount of such commitment as of that date remaining committed until October 12, 2023 in respect of “follow-on investments” and/or fund expenses) or the liquidation of the fund and (iii) COF2, amounting to $8,126, through the earlier of November 11, 2016 (</w:t>
      </w:r>
      <w:r>
        <w:rPr>
          <w:rFonts w:ascii="Arial" w:cs="Arial" w:eastAsia="Arial" w:hAnsi="Arial"/>
          <w:sz w:val="18"/>
          <w:szCs w:val="18"/>
          <w:i w:val="1"/>
          <w:iCs w:val="1"/>
          <w:color w:val="auto"/>
        </w:rPr>
        <w:t>i.e</w:t>
      </w:r>
      <w:r>
        <w:rPr>
          <w:rFonts w:ascii="Arial" w:cs="Arial" w:eastAsia="Arial" w:hAnsi="Arial"/>
          <w:sz w:val="18"/>
          <w:szCs w:val="18"/>
          <w:color w:val="auto"/>
        </w:rPr>
        <w:t>., the end of the investment period) for investments and/or fund expenses (with a portion of the undrawn amount of such commitment as of that date remaining committed until November 11, 2019 in respect of “follow-on investments” and/or fund expenses) or the liquidation of the fund.</w:t>
      </w:r>
    </w:p>
    <w:p>
      <w:pPr>
        <w:spacing w:after="0" w:line="26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 other”, depending on the nature of the underlying item, on the consolidated statements of operations.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awards and other similar deferred compensation arrangements, which are reported in “revenue-other” in the consolidated statements of operations.</w:t>
      </w:r>
    </w:p>
    <w:p>
      <w:pPr>
        <w:spacing w:after="0" w:line="12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tables below represent the fair values of the Company’s derivative instruments reported within “other assets” and “other liabilities” and the fair value of the Company’s derivative liabilities relating to its obligations pertaining to Lazard Fund Interests and other similar deferred compensation arrangements (see Note 12 of Notes to Condensed Consolidated Financial Statements) on the accompanying condensed consolidated statements of financial condition as of March 31, 2013 and December 31,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4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4,172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 (a)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4,172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tcPr>
          <w:p>
            <w:pPr>
              <w:ind w:left="440"/>
              <w:spacing w:after="0"/>
              <w:rPr>
                <w:sz w:val="20"/>
                <w:szCs w:val="20"/>
                <w:color w:val="auto"/>
              </w:rPr>
            </w:pPr>
            <w:r>
              <w:rPr>
                <w:rFonts w:ascii="Arial" w:cs="Arial" w:eastAsia="Arial" w:hAnsi="Arial"/>
                <w:sz w:val="18"/>
                <w:szCs w:val="18"/>
                <w:color w:val="auto"/>
              </w:rPr>
              <w:t>Equity and fixed income swaps (a)</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158,809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159,370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40" w:type="dxa"/>
            <w:vAlign w:val="bottom"/>
            <w:vMerge w:val="restart"/>
          </w:tcPr>
          <w:p>
            <w:pPr>
              <w:ind w:left="562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right="18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equity and fixed income swaps, amounts represent the netting of gross derivative assets and liabilities of $1,171 and $1,268 as of March 31, 2013, respectively, and $0 and $4,342 as of December 31, 2012, respectively, for contracts with the same counterparty under legally enforceable master netting agreements. Such amounts are offset in “other assets” against receivables for net cash collateral under such contracts of $12,599 and $15,304 as of March 31, 2013 and December 31, 2012,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Lazard Fund Interests and other similar deferred compensation arrangements (included in “compensation and benefits” expense) as reflected on the accompanying condensed consolidated statements of operations for the three month periods ended March 31, 2013 and 2012,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$ 5,231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(1,922)</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(3,725)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(2,767)</w:t>
            </w: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 and other</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(10,255)</w:t>
            </w:r>
          </w:p>
        </w:tc>
      </w:tr>
      <w:tr>
        <w:trPr>
          <w:trHeight w:val="20"/>
        </w:trPr>
        <w:tc>
          <w:tcPr>
            <w:tcW w:w="9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660" w:type="dxa"/>
            <w:vAlign w:val="bottom"/>
          </w:tcPr>
          <w:p>
            <w:pPr>
              <w:spacing w:after="0"/>
              <w:rPr>
                <w:sz w:val="19"/>
                <w:szCs w:val="19"/>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(2,602)</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(14,944)</w:t>
            </w:r>
          </w:p>
        </w:tc>
      </w:tr>
      <w:tr>
        <w:trPr>
          <w:trHeight w:val="20"/>
        </w:trPr>
        <w:tc>
          <w:tcPr>
            <w:tcW w:w="9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March 31, 2013 and December 31, 2012,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Estimated</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516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Life in Years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$161,639</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166,560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680" w:type="dxa"/>
            <w:vAlign w:val="bottom"/>
          </w:tcPr>
          <w:p>
            <w:pPr>
              <w:jc w:val="right"/>
              <w:spacing w:after="0"/>
              <w:rPr>
                <w:sz w:val="20"/>
                <w:szCs w:val="20"/>
                <w:color w:val="auto"/>
              </w:rPr>
            </w:pPr>
            <w:r>
              <w:rPr>
                <w:rFonts w:ascii="Arial" w:cs="Arial" w:eastAsia="Arial" w:hAnsi="Arial"/>
                <w:sz w:val="18"/>
                <w:szCs w:val="18"/>
                <w:color w:val="auto"/>
              </w:rPr>
              <w:t>153,477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143,408</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122,125</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19,109</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18,801</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466,146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450,894</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226,570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225,861</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239,576</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225,033</w:t>
            </w:r>
          </w:p>
        </w:tc>
        <w:tc>
          <w:tcPr>
            <w:tcW w:w="8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March 31, 2013 and December 31, 2012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34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54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8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$365,649</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364,328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2"/>
              </w:rPr>
              <w:t>Other intangible assets (net of accumulated amortization)</w:t>
            </w:r>
          </w:p>
        </w:tc>
        <w:tc>
          <w:tcPr>
            <w:tcW w:w="28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27,668</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393,317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392,822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60" w:type="dxa"/>
            <w:vAlign w:val="bottom"/>
            <w:vMerge w:val="restart"/>
          </w:tcPr>
          <w:p>
            <w:pPr>
              <w:jc w:val="right"/>
              <w:ind w:right="2379"/>
              <w:spacing w:after="0"/>
              <w:rPr>
                <w:sz w:val="20"/>
                <w:szCs w:val="20"/>
                <w:color w:val="auto"/>
              </w:rPr>
            </w:pPr>
            <w:r>
              <w:rPr>
                <w:rFonts w:ascii="Arial" w:cs="Arial" w:eastAsia="Arial" w:hAnsi="Arial"/>
                <w:sz w:val="18"/>
                <w:szCs w:val="18"/>
                <w:color w:val="auto"/>
              </w:rPr>
              <w:t>19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At March 31, 2013 and December 31, 2012, goodwill of $301,108 and $299,787, respectively, was attributable to the Company’s Financial Advisory segment and, at each such respective date,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2013 and 2012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$364,328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Business acquisition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Balance, March 31</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365,649</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360,638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2013 and December 31, 2012,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2013</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2012</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Amortization</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$20,062</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33,086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25,480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7,606</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24,603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63,826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27,668</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63,775</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28,494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2013 and 2012 was $877 and $1,118,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3720" w:type="dxa"/>
            <w:vAlign w:val="bottom"/>
            <w:gridSpan w:val="4"/>
          </w:tcPr>
          <w:p>
            <w:pPr>
              <w:ind w:left="28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gridSpan w:val="4"/>
            <w:vMerge w:val="continue"/>
          </w:tcPr>
          <w:p>
            <w:pPr>
              <w:spacing w:after="0"/>
              <w:rPr>
                <w:sz w:val="12"/>
                <w:szCs w:val="12"/>
                <w:color w:val="auto"/>
              </w:rPr>
            </w:pPr>
          </w:p>
        </w:tc>
        <w:tc>
          <w:tcPr>
            <w:tcW w:w="2840" w:type="dxa"/>
            <w:vAlign w:val="bottom"/>
          </w:tcPr>
          <w:p>
            <w:pPr>
              <w:spacing w:after="0"/>
              <w:rPr>
                <w:sz w:val="12"/>
                <w:szCs w:val="12"/>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2013 (April 1 through December 31)</w:t>
            </w:r>
          </w:p>
        </w:tc>
        <w:tc>
          <w:tcPr>
            <w:tcW w:w="2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04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260" w:hanging="4707"/>
        <w:spacing w:after="0" w:line="440" w:lineRule="auto"/>
        <w:tabs>
          <w:tab w:leader="none" w:pos="14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 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March 31, 2013 and December 31, 2012: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Annual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1"/>
              </w:rPr>
              <w:t>Principal</w:t>
            </w:r>
          </w:p>
        </w:tc>
        <w:tc>
          <w:tcPr>
            <w:tcW w:w="8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w w:val="89"/>
              </w:rPr>
              <w:t>March 31,</w:t>
            </w:r>
          </w:p>
        </w:tc>
        <w:tc>
          <w:tcPr>
            <w:tcW w:w="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w:t>
            </w:r>
          </w:p>
        </w:tc>
        <w:tc>
          <w:tcPr>
            <w:tcW w:w="18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$550,000</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5/15/15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7.125%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600,000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6/15/17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9/25/15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520" w:type="dxa"/>
            <w:vAlign w:val="bottom"/>
            <w:gridSpan w:val="2"/>
          </w:tcPr>
          <w:p>
            <w:pPr>
              <w:ind w:left="4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March 31, 2013, the annual interest rate for a loan accruing interest (based on the Federal Funds overnight rate), including the applicable margin, was 0.88%. At March 31, 2013 and December 31, 2012, no amounts were outstanding under the Credit Facility.</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March 31, 2013, the Company was in compliance with all of these provisions. All of the Company’s senior debt obligations are unsecured.</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March 31, 2013, the Company had approximately $274,000 in unused lines of credit available to it, including the Credit Facility, and unused lines of credit available to LFB of approximately $64,000 (at March 31, 2013 exchange rates) and Edgewater of $55,000. In addition, LFB has access to the Eurosystem Covered Bond Purchase Program of the Banque de France.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Company’s senior debt at March 31, 2013 and December 31, 2012 is carried at historical amounts. At those dates, the fair value of such senior debt outstanding was approximately $1,204,000 and $1,207,000, respectively, and exceeded the aggregate carrying value by approximately $127,000 and $130,000, respectively. The fair value of the Company’s senior debt was based on market quotations. The Company’s senior debt would be categorized within Level 2 of the hierarchy of fair value measurements if carried at fair value.</w:t>
      </w:r>
    </w:p>
    <w:p>
      <w:pPr>
        <w:spacing w:after="0" w:line="26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2013, LFB had $4,671 of such indemnifications and held $3,845 of collateral/counter-guarantees to secure these commitments. The Company believes the likelihood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loss with respect to these indemnities is remote. Accordingly, no liability is recorded in the condensed consolidated statement of financial condition.</w:t>
      </w:r>
    </w:p>
    <w:p>
      <w:pPr>
        <w:spacing w:after="0" w:line="194"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March 31, 2013 and December 31, 2012, 1,323,439 and 1,209,154 shares, respectively, have been earned because applicable performance thresholds have been satisfied. Such shares are no longer subject to any contingencies. As of December 31, 2012, 686,004 of such shares have been settled, and no additional shares have been settled as of March 31, 2013.</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Consideration Relating To Other Business Acquisitions</w:t>
      </w:r>
      <w:r>
        <w:rPr>
          <w:rFonts w:ascii="Arial" w:cs="Arial" w:eastAsia="Arial" w:hAnsi="Arial"/>
          <w:sz w:val="18"/>
          <w:szCs w:val="18"/>
          <w:color w:val="auto"/>
        </w:rPr>
        <w:t>—For a business acquired in 2013, the Company is obligated to issue a maximum of 107,617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Class A common stock if certain performance thresholds are achieved.</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business acquired in 2012, at December 31, 2012 170,988 shares of Class A 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 business acquired in 2011, the Company is obligated to pay earnout consideration if certain performance thresholds are achieved. The maximum potential earnout consideration payable by the Company cannot exceed $7,000. Through March 31, 2013, no cash payments relating to the earnout consideration were required.</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March 31, 2013 aggregated approximately $22,000.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financial position or results of operations. At March 31, 2013, LFB had no such underwriting commitments.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4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During the three month periods ended March 31, 2013 and 2012, Lazard Group distributed the following amounts to LAZ-MD Holdings and the subsidiaries of Lazard Ltd (none of which related to tax distributions):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58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5860" w:type="dxa"/>
            <w:vAlign w:val="bottom"/>
            <w:tcBorders>
              <w:bottom w:val="single" w:sz="8" w:color="CCEEFF"/>
            </w:tcBorders>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Subsidiaries of Lazard Ltd</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19,164</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20,245</w:t>
            </w:r>
          </w:p>
        </w:tc>
        <w:tc>
          <w:tcPr>
            <w:tcW w:w="100" w:type="dxa"/>
            <w:vAlign w:val="bottom"/>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—During the three month period ended March 31, 2012, Lazard Ltd issued 85,196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in connection with the exchange of a like number of Lazard Group common membership interests (received from members of LAZ-MD Holdings in exchange for a like number of LAZ-MD Holdings exchangeable interests). No such exchange occurred during the three month period ended March 31, 2013.</w:t>
      </w:r>
    </w:p>
    <w:p>
      <w:pPr>
        <w:spacing w:after="0" w:line="143" w:lineRule="exact"/>
        <w:rPr>
          <w:sz w:val="20"/>
          <w:szCs w:val="20"/>
          <w:color w:val="auto"/>
        </w:rPr>
      </w:pPr>
    </w:p>
    <w:p>
      <w:pPr>
        <w:jc w:val="center"/>
        <w:ind w:left="320" w:right="380"/>
        <w:spacing w:after="0" w:line="440" w:lineRule="auto"/>
        <w:rPr>
          <w:sz w:val="20"/>
          <w:szCs w:val="20"/>
          <w:color w:val="auto"/>
        </w:rPr>
      </w:pPr>
      <w:r>
        <w:rPr>
          <w:rFonts w:ascii="Arial" w:cs="Arial" w:eastAsia="Arial" w:hAnsi="Arial"/>
          <w:sz w:val="18"/>
          <w:szCs w:val="18"/>
          <w:color w:val="auto"/>
        </w:rPr>
        <w:t>See “Noncontrolling Interests” below for additional information regarding Lazard Ltd’s and LAZ-MD Holdings’ ownership interests in Lazard Group. 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February 2011, October 2011, April 2012 and October 2012 the Board of Directors of Lazard Ltd authorized,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cumulative basis, the repurchase of up to $250,000, $125,000, $125,000 and $200,000, respectively, in aggregate cost of Class A common stock and Lazard Group common membership interests through December 31, 2012, December 31, 2013, December 31, 2013 and December 31, 2014, respectively. The Company’s prior share repurchase authorizations expired on December 31, 2009 and December 31, 2011. The Company expects that the share repurchase program, with respect to the Class A common stock, will continue to be used, among other ways, to offset a portion of the shares that have been or will be issued under the Lazard Ltd 2005 Equity Incentive Plan (the “2005 Plan”) and the Lazard Ltd 2008 Incentive Compensation Plan (the “2008 Plan”). Pursuant to such authorizations, purchases have been made in the open market or through privately negotiated transactions. During the three month period ended March 31, 2013, the Company made purchases of 831,157 Class A common shares, at an aggregate cost of $30,168 (no Lazard Group common membership interests were purchased during such three month period).</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March 31, 2013, $123,898 of the current share repurchase amount authorized as of such date remained available under the share repurchase program, all of which expires December 31, 2014. In addition, under the terms of the 2005 Plan and the 2008 Plan, upon the vesting of restricted stock units (“RSUs”), performance-based restricted stock units (“PRSUs”) and delivery of restricted Class A common stock, shares of Class A common stock may be withheld by the Company to cover its minimum statutory tax withholding requirements (see Note 12 of Notes to Condensed Consolidated Financial Statements).</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and Series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Series A and Series B preferred shares were issued in connection with certain prior year business acquisitions and are each non-participating securities convertible into Class A common stock, and have no voting or dividend rights. As of both March 31, 2013 and December 31, 2012, 7,921 shares of Series A preferred stock were outstanding, and no shares of Series B preferred stock were outstanding. At March 31, 2013, no shares of Series A preferred stock were convertible into shares of Class A common stock on a contingent or a non-contingent basis.</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 below reflects the components of AOCI at March 31, 2013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 during the three month period ended March 31,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Currency</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Interest</w:t>
            </w: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Employee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Rate</w:t>
            </w: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Benefit</w:t>
            </w:r>
          </w:p>
        </w:tc>
        <w:tc>
          <w:tcPr>
            <w:tcW w:w="18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Total</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4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Hedge</w:t>
            </w:r>
          </w:p>
        </w:tc>
        <w:tc>
          <w:tcPr>
            <w:tcW w:w="2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Plans</w:t>
            </w:r>
          </w:p>
        </w:tc>
        <w:tc>
          <w:tcPr>
            <w:tcW w:w="18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AOCI</w:t>
            </w:r>
          </w:p>
        </w:tc>
        <w:tc>
          <w:tcPr>
            <w:tcW w:w="1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Interests</w:t>
            </w:r>
          </w:p>
        </w:tc>
        <w:tc>
          <w:tcPr>
            <w:tcW w:w="1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($2,502)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($128,536)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($ 111,633)</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8"/>
              </w:rPr>
              <w:t>($ 110,541)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Activity January 1, 2013 to March 31, 2013: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(12,433)</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(3,423)</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(15,856)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(15,681)</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w w:val="96"/>
              </w:rPr>
              <w:t>Adjustments for items reclassified to earnings, net of tax</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1,218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1,482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(2,205)</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(14,374)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Balance, March 31, 2013</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6,972</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2,238)</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130,741)</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126,007)</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1,249)</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124,758)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320" w:type="dxa"/>
            <w:vAlign w:val="bottom"/>
          </w:tcPr>
          <w:p>
            <w:pPr>
              <w:jc w:val="center"/>
              <w:ind w:right="132"/>
              <w:spacing w:after="0"/>
              <w:rPr>
                <w:sz w:val="20"/>
                <w:szCs w:val="20"/>
                <w:color w:val="auto"/>
              </w:rPr>
            </w:pPr>
            <w:r>
              <w:rPr>
                <w:rFonts w:ascii="Arial" w:cs="Arial" w:eastAsia="Arial" w:hAnsi="Arial"/>
                <w:sz w:val="18"/>
                <w:szCs w:val="18"/>
                <w:b w:val="1"/>
                <w:bCs w:val="1"/>
                <w:color w:val="auto"/>
                <w:w w:val="99"/>
              </w:rPr>
              <w:t>LAZARD LTD</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320" w:type="dxa"/>
            <w:vAlign w:val="bottom"/>
          </w:tcPr>
          <w:p>
            <w:pPr>
              <w:jc w:val="center"/>
              <w:ind w:right="132"/>
              <w:spacing w:after="0"/>
              <w:rPr>
                <w:sz w:val="20"/>
                <w:szCs w:val="20"/>
                <w:color w:val="auto"/>
              </w:rPr>
            </w:pPr>
            <w:r>
              <w:rPr>
                <w:rFonts w:ascii="Arial" w:cs="Arial" w:eastAsia="Arial" w:hAnsi="Arial"/>
                <w:sz w:val="18"/>
                <w:szCs w:val="18"/>
                <w:b w:val="1"/>
                <w:bCs w:val="1"/>
                <w:color w:val="auto"/>
                <w:w w:val="96"/>
              </w:rPr>
              <w:t>NOTES TO CONDENSED CONSOLIDATED FINANCIAL STATEMENTS—(Continued)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320" w:type="dxa"/>
            <w:vAlign w:val="bottom"/>
          </w:tcPr>
          <w:p>
            <w:pPr>
              <w:jc w:val="center"/>
              <w:ind w:right="132"/>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320" w:type="dxa"/>
            <w:vAlign w:val="bottom"/>
          </w:tcPr>
          <w:p>
            <w:pPr>
              <w:jc w:val="center"/>
              <w:ind w:right="112"/>
              <w:spacing w:after="0"/>
              <w:rPr>
                <w:sz w:val="20"/>
                <w:szCs w:val="20"/>
                <w:color w:val="auto"/>
              </w:rPr>
            </w:pPr>
            <w:r>
              <w:rPr>
                <w:rFonts w:ascii="Arial" w:cs="Arial" w:eastAsia="Arial" w:hAnsi="Arial"/>
                <w:sz w:val="18"/>
                <w:szCs w:val="18"/>
                <w:b w:val="1"/>
                <w:bCs w:val="1"/>
                <w:color w:val="auto"/>
                <w:w w:val="86"/>
              </w:rPr>
              <w:t>(dollars in thousands, except for per share data, unless otherwise noted)</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60" w:type="dxa"/>
            <w:vAlign w:val="bottom"/>
            <w:gridSpan w:val="2"/>
          </w:tcPr>
          <w:p>
            <w:pPr>
              <w:ind w:left="440"/>
              <w:spacing w:after="0"/>
              <w:rPr>
                <w:sz w:val="20"/>
                <w:szCs w:val="20"/>
                <w:color w:val="auto"/>
              </w:rPr>
            </w:pPr>
            <w:r>
              <w:rPr>
                <w:rFonts w:ascii="Arial" w:cs="Arial" w:eastAsia="Arial" w:hAnsi="Arial"/>
                <w:sz w:val="18"/>
                <w:szCs w:val="18"/>
                <w:color w:val="auto"/>
                <w:w w:val="91"/>
              </w:rPr>
              <w:t>The table below reflects adjustments for items reclassified out of AOCI, by component, for the three month period ended March 31, 2013: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interest rate hedge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1"/>
        </w:trPr>
        <w:tc>
          <w:tcPr>
            <w:tcW w:w="10480" w:type="dxa"/>
            <w:vAlign w:val="bottom"/>
            <w:gridSpan w:val="3"/>
          </w:tcPr>
          <w:p>
            <w:pPr>
              <w:spacing w:after="0"/>
              <w:rPr>
                <w:sz w:val="20"/>
                <w:szCs w:val="20"/>
                <w:color w:val="auto"/>
              </w:rPr>
            </w:pPr>
            <w:r>
              <w:rPr>
                <w:rFonts w:ascii="Arial" w:cs="Arial" w:eastAsia="Arial" w:hAnsi="Arial"/>
                <w:sz w:val="18"/>
                <w:szCs w:val="18"/>
                <w:color w:val="auto"/>
              </w:rPr>
              <w:t>Amortization expense relating to employee benefit plans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1,620</w:t>
            </w:r>
          </w:p>
        </w:tc>
        <w:tc>
          <w:tcPr>
            <w:tcW w:w="440" w:type="dxa"/>
            <w:vAlign w:val="bottom"/>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tax expense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80" w:type="dxa"/>
            <w:vAlign w:val="bottom"/>
            <w:gridSpan w:val="3"/>
          </w:tcPr>
          <w:p>
            <w:pPr>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1,218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1,482</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“interest expense” on the condensed consolidated statement of operations.</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3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and (ii) Edgewater’s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vehicles that the Company is deemed to control, but does not own.</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tables summarize the changes in ownership interests in Lazard Group held by Lazard Ltd and LAZ-MD Holdings during the three month periods ended March 31,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2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Lazard Ltd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LAZ-MD Holdings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Common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64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3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500" w:type="dxa"/>
            <w:vAlign w:val="bottom"/>
          </w:tcPr>
          <w:p>
            <w:pPr>
              <w:spacing w:after="0"/>
              <w:rPr>
                <w:sz w:val="14"/>
                <w:szCs w:val="14"/>
                <w:color w:val="auto"/>
              </w:rPr>
            </w:pPr>
          </w:p>
        </w:tc>
        <w:tc>
          <w:tcPr>
            <w:tcW w:w="740" w:type="dxa"/>
            <w:vAlign w:val="bottom"/>
          </w:tcPr>
          <w:p>
            <w:pPr>
              <w:jc w:val="right"/>
              <w:ind w:right="42"/>
              <w:spacing w:after="0"/>
              <w:rPr>
                <w:sz w:val="20"/>
                <w:szCs w:val="20"/>
                <w:color w:val="auto"/>
              </w:rPr>
            </w:pPr>
            <w:r>
              <w:rPr>
                <w:rFonts w:ascii="Arial" w:cs="Arial" w:eastAsia="Arial" w:hAnsi="Arial"/>
                <w:sz w:val="14"/>
                <w:szCs w:val="14"/>
                <w:b w:val="1"/>
                <w:bCs w:val="1"/>
                <w:color w:val="auto"/>
              </w:rPr>
              <w:t>Interests</w:t>
            </w:r>
          </w:p>
        </w:tc>
        <w:tc>
          <w:tcPr>
            <w:tcW w:w="40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Ownership</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January 1, 2012</w:t>
            </w: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vMerge w:val="continue"/>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123,009,311</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6,756,779</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Activity January 1, 2012 to March 31, 2012:</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85,196</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(85,196)</w:t>
            </w: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123,094,507</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94.9%</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6,671,583</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660" w:type="dxa"/>
            <w:vAlign w:val="bottom"/>
            <w:gridSpan w:val="2"/>
          </w:tcPr>
          <w:p>
            <w:pPr>
              <w:spacing w:after="0"/>
              <w:rPr>
                <w:sz w:val="20"/>
                <w:szCs w:val="20"/>
                <w:color w:val="auto"/>
              </w:rPr>
            </w:pPr>
            <w:r>
              <w:rPr>
                <w:rFonts w:ascii="Arial" w:cs="Arial" w:eastAsia="Arial" w:hAnsi="Arial"/>
                <w:sz w:val="18"/>
                <w:szCs w:val="18"/>
                <w:color w:val="auto"/>
              </w:rPr>
              <w:t>Balance, January 1, 2013 and March 31, 2013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128,216,423</w:t>
            </w:r>
          </w:p>
        </w:tc>
        <w:tc>
          <w:tcPr>
            <w:tcW w:w="3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98.8%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1,549,667</w:t>
            </w:r>
          </w:p>
        </w:tc>
        <w:tc>
          <w:tcPr>
            <w:tcW w:w="4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three month periods ended March 31, 2012 did not materially impact Lazard Ltd’s stockholders’ equity.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periods ended March 31, 2013 and 2012 and noncontrolling interests as of March 31, 2013 and December 31, 2012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7"/>
              </w:rPr>
              <w:t>Net 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gridSpan w:val="10"/>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b w:val="1"/>
                <w:bCs w:val="1"/>
                <w:color w:val="auto"/>
                <w:w w:val="85"/>
              </w:rPr>
              <w:t>Interests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5"/>
          </w:tcPr>
          <w:p>
            <w:pPr>
              <w:jc w:val="center"/>
              <w:ind w:left="326"/>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8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LAZ-MD Holdings</w:t>
            </w: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38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2,289</w:t>
            </w:r>
          </w:p>
        </w:tc>
        <w:tc>
          <w:tcPr>
            <w:tcW w:w="60" w:type="dxa"/>
            <w:vAlign w:val="bottom"/>
          </w:tcPr>
          <w:p>
            <w:pPr>
              <w:spacing w:after="0"/>
              <w:rPr>
                <w:sz w:val="19"/>
                <w:szCs w:val="19"/>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3,504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10"/>
          </w:tcPr>
          <w:p>
            <w:pPr>
              <w:ind w:left="340"/>
              <w:spacing w:after="0"/>
              <w:rPr>
                <w:sz w:val="20"/>
                <w:szCs w:val="20"/>
                <w:color w:val="auto"/>
              </w:rPr>
            </w:pPr>
            <w:r>
              <w:rPr>
                <w:rFonts w:ascii="Arial" w:cs="Arial" w:eastAsia="Arial" w:hAnsi="Arial"/>
                <w:sz w:val="14"/>
                <w:szCs w:val="14"/>
                <w:b w:val="1"/>
                <w:bCs w:val="1"/>
                <w:color w:val="auto"/>
              </w:rPr>
              <w:t>Noncontrolling Interests As Of</w:t>
            </w: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83"/>
              </w:rPr>
              <w:t>March 31,</w:t>
            </w: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right"/>
              <w:ind w:right="106"/>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7"/>
              </w:rPr>
              <w:t>$ 75,011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LAZ-MD Holdings</w:t>
            </w: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4,532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79"/>
              </w:rPr>
              <w:t>$ 80,501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81,884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Dividend Declared, April 2013</w:t>
      </w:r>
      <w:r>
        <w:rPr>
          <w:rFonts w:ascii="Arial" w:cs="Arial" w:eastAsia="Arial" w:hAnsi="Arial"/>
          <w:sz w:val="18"/>
          <w:szCs w:val="18"/>
          <w:color w:val="auto"/>
        </w:rPr>
        <w:t>—On April 25, 2013, the Board of Directors of Lazard Ltd declared a quarterly dividend of $0.25 per share on its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payable on May 24, 2013, to stockholders of record on May 6, 2013.</w:t>
      </w:r>
    </w:p>
    <w:p>
      <w:pPr>
        <w:spacing w:after="0" w:line="25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periods ended March 31, 2013 and 2012,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condensed consolidated statements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620" w:type="dxa"/>
            <w:vAlign w:val="bottom"/>
          </w:tcPr>
          <w:p>
            <w:pPr>
              <w:spacing w:after="0"/>
              <w:rPr>
                <w:sz w:val="14"/>
                <w:szCs w:val="14"/>
                <w:color w:val="auto"/>
              </w:rPr>
            </w:pPr>
          </w:p>
        </w:tc>
        <w:tc>
          <w:tcPr>
            <w:tcW w:w="18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6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11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9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RSUs (a)</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$64,942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$81,891</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580" w:type="dxa"/>
            <w:vAlign w:val="bottom"/>
          </w:tcPr>
          <w:p>
            <w:pPr>
              <w:jc w:val="right"/>
              <w:spacing w:after="0"/>
              <w:rPr>
                <w:sz w:val="20"/>
                <w:szCs w:val="20"/>
                <w:color w:val="auto"/>
              </w:rPr>
            </w:pPr>
            <w:r>
              <w:rPr>
                <w:rFonts w:ascii="Arial" w:cs="Arial" w:eastAsia="Arial" w:hAnsi="Arial"/>
                <w:sz w:val="18"/>
                <w:szCs w:val="18"/>
                <w:color w:val="auto"/>
              </w:rPr>
              <w:t>5,261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18"/>
                <w:szCs w:val="18"/>
                <w:color w:val="auto"/>
              </w:rPr>
            </w:pPr>
          </w:p>
        </w:tc>
      </w:tr>
      <w:tr>
        <w:trPr>
          <w:trHeight w:val="230"/>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r>
      <w:tr>
        <w:trPr>
          <w:trHeight w:val="222"/>
        </w:trPr>
        <w:tc>
          <w:tcPr>
            <w:tcW w:w="962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70,712</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86,136</w:t>
            </w:r>
          </w:p>
        </w:tc>
        <w:tc>
          <w:tcPr>
            <w:tcW w:w="10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76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during the three month period ended March 31, 2013, $4,455 relating to the Cost Saving Initiatives (see Note 14 of Notes to Condensed Consolidated Financial Statements).</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during the three month period ended March 31, 2013, $233 relating to the Cost Saving Initiatives.</w:t>
      </w:r>
    </w:p>
    <w:p>
      <w:pPr>
        <w:spacing w:after="0" w:line="165"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For purposes of calculating diluted net income per share, RSU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RSUs issued after December 31, 2005 generally include a dividend participation right that provides that during vesting periods each RSU is attributed additional RSUs (or fractions thereof) equivalent to any ordinary quarterly dividends paid on Class A common stock during such period. During the three month period ended March 31, 2012, issuances of RSUs pertaining to such dividend participation rights and respective charges to “retained earnings”, net of estimated forfeitures (with corresponding credits to “additional paid-in-capital”), consisted of the following (there were no dividends on Class A common stock during the three month period ended March 31, 2013 due to the accelerated dividend paid by the Company in December 2012):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86"/>
              </w:rPr>
              <w:t>Three Months Ended</w:t>
            </w:r>
          </w:p>
        </w:tc>
      </w:tr>
      <w:tr>
        <w:trPr>
          <w:trHeight w:val="161"/>
        </w:trPr>
        <w:tc>
          <w:tcPr>
            <w:tcW w:w="102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10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101,597</w:t>
            </w:r>
          </w:p>
        </w:tc>
      </w:tr>
      <w:tr>
        <w:trPr>
          <w:trHeight w:val="222"/>
        </w:trPr>
        <w:tc>
          <w:tcPr>
            <w:tcW w:w="1020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1220" w:type="dxa"/>
            <w:vAlign w:val="bottom"/>
          </w:tcPr>
          <w:p>
            <w:pPr>
              <w:jc w:val="right"/>
              <w:ind w:right="2"/>
              <w:spacing w:after="0"/>
              <w:rPr>
                <w:sz w:val="20"/>
                <w:szCs w:val="20"/>
                <w:color w:val="auto"/>
              </w:rPr>
            </w:pPr>
            <w:r>
              <w:rPr>
                <w:rFonts w:ascii="Arial" w:cs="Arial" w:eastAsia="Arial" w:hAnsi="Arial"/>
                <w:sz w:val="18"/>
                <w:szCs w:val="18"/>
                <w:color w:val="auto"/>
              </w:rPr>
              <w:t>$  2,912</w:t>
            </w:r>
          </w:p>
        </w:tc>
      </w:tr>
    </w:tbl>
    <w:p>
      <w:pPr>
        <w:spacing w:after="0" w:line="14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Non-executive members of the Board of Directors receive approximately 55% of their annual compensation for service on the Board of Directors and its committees in the form of DSUs. There were no such DSUs granted during the three month periods ended March 31, 2013 and 2012. Their remaining compensation is payable in cash, which they may elect to receive in the form of additional DSUs under the Directors’ Fee Deferral Unit Plan described below. DSUs are convertible into Class A common stock at the time of cessation of service to the Board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 and resulted in nominal cash payments for the three month period ended March 31, 2012.</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three month periods ended March 31, 2013 and 2012, 1,886 and 2,522 DSUs, respectively, had been granted pursuant to such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2013 and 2012:</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21,481,131</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204,496</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4,297,664</w:t>
            </w:r>
          </w:p>
        </w:tc>
        <w:tc>
          <w:tcPr>
            <w:tcW w:w="2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37.33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(45,907)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(8,268,744)</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34.97</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17,464,144</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206,382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EEFF"/>
          </w:tcPr>
          <w:p>
            <w:pPr>
              <w:spacing w:after="0"/>
              <w:rPr>
                <w:sz w:val="18"/>
                <w:szCs w:val="18"/>
                <w:color w:val="auto"/>
              </w:rPr>
            </w:pPr>
          </w:p>
        </w:tc>
      </w:tr>
      <w:tr>
        <w:trPr>
          <w:trHeight w:val="20"/>
        </w:trPr>
        <w:tc>
          <w:tcPr>
            <w:tcW w:w="64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460" w:type="dxa"/>
            <w:vAlign w:val="bottom"/>
            <w:gridSpan w:val="2"/>
          </w:tcPr>
          <w:p>
            <w:pPr>
              <w:spacing w:after="0"/>
              <w:rPr>
                <w:sz w:val="20"/>
                <w:szCs w:val="20"/>
                <w:color w:val="auto"/>
              </w:rPr>
            </w:pPr>
            <w:r>
              <w:rPr>
                <w:rFonts w:ascii="Arial" w:cs="Arial" w:eastAsia="Arial" w:hAnsi="Arial"/>
                <w:sz w:val="18"/>
                <w:szCs w:val="18"/>
                <w:color w:val="auto"/>
              </w:rPr>
              <w:t>Balance, January 1, 2012</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20,751,829</w:t>
            </w:r>
          </w:p>
        </w:tc>
        <w:tc>
          <w:tcPr>
            <w:tcW w:w="26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36.84</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140,660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101,597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7,147,059</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(76,264)</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33.14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(3,270,375)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Balance, March 31, 2012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24,552,249</w:t>
            </w:r>
          </w:p>
        </w:tc>
        <w:tc>
          <w:tcPr>
            <w:tcW w:w="2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34.54</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143,182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RSUs which vested during the three month periods ended March 31, 2013 and 2012, the Company satisfied its minimum statutory tax withholding requirements in lieu of issuing 3,231,285 and 802,810 shares of Class A common stock in the respective three month periods. Accordingly, 5,037,459 and 2,467,565 shares of Class A common stock held by the Company were delivered during the three month periods ended March 31, 2013 and 2012, respectively.</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During the fourth quarter of 2012, 958,213 RSUs were modified through forward purchase agreements into liability awards. Such liability awards were settled on March 1, 2013 for $28,612. During the three month period ended March 31, 2013, compensation expense of $1,690 was recorded for such liability awards.</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of March 31, 2013, unrecognized RSU compensation expense, adjusted for estimated forfeitures, was approximately $280,000, with such unrecognized compensation expense expected to be recognized over a weighted average period of approximately 1.7 years subsequent to March 31, 2013.</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 month periods ended March 31, 2013 and 2012:</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1,972,609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388,763</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(1,715,275)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642,828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80" w:type="dxa"/>
            <w:vAlign w:val="bottom"/>
            <w:shd w:val="clear" w:color="auto" w:fill="CCEEFF"/>
          </w:tcPr>
          <w:p>
            <w:pPr>
              <w:spacing w:after="0"/>
              <w:rPr>
                <w:sz w:val="18"/>
                <w:szCs w:val="18"/>
                <w:color w:val="auto"/>
              </w:rPr>
            </w:pPr>
          </w:p>
        </w:tc>
      </w:tr>
      <w:tr>
        <w:trPr>
          <w:trHeight w:val="20"/>
        </w:trPr>
        <w:tc>
          <w:tcPr>
            <w:tcW w:w="70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020" w:type="dxa"/>
            <w:vAlign w:val="bottom"/>
            <w:gridSpan w:val="2"/>
          </w:tcPr>
          <w:p>
            <w:pPr>
              <w:spacing w:after="0"/>
              <w:rPr>
                <w:sz w:val="20"/>
                <w:szCs w:val="20"/>
                <w:color w:val="auto"/>
              </w:rPr>
            </w:pPr>
            <w:r>
              <w:rPr>
                <w:rFonts w:ascii="Arial" w:cs="Arial" w:eastAsia="Arial" w:hAnsi="Arial"/>
                <w:sz w:val="18"/>
                <w:szCs w:val="18"/>
                <w:color w:val="auto"/>
              </w:rPr>
              <w:t>Balance, January 1, 2012</w:t>
            </w:r>
          </w:p>
        </w:tc>
        <w:tc>
          <w:tcPr>
            <w:tcW w:w="820" w:type="dxa"/>
            <w:vAlign w:val="bottom"/>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Granted/Exchanged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577,323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Vested/Converted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(119,552)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28.54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553,103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three month periods ended March 31, 2013 and 2012, the Company satisfied its minimum statutory tax withholding requirements in lieu of delivering 12,308 and 25,661 shares of Class A common stock during the respective three month periods. Accordingly, 1,702,967 and 93,891 shares of Class A common stock held by the Company were delivered during the three month periods ended March 31, 2013 and 2012, respectively.</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March 31, 2013, unrecognized restricted stock expense was approximately $15,000, with such expense to be recognized over a weighted average period of approximately 2.0 years subsequent to March 31, 2013.</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March 2013, the Company granted 448,128 PRSUs. The 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the three-year period beginning on January 1, 2012 and ending on December 31, 2014. The target number of shares of Class A common stock subject to each PRSU is one; however, based on the achievement of the performance criteria, the number of shares of Class A common stock that may be received in connection with each PRSU can range from zero to three times the target number. The PRSUs granted in March 2013 will vest 33% in March 2015 and 67% in March 2016,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of $36.11 per share. As of March 31, 2013, the total estimated unrecognized compensation expense for PRSUs granted in March 2013 was approximately $16,000, and the Company expects to amortize such expense over a weighted-average period of approximately 2.1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Commencing in February 2011, the Company granted to eligible employees Lazard Fund Interests.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three month periods ended March 31, 2012 and 2013:</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Granted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72,182</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Change in fair value related 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Increase in fair value of underlying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640"/>
              <w:spacing w:after="0"/>
              <w:rPr>
                <w:sz w:val="20"/>
                <w:szCs w:val="20"/>
                <w:color w:val="auto"/>
              </w:rPr>
            </w:pPr>
            <w:r>
              <w:rPr>
                <w:rFonts w:ascii="Arial" w:cs="Arial" w:eastAsia="Arial" w:hAnsi="Arial"/>
                <w:sz w:val="18"/>
                <w:szCs w:val="18"/>
                <w:color w:val="auto"/>
              </w:rPr>
              <w:t>Adjustment for estimated forfeitures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Balance, March 31, 2013</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106,724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5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99"/>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Granted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64,598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(6,185)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fair value of underlying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76,357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2.1 years subsequent to March 31,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is a summary of the impact of Lazard Fund Interests and other similar deferred compensation arrangements on “compensation and benefits” expense within the accompanying condensed consolidated statements of operations for the three months periods ended March 31, 2013 and 2012:</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12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$13,049</w:t>
            </w:r>
          </w:p>
        </w:tc>
        <w:tc>
          <w:tcPr>
            <w:tcW w:w="6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$ 6,185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6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16,774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during the three month period ended March 31, 2013, $917 relating to the Cost Saving Initiatives.</w:t>
      </w:r>
    </w:p>
    <w:p>
      <w:pPr>
        <w:spacing w:after="0" w:line="29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did not make a contribution to the U.S. pension plans during the three month period ended March 31, 2013.</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agreed to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amounts in the account security arrangement at March 31, 2013 and December 31, 2012 of approximately $15,500 and $16,500, respectively, have been recorded in “cash deposited with clearing organizations and other segregated cash” on the accompanying condensed consolidated statements of financial condition. Income on the account security arrangement accretes to the Company and is recorded in interest income.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three month period ended March 31, 2013, no contribution to these U.K. pension plans was required to be made, and no contributions were required to be made to other non-U.S. pension plans.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periods ended March 31,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Pension Plans</w:t>
            </w:r>
          </w:p>
        </w:tc>
        <w:tc>
          <w:tcPr>
            <w:tcW w:w="240" w:type="dxa"/>
            <w:vAlign w:val="bottom"/>
          </w:tcPr>
          <w:p>
            <w:pPr>
              <w:spacing w:after="0"/>
              <w:rPr>
                <w:sz w:val="14"/>
                <w:szCs w:val="14"/>
                <w:color w:val="auto"/>
              </w:rPr>
            </w:pPr>
          </w:p>
        </w:tc>
        <w:tc>
          <w:tcPr>
            <w:tcW w:w="11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8"/>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Three Months Ended March 31,</w:t>
            </w: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$ 10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6,902</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w w:val="87"/>
              </w:rPr>
              <w:t>(6,797)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(6,672)</w:t>
            </w:r>
          </w:p>
        </w:tc>
        <w:tc>
          <w:tcPr>
            <w:tcW w:w="24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Net benefit cost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1,890</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1,514</w:t>
            </w:r>
          </w:p>
        </w:tc>
        <w:tc>
          <w:tcPr>
            <w:tcW w:w="300" w:type="dxa"/>
            <w:vAlign w:val="bottom"/>
          </w:tcPr>
          <w:p>
            <w:pPr>
              <w:spacing w:after="0"/>
              <w:rPr>
                <w:sz w:val="19"/>
                <w:szCs w:val="19"/>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$ 57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October 2012, the Company announced a number of cost saving initiatives (the “Cost Saving Initiatives”) relating to the Company’s operations. These initiatives include streamlining our corporate structure and consolidating support functions; realigning our investments into areas with potential for the greatest long-term return; and creating greater flexibility to retain and attract the best people and invest in new growth areas.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Cost Saving Initiatives, the Company incurred pre-tax implementation expense, by segment, as reflected in the tables below:</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8"/>
              </w:rPr>
              <w:t>Financial</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Advisory</w:t>
            </w:r>
          </w:p>
        </w:tc>
        <w:tc>
          <w:tcPr>
            <w:tcW w:w="460" w:type="dxa"/>
            <w:vAlign w:val="bottom"/>
          </w:tcPr>
          <w:p>
            <w:pPr>
              <w:spacing w:after="0"/>
              <w:rPr>
                <w:sz w:val="14"/>
                <w:szCs w:val="14"/>
                <w:color w:val="auto"/>
              </w:rPr>
            </w:pP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rPr>
              <w:t>Management</w:t>
            </w: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 Period Ended March 31, 2013:</w:t>
            </w: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$20,394</w:t>
            </w:r>
          </w:p>
        </w:tc>
        <w:tc>
          <w:tcPr>
            <w:tcW w:w="280" w:type="dxa"/>
            <w:vAlign w:val="bottom"/>
          </w:tcPr>
          <w:p>
            <w:pPr>
              <w:spacing w:after="0"/>
              <w:rPr>
                <w:sz w:val="18"/>
                <w:szCs w:val="18"/>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4,041</w:t>
            </w:r>
          </w:p>
        </w:tc>
        <w:tc>
          <w:tcPr>
            <w:tcW w:w="6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$24,671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22,015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4,072</w:t>
            </w:r>
          </w:p>
        </w:tc>
        <w:tc>
          <w:tcPr>
            <w:tcW w:w="6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Financial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Advisory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Management</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Cumulative Through March 31, 2013:</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$96,527</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12,292</w:t>
            </w:r>
          </w:p>
        </w:tc>
        <w:tc>
          <w:tcPr>
            <w:tcW w:w="1220" w:type="dxa"/>
            <w:vAlign w:val="bottom"/>
            <w:gridSpan w:val="4"/>
          </w:tcPr>
          <w:p>
            <w:pPr>
              <w:jc w:val="right"/>
              <w:ind w:right="600"/>
              <w:spacing w:after="0"/>
              <w:rPr>
                <w:sz w:val="20"/>
                <w:szCs w:val="20"/>
                <w:color w:val="auto"/>
              </w:rPr>
            </w:pPr>
            <w:r>
              <w:rPr>
                <w:rFonts w:ascii="Arial" w:cs="Arial" w:eastAsia="Arial" w:hAnsi="Arial"/>
                <w:sz w:val="18"/>
                <w:szCs w:val="18"/>
                <w:color w:val="auto"/>
                <w:w w:val="85"/>
              </w:rPr>
              <w:t>$ 15,839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5"/>
              </w:rPr>
              <w:t>$124,658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99,547</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13,024</w:t>
            </w:r>
          </w:p>
        </w:tc>
        <w:tc>
          <w:tcPr>
            <w:tcW w:w="1220" w:type="dxa"/>
            <w:vAlign w:val="bottom"/>
            <w:gridSpan w:val="4"/>
          </w:tcPr>
          <w:p>
            <w:pPr>
              <w:jc w:val="right"/>
              <w:ind w:right="600"/>
              <w:spacing w:after="0"/>
              <w:rPr>
                <w:sz w:val="20"/>
                <w:szCs w:val="20"/>
                <w:color w:val="auto"/>
              </w:rPr>
            </w:pPr>
            <w:r>
              <w:rPr>
                <w:rFonts w:ascii="Arial" w:cs="Arial" w:eastAsia="Arial" w:hAnsi="Arial"/>
                <w:sz w:val="18"/>
                <w:szCs w:val="18"/>
                <w:color w:val="auto"/>
                <w:w w:val="85"/>
              </w:rPr>
              <w:t>$ 16,327</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128,898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expect implementation of the Cost Saving Initiatives to be completed by June 30, 2013, which we expect will include additional cost savings that we have identified. We expect to incur additional implementation expenses in the second quarter of 2013 associated with such additional cost savings. We expect that such additional implementation expenses will not exceed the level of implementation expenses incurred in the first quarter of 2013.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Activity related to the obligations pursuant to the Cost Saving Initiatives during the three month period ended March 31, 2013 was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Accrued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Benefits</w:t>
            </w:r>
          </w:p>
        </w:tc>
        <w:tc>
          <w:tcPr>
            <w:tcW w:w="32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46,128</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1,714</w:t>
            </w: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New charges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24,671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w w:val="97"/>
              </w:rPr>
              <w:t>1,651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26,322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Non-cash charges</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(5,605)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(20,202)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Balance, March 31, 2013</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45,576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w w:val="97"/>
              </w:rPr>
              <w:t>2,781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$ 48,357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recorded income tax provisions of $3,948 and $8,767 for the three month periods ended March 31, 2013 and 2012, respectively, representing effective tax rates of 18.3% and 23.2%, respectively. The difference between the U.S. federal statutory rate of 35.0% and the effective tax rates reflected above principally relates to (i) Lazard Group primarily operating as a limited liability company in the U.S., (ii) taxes payable to foreign jurisdictions that are not offset against U.S. income taxes and foreign source income not subject to U.S. income taxes (with such items resulting in an increase and decrease in the Company’s effective tax rate, respectively), (iii) Lazard Group’s income from U.S. operations attributable to noncontrolling interests and (iv) U.S. state and local taxes (primarily UBT), which are incremental to the U.S. federal statutory tax rate.</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redemption of historical partner interests in connection with the Company’s separation and recapitalization that occurred in May 2005 and subsequent exchanges of LAZ-MD Holdings exchangeable interests for shares of Class A common stock have resulted, and future exchanges of LAZ-MD Holdings exchangeable interests for shares of Class A common stock may result, in increases in the tax basis of the tangible and intangible assets of Lazard Group. The tax receivable agreement dated as of May 10, 2005 with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LFCM Holdings LLC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Based on the financial results for the applicable annual periods, there is no provision for such payments in the three month periods ended March 31, 2013 and 2012. If any provision is required pursuant to the tax receivable agreement, such amount would be fully offset by a reduction in the Company’s income tax expense.</w:t>
      </w:r>
    </w:p>
    <w:p>
      <w:pPr>
        <w:spacing w:after="0" w:line="23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three month periods ended March 31, 2013 and 2012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plus applicable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shares associated with shares of Class A common stock issuable on a non-contingent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 as in the basic net income per share calculation described above, plus,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applicable and dilutive, (i) changes in net income attributable to noncontrolling interests resulting from assumed Class A common stock issuances in connection with share-based incentive compensation and, on an “as-if-exchanged” basis, amounts applicable to LAZ-MD Holdings exchangeable interests and (ii) income tax related to (i) above.</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years as in the basic net income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calculation described above, plus, to the extent dilutive, the incremental number of shares of Class A common stock to settle share-based incentive compensation and LAZ-MD Holdings exchangeable interests, using the “treasury stock” method or the “as-if-exchanged” basis, as applicable.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calculations of the Company’s basic and diluted net income per share and weighted average shares outstanding for the three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2013 and 2012 are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6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836"/>
              <w:spacing w:after="0"/>
              <w:rPr>
                <w:sz w:val="20"/>
                <w:szCs w:val="20"/>
                <w:color w:val="auto"/>
              </w:rPr>
            </w:pPr>
            <w:r>
              <w:rPr>
                <w:rFonts w:ascii="Arial" w:cs="Arial" w:eastAsia="Arial" w:hAnsi="Arial"/>
                <w:sz w:val="14"/>
                <w:szCs w:val="14"/>
                <w:b w:val="1"/>
                <w:bCs w:val="1"/>
                <w:color w:val="auto"/>
                <w:w w:val="92"/>
              </w:rPr>
              <w:t>March 31,</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Add (deduct) - adjustment associated with Class A common stock issuable on a non-contingent basis</w:t>
            </w:r>
          </w:p>
        </w:tc>
        <w:tc>
          <w:tcPr>
            <w:tcW w:w="16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Adjustments to income relating to interest expense and changes in net income attributable to noncontrolling</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interests resulting from assumed Class A common stock issuances in connection with share-based incentive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 and exchangeable interests, net of tax</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Net income attributable to Lazard Ltd - diluted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$15,542</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$ 26,742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8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116,921,983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118,679,859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Add - adjustment for shares of Class A common stock issuable on a non-contingent basis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786,221</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 - 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117,708,204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119,229,541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Weighted average number of incremental shares of Class A common stock issuable from share-based incentive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 and exchangeable interests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15,107,356</w:t>
            </w:r>
          </w:p>
        </w:tc>
        <w:tc>
          <w:tcPr>
            <w:tcW w:w="4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17,364,637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Class A common stock outstanding - diluted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132,815,560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136,594,178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jc w:val="right"/>
              <w:ind w:right="2892"/>
              <w:spacing w:after="0"/>
              <w:rPr>
                <w:sz w:val="20"/>
                <w:szCs w:val="20"/>
                <w:color w:val="auto"/>
              </w:rPr>
            </w:pPr>
            <w:r>
              <w:rPr>
                <w:rFonts w:ascii="Arial" w:cs="Arial" w:eastAsia="Arial" w:hAnsi="Arial"/>
                <w:sz w:val="18"/>
                <w:szCs w:val="18"/>
                <w:color w:val="auto"/>
              </w:rPr>
              <w:t>36</w:t>
            </w: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7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8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LFCM Holdings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15,169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20,529</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8"/>
                <w:szCs w:val="18"/>
                <w:color w:val="auto"/>
              </w:rPr>
            </w:pPr>
          </w:p>
        </w:tc>
      </w:tr>
      <w:tr>
        <w:trPr>
          <w:trHeight w:val="222"/>
        </w:trPr>
        <w:tc>
          <w:tcPr>
            <w:tcW w:w="836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18,458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23,801</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LFCM Holdings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3,626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r>
      <w:tr>
        <w:trPr>
          <w:trHeight w:val="222"/>
        </w:trPr>
        <w:tc>
          <w:tcPr>
            <w:tcW w:w="836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5,262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For the three month periods ended March 31, 2013 and 2012, amounts recorded by Lazard Group relating to the administrative services agreement amounted to $632 and $813, respectively, and net referral fees for underwriting, private placement, M&amp;A and restructuring transactions under the business alliance agreement amounted to $500 and $814,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6"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Receivables from LFCM Holdings and its subsidiaries as of March 31, 2013 and December 31, 2012 include $10,007 and $14,299, respectively, related to administrative and support services and other receivables which include sublease income and reimbursement of expenses incurred on behalf of LFCM Holdings, and $5,162 and $6,230, respectively, related to referral fees for underwriting and private placement transactions. Payables to LFCM Holdings and its subsidiaries at March 31, 2013 and December 31, 2012 include $3,626 and $2,943, respectively, primarily relating to certain advances and referral fees for Financial Advisory transactions.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Other receivables and payables at March 31, 2013 and December 31, 2012 primarily relate to referral fees for restructuring and M&amp;A transactions with MBA Lazard Holdings S.A. and its affiliates, an Argentina-based group in which the Company has a 50% ownership interest, and a related party loan.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periods ended March 31, 2013 and 2012, such charges amounted to $250 and $188, respectively.</w:t>
      </w:r>
    </w:p>
    <w:p>
      <w:pPr>
        <w:spacing w:after="0" w:line="26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March 31, 2013, LFNY’s regulatory net capital was $16,939, which exceeded the minimum requirement by $12,976.</w:t>
      </w:r>
    </w:p>
    <w:p>
      <w:pPr>
        <w:spacing w:after="0" w:line="11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which replaced the Financial Services Authority as the U.K. Subsidiaries’ regulator effective April 1, 2013. At March 31, 2013, the aggregate regulatory net capital of the U.K. Subsidiaries was $79,618, which exceeded the minimum requirement by $59,936.</w:t>
      </w:r>
    </w:p>
    <w:p>
      <w:pPr>
        <w:spacing w:after="0" w:line="143" w:lineRule="exact"/>
        <w:rPr>
          <w:sz w:val="20"/>
          <w:szCs w:val="20"/>
          <w:color w:val="auto"/>
        </w:rPr>
      </w:pPr>
    </w:p>
    <w:p>
      <w:pPr>
        <w:jc w:val="both"/>
        <w:ind w:right="300" w:firstLine="456"/>
        <w:spacing w:after="0" w:line="255"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March 31, 2013, the consolidated regulatory net capital of CFLF was $172,243, which exceeded the minimum requirement set for regulatory capital levels by $139,002.</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2013, for those subsidiaries with regulatory capital requirements, their aggregate net capital was $79,617, which exceeded the minimum required capital by $54,974.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2013, each of these subsidiaries individually was in compliance with its regulatory capital requirements.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program was eliminated on July 21, 2011. Pursuant to relevant rules in the European Union, which we continue to examine, LFB, as a European credit institution, is required to be supervised on a consolidated basis by another regulatory body, either in the U.S., by the Board of Governors of the Federal Reserve, or in the European Union. The Dodd-Frank Act and the rules and regulations that may be adopted thereunder (including regulations that have not yet been proposed) could affect us in other ways. We continue to monitor the process as such rules are proposed and adopted.</w:t>
      </w:r>
    </w:p>
    <w:p>
      <w:pPr>
        <w:spacing w:after="0" w:line="23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 periods ended March 31, 2013 and 2012 is prepared using the following methodology:</w:t>
      </w:r>
    </w:p>
    <w:p>
      <w:pPr>
        <w:spacing w:after="0" w:line="113"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86"/>
              </w:rPr>
              <w:t>2013(a)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6340" w:type="dxa"/>
            <w:vAlign w:val="bottom"/>
            <w:tcBorders>
              <w:top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168,462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277,196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216,908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249,897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(48,446)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27,299</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180" w:type="dxa"/>
            <w:vAlign w:val="bottom"/>
            <w:gridSpan w:val="3"/>
            <w:vMerge w:val="continue"/>
          </w:tcPr>
          <w:p>
            <w:pPr>
              <w:spacing w:after="0"/>
              <w:rPr>
                <w:sz w:val="24"/>
                <w:szCs w:val="24"/>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244,025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214,527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155,077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88,948</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54,026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(10,584)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(18,905)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(43,502)</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180" w:type="dxa"/>
            <w:vAlign w:val="bottom"/>
            <w:gridSpan w:val="3"/>
            <w:vMerge w:val="continue"/>
          </w:tcPr>
          <w:p>
            <w:pPr>
              <w:spacing w:after="0"/>
              <w:rPr>
                <w:sz w:val="24"/>
                <w:szCs w:val="24"/>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401,903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486,039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380,306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448,216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21,597</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14 of Notes to Condensed Consolidated Financial Statements for information regarding the Cost Saving Initiatives, and the impact on each of the Company’s business segments during the three month period ended March 31, 2013.</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89"/>
              </w:rPr>
              <w:t>March 31,</w:t>
            </w:r>
          </w:p>
        </w:tc>
        <w:tc>
          <w:tcPr>
            <w:tcW w:w="118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703,961</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793,007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4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1,531,588</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1,627,209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2,728,167</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2,986,893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80" w:type="dxa"/>
            <w:vAlign w:val="bottom"/>
            <w:vMerge w:val="restart"/>
          </w:tcPr>
          <w:p>
            <w:pPr>
              <w:jc w:val="right"/>
              <w:ind w:right="2612"/>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2012 (the “Form 10-K”). All references to “2013”, “2012”, “first quarter” or “the period” refer to, as the context requires, the three month periods ended March 31, 2013 and March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decline in overall mergers and acquisitions (“M&amp;A”) activity, our share of the M&amp;A market or our assets under management (“AUM”),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risks and uncertainties are not exhaustive. Other sections of the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13"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and its subsidiaries (collectively referred to as “LAM”).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Our websites and the information contained therein or connected thereto shall not be deemed to be incorporated into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40 cities in key business and financial centers across 26 countries throughout Europe, North America, Asia, Australia, the Middle East and Central and South America.</w:t>
      </w:r>
    </w:p>
    <w:p>
      <w:pPr>
        <w:spacing w:after="0" w:line="11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8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2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Lazard Frères Banque SA (“LFB”).</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0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5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3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42%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Asset Management</w:t>
            </w:r>
          </w:p>
        </w:tc>
        <w:tc>
          <w:tcPr>
            <w:tcW w:w="1320" w:type="dxa"/>
            <w:vAlign w:val="bottom"/>
            <w:gridSpan w:val="2"/>
          </w:tcPr>
          <w:p>
            <w:pPr>
              <w:jc w:val="right"/>
              <w:ind w:right="752"/>
              <w:spacing w:after="0"/>
              <w:rPr>
                <w:sz w:val="20"/>
                <w:szCs w:val="20"/>
                <w:color w:val="auto"/>
              </w:rPr>
            </w:pPr>
            <w:r>
              <w:rPr>
                <w:rFonts w:ascii="Arial" w:cs="Arial" w:eastAsia="Arial" w:hAnsi="Arial"/>
                <w:sz w:val="18"/>
                <w:szCs w:val="18"/>
                <w:color w:val="auto"/>
              </w:rPr>
              <w:t>61</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3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60" w:type="dxa"/>
            <w:vAlign w:val="bottom"/>
            <w:vMerge w:val="continue"/>
          </w:tcPr>
          <w:p>
            <w:pPr>
              <w:spacing w:after="0"/>
              <w:rPr>
                <w:sz w:val="19"/>
                <w:szCs w:val="19"/>
                <w:color w:val="auto"/>
              </w:rPr>
            </w:pPr>
          </w:p>
        </w:tc>
        <w:tc>
          <w:tcPr>
            <w:tcW w:w="132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280" w:firstLine="8"/>
        <w:spacing w:after="0" w:line="281" w:lineRule="auto"/>
        <w:tabs>
          <w:tab w:leader="none" w:pos="21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10 of Notes to Condensed Consolidated Financial Statements), (ii) Lazard Australia Corporate Opportunities Fund 2 (“COF2”), a Lazard-managed Australian private equity fund targeting Australasian mid-market investments,</w:t>
      </w:r>
    </w:p>
    <w:p>
      <w:pPr>
        <w:spacing w:after="0" w:line="1" w:lineRule="exact"/>
        <w:rPr>
          <w:rFonts w:ascii="Arial" w:cs="Arial" w:eastAsia="Arial" w:hAnsi="Arial"/>
          <w:sz w:val="16"/>
          <w:szCs w:val="16"/>
          <w:color w:val="auto"/>
        </w:rPr>
      </w:pPr>
    </w:p>
    <w:p>
      <w:pPr>
        <w:ind w:right="40" w:firstLine="8"/>
        <w:spacing w:after="0" w:line="292" w:lineRule="auto"/>
        <w:tabs>
          <w:tab w:leader="none" w:pos="3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mezzanine fund, which invests in mezzanine debt of a diversified selection of small-to mid cap European companies and (iv) a private equity fund targeting significant non-controlling investments in established public and private companies.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Overall, equity market indices at March 31, 2013 generally increased in both the U.S., and outside the U.S., when compared to such indices at December 31, 2012. On an industry-wide basis, during the first quarter of 2013 the value of completed M&amp;A transactions increased due to a few high value transactions, while the number of completed transactions decreased as compared to the same period last year. Restructuring volume and the number of corporate defaults also declined in the first quarter of 2013, as compared to the same period last year.</w:t>
      </w:r>
    </w:p>
    <w:p>
      <w:pPr>
        <w:spacing w:after="0" w:line="11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In early 2013, interest rates remain low and corporate cash balances remain high. Global macroeconomic conditions appear to be improving but remain uncertain, especially with respect to Europe. The breadth of our businesses has mitigated the impact of the European financial crisis. Although completed European M&amp;A activity declined in the first quarter of 2013 and contributed to the revenue decrease in our Financial Advisory business, we believe other advisory opportunities, including opportunities for our Sovereign Advisory and Capital Raising businesses, may offset the slowdown. In our Asset Management business, most of LAM’s European clients are invested with LAM primarily outside of Europe. Many of those who are invested in Europe are invested in European fixed income, which has not had a significant impact on our Asset Management business. Nonetheless, the business situation in Europe remains challenging.</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We also remain focused on expense management and, in October 2012, announced a number of cost saving initiatives (the “cost saving initiatives”) relating to our operations. See “Cost Saving Initiatives” below and Note 14 of Notes to Condensed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20" w:hanging="345"/>
        <w:spacing w:after="0" w:line="289" w:lineRule="auto"/>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likely will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particular in Europe, with our Sovereign Advisory, Restructuring and Capital Raising businesses. In addition, we believe our businesses throughout the emerging markets, Japan and Australia position us for growth in these markets, while strengthening and distinguishing our relationships with clients in developed economies. We recently integrated our Brazilian operations based in São Paulo. We also established the Lazard Africa initiative, to leverage our sovereign and corporate expertise in the rapidly growing region, for our clients in both developed and developing countries.</w:t>
      </w:r>
    </w:p>
    <w:p>
      <w:pPr>
        <w:spacing w:after="0" w:line="37" w:lineRule="exact"/>
        <w:rPr>
          <w:rFonts w:ascii="Arial" w:cs="Arial" w:eastAsia="Arial" w:hAnsi="Arial"/>
          <w:sz w:val="16"/>
          <w:szCs w:val="16"/>
          <w:color w:val="auto"/>
        </w:rPr>
      </w:pPr>
    </w:p>
    <w:p>
      <w:pPr>
        <w:ind w:left="920" w:right="40" w:hanging="345"/>
        <w:spacing w:after="0" w:line="287" w:lineRule="auto"/>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Generally, we have recently seen increased investor demand across regions and investment platforms. In the short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intermediate term, 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and Singapore. We are continually developing and seeding new investment strategies that extend our existing platforms. Recent examples of growth initiatives include the following investment strategies: Emerging Market Debt, Core Emerging Markets Equity, Real Estate, Managed Volatility Strategies, Asian Equities and Global Trend Equity.</w:t>
      </w:r>
    </w:p>
    <w:p>
      <w:pPr>
        <w:spacing w:after="0" w:line="12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the impact of all potentially applicable factors on our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and earnings growth and stockholder returns, the prudent management of our costs and expenses, the efficient use of our assets and the return of capital to our stockholders.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are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reflected in the following table, which sets forth global industry statistics for the first quarter of 2013 and 2012, the value of completed and announced M&amp;A transactions increased compared to the first quarter of 2012, primarily due to a few high value transactions, while the number of completed and announced transactions decreased.</w:t>
      </w:r>
    </w:p>
    <w:p>
      <w:pPr>
        <w:spacing w:after="0" w:line="2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129"/>
        </w:trPr>
        <w:tc>
          <w:tcPr>
            <w:tcW w:w="59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56"/>
              <w:spacing w:after="0"/>
              <w:rPr>
                <w:sz w:val="20"/>
                <w:szCs w:val="20"/>
                <w:color w:val="auto"/>
              </w:rPr>
            </w:pPr>
            <w:r>
              <w:rPr>
                <w:rFonts w:ascii="Arial" w:cs="Arial" w:eastAsia="Arial" w:hAnsi="Arial"/>
                <w:sz w:val="14"/>
                <w:szCs w:val="14"/>
                <w:b w:val="1"/>
                <w:bCs w:val="1"/>
                <w:color w:val="auto"/>
                <w:w w:val="89"/>
              </w:rPr>
              <w:t>2013</w:t>
            </w:r>
          </w:p>
        </w:tc>
        <w:tc>
          <w:tcPr>
            <w:tcW w:w="760" w:type="dxa"/>
            <w:vAlign w:val="bottom"/>
          </w:tcPr>
          <w:p>
            <w:pPr>
              <w:spacing w:after="0"/>
              <w:rPr>
                <w:sz w:val="14"/>
                <w:szCs w:val="14"/>
                <w:color w:val="auto"/>
              </w:rPr>
            </w:pPr>
          </w:p>
        </w:tc>
        <w:tc>
          <w:tcPr>
            <w:tcW w:w="920" w:type="dxa"/>
            <w:vAlign w:val="bottom"/>
          </w:tcPr>
          <w:p>
            <w:pPr>
              <w:jc w:val="right"/>
              <w:ind w:right="536"/>
              <w:spacing w:after="0"/>
              <w:rPr>
                <w:sz w:val="20"/>
                <w:szCs w:val="20"/>
                <w:color w:val="auto"/>
              </w:rPr>
            </w:pPr>
            <w:r>
              <w:rPr>
                <w:rFonts w:ascii="Arial" w:cs="Arial" w:eastAsia="Arial" w:hAnsi="Arial"/>
                <w:sz w:val="14"/>
                <w:szCs w:val="14"/>
                <w:b w:val="1"/>
                <w:bCs w:val="1"/>
                <w:color w:val="auto"/>
                <w:w w:val="89"/>
              </w:rPr>
              <w:t>2012</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Incr / (Decr)</w:t>
            </w:r>
          </w:p>
        </w:tc>
      </w:tr>
      <w:tr>
        <w:trPr>
          <w:trHeight w:val="156"/>
        </w:trPr>
        <w:tc>
          <w:tcPr>
            <w:tcW w:w="59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ind w:left="660"/>
              <w:spacing w:after="0" w:line="155" w:lineRule="exact"/>
              <w:rPr>
                <w:sz w:val="20"/>
                <w:szCs w:val="20"/>
                <w:color w:val="auto"/>
              </w:rPr>
            </w:pPr>
            <w:r>
              <w:rPr>
                <w:rFonts w:ascii="Arial" w:cs="Arial" w:eastAsia="Arial" w:hAnsi="Arial"/>
                <w:sz w:val="14"/>
                <w:szCs w:val="14"/>
                <w:b w:val="1"/>
                <w:bCs w:val="1"/>
                <w:color w:val="auto"/>
              </w:rPr>
              <w:t>($ in billions)</w:t>
            </w: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Global Completed M&amp;A Transactions: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98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499</w:t>
            </w:r>
          </w:p>
        </w:tc>
        <w:tc>
          <w:tcPr>
            <w:tcW w:w="760" w:type="dxa"/>
            <w:vAlign w:val="bottom"/>
          </w:tcPr>
          <w:p>
            <w:pPr>
              <w:ind w:left="66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96"/>
              <w:spacing w:after="0"/>
              <w:rPr>
                <w:sz w:val="20"/>
                <w:szCs w:val="20"/>
                <w:color w:val="auto"/>
              </w:rPr>
            </w:pPr>
            <w:r>
              <w:rPr>
                <w:rFonts w:ascii="Arial" w:cs="Arial" w:eastAsia="Arial" w:hAnsi="Arial"/>
                <w:sz w:val="18"/>
                <w:szCs w:val="18"/>
                <w:color w:val="auto"/>
              </w:rPr>
              <w:t>402</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3"/>
              </w:rPr>
              <w:t>6,162</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3"/>
              </w:rPr>
              <w:t>7,600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Global Announced M&amp;A Transactions: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510</w:t>
            </w:r>
          </w:p>
        </w:tc>
        <w:tc>
          <w:tcPr>
            <w:tcW w:w="7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478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2"/>
        </w:trPr>
        <w:tc>
          <w:tcPr>
            <w:tcW w:w="598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w w:val="93"/>
              </w:rPr>
              <w:t>8,403</w:t>
            </w:r>
          </w:p>
        </w:tc>
        <w:tc>
          <w:tcPr>
            <w:tcW w:w="760" w:type="dxa"/>
            <w:vAlign w:val="bottom"/>
          </w:tcPr>
          <w:p>
            <w:pPr>
              <w:spacing w:after="0"/>
              <w:rPr>
                <w:sz w:val="19"/>
                <w:szCs w:val="19"/>
                <w:color w:val="auto"/>
              </w:rPr>
            </w:pPr>
          </w:p>
        </w:tc>
        <w:tc>
          <w:tcPr>
            <w:tcW w:w="920" w:type="dxa"/>
            <w:vAlign w:val="bottom"/>
          </w:tcPr>
          <w:p>
            <w:pPr>
              <w:jc w:val="right"/>
              <w:ind w:right="396"/>
              <w:spacing w:after="0"/>
              <w:rPr>
                <w:sz w:val="20"/>
                <w:szCs w:val="20"/>
                <w:color w:val="auto"/>
              </w:rPr>
            </w:pPr>
            <w:r>
              <w:rPr>
                <w:rFonts w:ascii="Arial" w:cs="Arial" w:eastAsia="Arial" w:hAnsi="Arial"/>
                <w:sz w:val="18"/>
                <w:szCs w:val="18"/>
                <w:color w:val="auto"/>
                <w:w w:val="93"/>
              </w:rPr>
              <w:t>9,545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Source:Thomson Reuters as of April 9, 2013.</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Global restructuring activity during the first quarter of 2013, as measured by the value of debt defaults, decreased from the corresponding period in 2012, with the number of issuers defaulting decreasing to 20 in the first quarter of 2013, according to Moody’s Investors Service, Inc., as compared to 24 in the corresponding period of 2012.</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shown in the table below, major equity market indices at March 31, 2013 generally increased when compared to such indices at December 31 and March 31,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Percentage Changes</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840" w:type="dxa"/>
            <w:vAlign w:val="bottom"/>
          </w:tcPr>
          <w:p>
            <w:pPr>
              <w:spacing w:after="0"/>
              <w:rPr>
                <w:sz w:val="14"/>
                <w:szCs w:val="14"/>
                <w:color w:val="auto"/>
              </w:rPr>
            </w:pPr>
          </w:p>
        </w:tc>
        <w:tc>
          <w:tcPr>
            <w:tcW w:w="1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March 31, 2013 vs.</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6840" w:type="dxa"/>
            <w:vAlign w:val="bottom"/>
          </w:tcPr>
          <w:p>
            <w:pPr>
              <w:spacing w:after="0"/>
              <w:rPr>
                <w:sz w:val="11"/>
                <w:szCs w:val="11"/>
                <w:color w:val="auto"/>
              </w:rPr>
            </w:pPr>
          </w:p>
        </w:tc>
        <w:tc>
          <w:tcPr>
            <w:tcW w:w="194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1"/>
                <w:szCs w:val="11"/>
                <w:color w:val="auto"/>
              </w:rPr>
            </w:pPr>
          </w:p>
        </w:tc>
      </w:tr>
      <w:tr>
        <w:trPr>
          <w:trHeight w:val="161"/>
        </w:trPr>
        <w:tc>
          <w:tcPr>
            <w:tcW w:w="68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2012</w:t>
            </w:r>
          </w:p>
        </w:tc>
        <w:tc>
          <w:tcPr>
            <w:tcW w:w="1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Euro Stoxx</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S&amp;P 500</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10%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 Management business when comparing periodic results. A substantial portion of our AUM is invested in equities, and market movements reflected in the changes in Lazard’s AUM during the period generally correspond to the changes in global equity market indices. Our AUM at March 31, 2013 increased 3% versus AUM at December 31, 2012 primarily due to market appreciation, and our average AUM for the first quarter of 2013 increased 14% as compared to our average AUM for the corresponding period of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October 2012, we announced cost saving initiatives that we expected to result in approximately $125 million in annual savings from the compensation and non-compensation cost base at that time. Implementation began in the fourth quarter of 2012, with the goal of completion by the end of the second quarter of 2013.</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and creating greater flexibility to retain and attract the best people and invest in new growth areas.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Most of the cost saving initiatives have been completed. In the first quarter of 2013, associated implementation expenses were approximately $26 million, and in the fourth quarter of 2012, associated implementation expenses were approximately $103 million, for a total of approximately $129 million.</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planned, we expect implementation of the initiatives to be finished by the end of the second quarter of 2013, which we expect will include additional cost savings that we have identified. We anticipate that the ratio of these additional cost savings to expenses will approximate the ratio expected for the initiatives currently underway. We expect that the expenses in the second quarter that are associated with the additional savings will not exceed the level of first-quarter 2013 expenses. We believe the full impact of all the savings will be reflected in our 2014 results.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of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 funds, such as hedge funds and private equity funds, and lower fees earned on fixed income and cash management products.</w:t>
      </w:r>
    </w:p>
    <w:p>
      <w:pPr>
        <w:spacing w:after="0" w:line="12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in LAM equity and fixed income funds, principal investments in equities and alternative investment funds and “equity method” investments, net hedging activities, as well as gains and losses on investments held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connection with Lazard Fund Interests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Although Corporate segment net revenue during the first quarter of 2013 represented (3)% of Lazard’s net revenue, total assets in the Corporate segment represented 56% of Lazard’s consolidated total assets as of March 31, 2013, which is attributable to investments in government bonds and money market funds, fixed income funds, alternative investment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Lazard Fund Interests awards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operating and financial performance, staffing levels, competitive pay conditions and the nature of revenues earned, as well as the mix between current and deferred compensation.</w:t>
      </w:r>
    </w:p>
    <w:p>
      <w:pPr>
        <w:spacing w:after="0" w:line="10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2013, 2012 and 2011 related to the 2012, 2011 and 2010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environment, we believe that over the cycle we can attain a ratio of awarded compensation and benefits expense to operating revenue in the mid-to-high-50s percentage range, which compares to 59.4% for the year ended December 31, 2012. While we have begun to implement initiatives, including the cost saving initiatives announced in October 2012 (see “Cost Saving Initiatives” above)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changes in the mix of revenues from our businesses or various other factors could prevent us from attaining this goal.</w:t>
      </w:r>
    </w:p>
    <w:p>
      <w:pPr>
        <w:spacing w:after="0" w:line="14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 in the 2012 period, the relevant portion of the expense relating to the first quarter 2012 staff reductions and (ii) in the 2013 period, the relevant portion of the expense relating to the implementation of the cost saving initiatives. Amortization of intangible assets relates primarily to the acquisition of Edgewater.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foreign taxes from non-U.S. entities and to New York City Unincorporated Business Tax (“UBT”) attributable to Lazard’s operations apportioned to New York City.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and the amount attributable to LAZ-MD Holdings’ ownership interest in the net income of Lazard Group. See Note 11 of Notes to Condensed Consolidated Financial Statements for information regarding the Company’s noncontrolling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reported condensed consolidated results of operations is set forth below, followed by a more detailed discussion of both the consolidated and business segment results.</w:t>
      </w:r>
    </w:p>
    <w:p>
      <w:pPr>
        <w:spacing w:after="0" w:line="168"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-7620</wp:posOffset>
            </wp:positionV>
            <wp:extent cx="15265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401,903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486,039</w:t>
            </w:r>
          </w:p>
        </w:tc>
        <w:tc>
          <w:tcPr>
            <w:tcW w:w="0" w:type="dxa"/>
            <w:vAlign w:val="bottom"/>
          </w:tcPr>
          <w:p>
            <w:pPr>
              <w:spacing w:after="0"/>
              <w:rPr>
                <w:sz w:val="1"/>
                <w:szCs w:val="1"/>
                <w:color w:val="auto"/>
              </w:rPr>
            </w:pPr>
          </w:p>
        </w:tc>
      </w:tr>
      <w:tr>
        <w:trPr>
          <w:trHeight w:val="330"/>
        </w:trPr>
        <w:tc>
          <w:tcPr>
            <w:tcW w:w="6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277,739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338,317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w w:val="86"/>
              </w:rPr>
              <w:t>101,690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108,781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w w:val="86"/>
              </w:rPr>
              <w:t>380,306</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448,216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21,597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17,649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15,360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25,552</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3760" w:type="dxa"/>
            <w:vAlign w:val="bottom"/>
            <w:gridSpan w:val="3"/>
          </w:tcPr>
          <w:p>
            <w:pPr>
              <w:jc w:val="right"/>
              <w:ind w:right="300"/>
              <w:spacing w:after="0"/>
              <w:rPr>
                <w:sz w:val="20"/>
                <w:szCs w:val="20"/>
                <w:color w:val="auto"/>
              </w:rPr>
            </w:pPr>
            <w:r>
              <w:rPr>
                <w:rFonts w:ascii="Arial" w:cs="Arial" w:eastAsia="Arial" w:hAnsi="Arial"/>
                <w:sz w:val="18"/>
                <w:szCs w:val="18"/>
                <w:color w:val="auto"/>
              </w:rPr>
              <w:t>$401,903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$486,039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2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Other interest expense (a)</w:t>
            </w:r>
          </w:p>
        </w:tc>
        <w:tc>
          <w:tcPr>
            <w:tcW w:w="3760" w:type="dxa"/>
            <w:vAlign w:val="bottom"/>
            <w:gridSpan w:val="3"/>
          </w:tcPr>
          <w:p>
            <w:pPr>
              <w:jc w:val="right"/>
              <w:ind w:right="300"/>
              <w:spacing w:after="0"/>
              <w:rPr>
                <w:sz w:val="20"/>
                <w:szCs w:val="20"/>
                <w:color w:val="auto"/>
              </w:rPr>
            </w:pPr>
            <w:r>
              <w:rPr>
                <w:rFonts w:ascii="Arial" w:cs="Arial" w:eastAsia="Arial" w:hAnsi="Arial"/>
                <w:sz w:val="18"/>
                <w:szCs w:val="18"/>
                <w:color w:val="auto"/>
              </w:rPr>
              <w:t>19,848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3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(4,322)</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Gains on investments pertaining to Lazard Fund</w:t>
            </w:r>
          </w:p>
        </w:tc>
        <w:tc>
          <w:tcPr>
            <w:tcW w:w="2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ind w:left="640"/>
              <w:spacing w:after="0"/>
              <w:rPr>
                <w:sz w:val="20"/>
                <w:szCs w:val="20"/>
                <w:color w:val="auto"/>
              </w:rPr>
            </w:pPr>
            <w:r>
              <w:rPr>
                <w:rFonts w:ascii="Arial" w:cs="Arial" w:eastAsia="Arial" w:hAnsi="Arial"/>
                <w:sz w:val="18"/>
                <w:szCs w:val="18"/>
                <w:color w:val="auto"/>
              </w:rPr>
              <w:t>Interests (c)</w:t>
            </w:r>
          </w:p>
        </w:tc>
        <w:tc>
          <w:tcPr>
            <w:tcW w:w="27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(3,725)</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413,704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498,749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is not considered to be a cost directly related to the revenue of our business.</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jc w:val="both"/>
        <w:ind w:left="460" w:right="660" w:hanging="452"/>
        <w:spacing w:after="0" w:line="361"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 expense, are excluded.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80" w:type="dxa"/>
            <w:vAlign w:val="bottom"/>
            <w:gridSpan w:val="3"/>
          </w:tcPr>
          <w:p>
            <w:pPr>
              <w:jc w:val="right"/>
              <w:ind w:right="435"/>
              <w:spacing w:after="0" w:line="142"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2"/>
                <w:szCs w:val="12"/>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$277,739</w:t>
            </w:r>
          </w:p>
        </w:tc>
        <w:tc>
          <w:tcPr>
            <w:tcW w:w="6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$338,317</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3260" w:type="dxa"/>
            <w:vAlign w:val="bottom"/>
            <w:gridSpan w:val="3"/>
          </w:tcPr>
          <w:p>
            <w:pPr>
              <w:jc w:val="right"/>
              <w:ind w:right="492"/>
              <w:spacing w:after="0"/>
              <w:rPr>
                <w:sz w:val="20"/>
                <w:szCs w:val="20"/>
                <w:color w:val="auto"/>
              </w:rPr>
            </w:pPr>
            <w:r>
              <w:rPr>
                <w:rFonts w:ascii="Arial" w:cs="Arial" w:eastAsia="Arial" w:hAnsi="Arial"/>
                <w:sz w:val="18"/>
                <w:szCs w:val="18"/>
                <w:color w:val="auto"/>
              </w:rPr>
              <w:t>(1,121)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(1,080)</w:t>
            </w:r>
          </w:p>
        </w:tc>
      </w:tr>
      <w:tr>
        <w:trPr>
          <w:trHeight w:val="21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Lazard Fund Interests (b)</w:t>
            </w:r>
          </w:p>
        </w:tc>
        <w:tc>
          <w:tcPr>
            <w:tcW w:w="3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(3,725)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(2,767)</w:t>
            </w:r>
          </w:p>
        </w:tc>
      </w:tr>
      <w:tr>
        <w:trPr>
          <w:trHeight w:val="216"/>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Costs related to staff reductions (c)</w:t>
            </w:r>
          </w:p>
        </w:tc>
        <w:tc>
          <w:tcPr>
            <w:tcW w:w="1960" w:type="dxa"/>
            <w:vAlign w:val="bottom"/>
          </w:tcPr>
          <w:p>
            <w:pPr>
              <w:spacing w:after="0"/>
              <w:rPr>
                <w:sz w:val="18"/>
                <w:szCs w:val="18"/>
                <w:color w:val="auto"/>
              </w:rPr>
            </w:pPr>
          </w:p>
        </w:tc>
        <w:tc>
          <w:tcPr>
            <w:tcW w:w="130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(21,754)</w:t>
            </w:r>
          </w:p>
        </w:tc>
      </w:tr>
      <w:tr>
        <w:trPr>
          <w:trHeight w:val="21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(c)</w:t>
            </w:r>
          </w:p>
        </w:tc>
        <w:tc>
          <w:tcPr>
            <w:tcW w:w="1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(24,671)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19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248,222</w:t>
            </w: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312,716</w:t>
            </w:r>
          </w:p>
        </w:tc>
        <w:tc>
          <w:tcPr>
            <w:tcW w:w="2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32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60.0%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right="460" w:hanging="452"/>
        <w:spacing w:after="0" w:line="25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20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changes in the fair value of the underlying investments which are excluded from operating revenue.</w:t>
      </w:r>
    </w:p>
    <w:p>
      <w:pPr>
        <w:spacing w:after="0" w:line="1" w:lineRule="exact"/>
        <w:rPr>
          <w:rFonts w:ascii="Arial" w:cs="Arial" w:eastAsia="Arial" w:hAnsi="Arial"/>
          <w:sz w:val="18"/>
          <w:szCs w:val="18"/>
          <w:color w:val="auto"/>
        </w:rPr>
      </w:pPr>
    </w:p>
    <w:p>
      <w:pPr>
        <w:ind w:left="460" w:right="400" w:hanging="452"/>
        <w:spacing w:after="0" w:line="25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expenses related to the first quarter 2012 staff reductions and the cost saving initiatives announced by the Company in the fourth quarter of 2012 for (i) severance costs and benefit payments and (ii) the acceleration of unrecognized amortization expense of deferred incentive compensation previously granted to individuals whose employment was being terminated.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$101,690</w:t>
            </w:r>
          </w:p>
        </w:tc>
        <w:tc>
          <w:tcPr>
            <w:tcW w:w="6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$108,781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3560" w:type="dxa"/>
            <w:vAlign w:val="bottom"/>
            <w:gridSpan w:val="3"/>
          </w:tcPr>
          <w:p>
            <w:pPr>
              <w:jc w:val="right"/>
              <w:ind w:right="492"/>
              <w:spacing w:after="0"/>
              <w:rPr>
                <w:sz w:val="20"/>
                <w:szCs w:val="20"/>
                <w:color w:val="auto"/>
              </w:rPr>
            </w:pPr>
            <w:r>
              <w:rPr>
                <w:rFonts w:ascii="Arial" w:cs="Arial" w:eastAsia="Arial" w:hAnsi="Arial"/>
                <w:sz w:val="18"/>
                <w:szCs w:val="18"/>
                <w:color w:val="auto"/>
              </w:rPr>
              <w:t>(458)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Costs related to staff reductions (b)</w:t>
            </w:r>
          </w:p>
        </w:tc>
        <w:tc>
          <w:tcPr>
            <w:tcW w:w="2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(b)</w:t>
            </w:r>
          </w:p>
        </w:tc>
        <w:tc>
          <w:tcPr>
            <w:tcW w:w="2260" w:type="dxa"/>
            <w:vAlign w:val="bottom"/>
          </w:tcPr>
          <w:p>
            <w:pPr>
              <w:spacing w:after="0"/>
              <w:rPr>
                <w:sz w:val="19"/>
                <w:szCs w:val="19"/>
                <w:color w:val="auto"/>
              </w:rPr>
            </w:pPr>
          </w:p>
        </w:tc>
        <w:tc>
          <w:tcPr>
            <w:tcW w:w="1300" w:type="dxa"/>
            <w:vAlign w:val="bottom"/>
            <w:gridSpan w:val="2"/>
          </w:tcPr>
          <w:p>
            <w:pPr>
              <w:jc w:val="right"/>
              <w:ind w:right="492"/>
              <w:spacing w:after="0"/>
              <w:rPr>
                <w:sz w:val="20"/>
                <w:szCs w:val="20"/>
                <w:color w:val="auto"/>
              </w:rPr>
            </w:pPr>
            <w:r>
              <w:rPr>
                <w:rFonts w:ascii="Arial" w:cs="Arial" w:eastAsia="Arial" w:hAnsi="Arial"/>
                <w:sz w:val="18"/>
                <w:szCs w:val="18"/>
                <w:color w:val="auto"/>
              </w:rPr>
              <w:t>(1,651)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w:t>
            </w:r>
          </w:p>
        </w:tc>
        <w:tc>
          <w:tcPr>
            <w:tcW w:w="22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$ 99,581</w:t>
            </w:r>
          </w:p>
        </w:tc>
        <w:tc>
          <w:tcPr>
            <w:tcW w:w="6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105,235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2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3"/>
            <w:vMerge w:val="continue"/>
          </w:tcPr>
          <w:p>
            <w:pPr>
              <w:spacing w:after="0"/>
              <w:rPr>
                <w:sz w:val="18"/>
                <w:szCs w:val="18"/>
                <w:color w:val="auto"/>
              </w:rPr>
            </w:pPr>
          </w:p>
        </w:tc>
        <w:tc>
          <w:tcPr>
            <w:tcW w:w="3560" w:type="dxa"/>
            <w:vAlign w:val="bottom"/>
            <w:gridSpan w:val="3"/>
          </w:tcPr>
          <w:p>
            <w:pPr>
              <w:jc w:val="right"/>
              <w:ind w:right="412"/>
              <w:spacing w:after="0"/>
              <w:rPr>
                <w:sz w:val="20"/>
                <w:szCs w:val="20"/>
                <w:color w:val="auto"/>
              </w:rPr>
            </w:pPr>
            <w:r>
              <w:rPr>
                <w:rFonts w:ascii="Arial" w:cs="Arial" w:eastAsia="Arial" w:hAnsi="Arial"/>
                <w:sz w:val="18"/>
                <w:szCs w:val="18"/>
                <w:color w:val="auto"/>
              </w:rPr>
              <w:t>24.1%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40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Non-compensation costs associated with the first quarter 2012 staff reductions and the cost saving initiatives are excluded to enhance comparability of adjusted non-compensation expense between present, historical and future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413,704</w:t>
            </w:r>
          </w:p>
        </w:tc>
        <w:tc>
          <w:tcPr>
            <w:tcW w:w="7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498,749</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100" w:type="dxa"/>
            <w:vAlign w:val="bottom"/>
          </w:tcPr>
          <w:p>
            <w:pPr>
              <w:spacing w:after="0"/>
              <w:rPr>
                <w:sz w:val="18"/>
                <w:szCs w:val="18"/>
                <w:color w:val="auto"/>
              </w:rPr>
            </w:pP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w w:val="88"/>
              </w:rPr>
              <w:t>(248,222)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(312,716)</w:t>
            </w: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(99,581)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(105,235)</w:t>
            </w: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65,901</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80,798</w:t>
            </w:r>
          </w:p>
        </w:tc>
        <w:tc>
          <w:tcPr>
            <w:tcW w:w="2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additional key ratios and headcount information are set forth below:</w:t>
      </w:r>
    </w:p>
    <w:p>
      <w:pPr>
        <w:spacing w:after="0" w:line="207"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-15875</wp:posOffset>
            </wp:positionV>
            <wp:extent cx="19037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03730"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10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8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Money management fees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Revenue</w:t>
            </w: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100%</w:t>
            </w:r>
          </w:p>
        </w:tc>
        <w:tc>
          <w:tcPr>
            <w:tcW w:w="148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1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40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9"/>
              </w:rPr>
              <w:t>March 31,</w:t>
            </w:r>
          </w:p>
        </w:tc>
        <w:tc>
          <w:tcPr>
            <w:tcW w:w="14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13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Headcount:</w:t>
            </w:r>
          </w:p>
        </w:tc>
        <w:tc>
          <w:tcPr>
            <w:tcW w:w="14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2013(a)</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2012(a)</w:t>
            </w:r>
          </w:p>
        </w:tc>
        <w:tc>
          <w:tcPr>
            <w:tcW w:w="10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100" w:type="dxa"/>
            <w:vAlign w:val="bottom"/>
            <w:gridSpan w:val="2"/>
            <w:vMerge w:val="continue"/>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1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1480" w:type="dxa"/>
            <w:vAlign w:val="bottom"/>
            <w:gridSpan w:val="5"/>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1,097</w:t>
            </w:r>
          </w:p>
        </w:tc>
        <w:tc>
          <w:tcPr>
            <w:tcW w:w="1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4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1,132</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1,165</w:t>
            </w:r>
          </w:p>
        </w:tc>
        <w:tc>
          <w:tcPr>
            <w:tcW w:w="1000" w:type="dxa"/>
            <w:vAlign w:val="bottom"/>
            <w:gridSpan w:val="2"/>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1,204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2,466</w:t>
            </w:r>
          </w:p>
        </w:tc>
        <w:tc>
          <w:tcPr>
            <w:tcW w:w="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2,513</w:t>
            </w:r>
          </w:p>
        </w:tc>
        <w:tc>
          <w:tcPr>
            <w:tcW w:w="1000" w:type="dxa"/>
            <w:vAlign w:val="bottom"/>
            <w:tcBorders>
              <w:right w:val="single" w:sz="8" w:color="CCEEFF"/>
            </w:tcBorders>
            <w:gridSpan w:val="2"/>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2,530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-2872105</wp:posOffset>
            </wp:positionV>
            <wp:extent cx="342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-2040255</wp:posOffset>
            </wp:positionV>
            <wp:extent cx="260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-1885950</wp:posOffset>
            </wp:positionV>
            <wp:extent cx="260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-1868805</wp:posOffset>
            </wp:positionV>
            <wp:extent cx="26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-1568450</wp:posOffset>
            </wp:positionV>
            <wp:extent cx="342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-1371600</wp:posOffset>
            </wp:positionV>
            <wp:extent cx="342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-265430</wp:posOffset>
            </wp:positionV>
            <wp:extent cx="26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-111125</wp:posOffset>
            </wp:positionV>
            <wp:extent cx="260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-93980</wp:posOffset>
            </wp:positionV>
            <wp:extent cx="26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ind w:left="460" w:right="4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full impact of recent headcount reductions relating to the cost saving initiatives will not be reflected until later in 2013, which impact could be offset in part by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2013 versus March 31, 2012</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the 2013 period of $15 million, as compared to net income of $26 million in the 2012 period. The changes in the Company’s operating results during these periods are described below.</w:t>
      </w:r>
    </w:p>
    <w:p>
      <w:pPr>
        <w:spacing w:after="0" w:line="132"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Net revenue in the 2013 period decreased $84 million, or 17%, with operating revenue decreasing $85 million, or 17%, as compared to the 2012 period. Fee revenue from investment banking and other advisory activities decreased $105 million, or 39%, primarily due to decreases in M&amp;A and Other Advisory fees and Restructuring fees. The decrease in M&amp;A and Other Advisory fee revenue was primarily due to market conditions, significant fees earned in the 2012 period related to our sovereign advisory and middle market businesses and the timing of transaction closings. The decline in Restructuring revenue reflected high first-quarter 2012 revenue, which was driven by the closings of several large assignments in that period, as well as the industry-wide low level of corporate restructuring activity. Money management fees, including incentive fees, increased $27 million, or 13%, principally reflecting a $20 billion, or 14%, increase in average AUM as compared to the 2012 period. In the aggregate, interest income, other revenue and interest expense reflected a decrease in net revenue of</w:t>
      </w:r>
    </w:p>
    <w:p>
      <w:pPr>
        <w:spacing w:after="0"/>
        <w:rPr>
          <w:sz w:val="20"/>
          <w:szCs w:val="20"/>
          <w:color w:val="auto"/>
        </w:rPr>
      </w:pPr>
      <w:r>
        <w:rPr>
          <w:rFonts w:ascii="Arial" w:cs="Arial" w:eastAsia="Arial" w:hAnsi="Arial"/>
          <w:sz w:val="18"/>
          <w:szCs w:val="18"/>
          <w:color w:val="auto"/>
        </w:rPr>
        <w:t>$5 million as compared to the 2012 period. Such decrease was principally due to decreases in investment income.</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Compensation and benefits expense in the 2013 period decreased $61 million, or 18%, compared to the 2012 period. Factors contributing to the decrease included lower compensation costs driven by the decline in operating revenue, lower headcount in the 2013 period and reduced amortization expense associated with deferred incentive compensation awards related to 2008 deferred compensation (the “2008 grant”). The 2008 grant had a comparatively longer, four year vesting period and was fully vested as of March 1, 2013. Compensation and benefits expense in the 2013 period also included a $24 million charge related to cost saving initiatives, as compared to a $22 million charge in the 2012 period related to the staff reductions.</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$248 million in the 2013 period, a decrease of $65 million, or 21%, when compared to $313 million in the 2012 period. The ratio of adjusted compensation and benefits expense to operating revenue was reduced to 60.0% for the 2013 period, as compared to 62.7% for the 2012 period. The first quarter 2013 ratio of adjusted compensation and benefits expense to operating revenue assumed, based on current market conditions, a ratio of awarded compensation and benefits expense to operating revenue of approximately 58.5% for the full year of 2013, as compared to 59.4% for the full year of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currently expect that amortization of deferred incentive compensation awards will approximate $307 million for the full year of 2013, a decrease of $28 million as compared to $335 million for the year ended December 31, 2012. The expected reduction is primarily related to the full vesting of the 2008 grant in early 2013.</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Non-compensation expense in the 2013 period decreased $7 million, or 7%, as compared to the 2012 period. Non-compensation expense in the 2013 period included a first quarter charge of $2 million related to the cost saving initiatives and, in the first quarter 2012, a charge of $3 million associated with the staff reductions. When excluding such charges, as well as non-compensation costs relating to noncontrolling interests, adjusted non-compensation expense in the 2013 period decreased $6 million, or 5%, primarily attributable to decreases in (i) marketing and business development expense associated with lower expenses for travel and (ii) deal-related costs, which were higher in the first quarter of 2012 as a result of transactions that closed in that period. Such decreases were partially offset by increased investments in technology and higher occupancy costs related to the amended lease and build-out of our Rockefeller Center facility. The ratio of adjusted non-compensation expense to operating revenue was 24.1% in the 2013 period versus 21.1% in the 2012 period, with the higher ratio in the 2013 period primarily attributable to lower operating revenue in the 2013 period compared to the 2012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was substantially unchanged, as compared to the 2012 period.</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Operating income in the 2013 period (including the $26 million charge described above relating to the cost saving initiatives) decreased $16 million, or 43%, as compared to operating income in the 2012 period (including the $25 million charge described above relating to the staff reductions). Operating income, as a percentage of net revenue, was 5.4%, as compared to 7.8% in the 2012 period.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Earnings from operations decreased $15 million, or 18%, when compared to the 2012 period, and, as a percentage of operating revenue, was 15.9% in the 2013 period, as compared to 16.2% in the 2012 period.</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provision for income taxes decreased $5 million, or 55%, when compared to the 2012 period, and reflected an effective tax rate of 18.3%, as compared to 23.2% for the 2012 period. The decrease in the effective tax rate is primarily reflective of the change in the geographic mix of earnings.</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Net income attributable to noncontrolling interests decreased $1 million in the 2013 period due to a lower level of income and a decrease in the level of noncontrolling ownership interest.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560" w:type="dxa"/>
            <w:vAlign w:val="bottom"/>
            <w:gridSpan w:val="3"/>
          </w:tcPr>
          <w:p>
            <w:pPr>
              <w:jc w:val="center"/>
              <w:ind w:left="498"/>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$120,756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192,611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135,442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206,981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33,020</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168,462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277,196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216,908</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249,897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w w:val="87"/>
              </w:rPr>
              <w:t>$ (48,446)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27,299</w:t>
            </w:r>
          </w:p>
        </w:tc>
        <w:tc>
          <w:tcPr>
            <w:tcW w:w="0" w:type="dxa"/>
            <w:vAlign w:val="bottom"/>
          </w:tcPr>
          <w:p>
            <w:pPr>
              <w:spacing w:after="0"/>
              <w:rPr>
                <w:sz w:val="1"/>
                <w:szCs w:val="1"/>
                <w:color w:val="auto"/>
              </w:rPr>
            </w:pPr>
          </w:p>
        </w:tc>
      </w:tr>
      <w:tr>
        <w:trPr>
          <w:trHeight w:val="20"/>
        </w:trPr>
        <w:tc>
          <w:tcPr>
            <w:tcW w:w="908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80" w:type="dxa"/>
            <w:vAlign w:val="bottom"/>
            <w:gridSpan w:val="3"/>
            <w:vMerge w:val="continue"/>
          </w:tcPr>
          <w:p>
            <w:pPr>
              <w:spacing w:after="0"/>
              <w:rPr>
                <w:sz w:val="18"/>
                <w:szCs w:val="18"/>
                <w:color w:val="auto"/>
              </w:rPr>
            </w:pPr>
          </w:p>
        </w:tc>
        <w:tc>
          <w:tcPr>
            <w:tcW w:w="1460" w:type="dxa"/>
            <w:vAlign w:val="bottom"/>
            <w:gridSpan w:val="2"/>
          </w:tcPr>
          <w:p>
            <w:pPr>
              <w:jc w:val="right"/>
              <w:ind w:right="512"/>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4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2013, includes $22,015 associated with the implementation of the cost saving initiatives. Both periods include indirect support costs (including compensation and benefits expense and other operating expenses related thereto).</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Net revenue trends in Financial Advisory for M&amp;A and Other Advisory and Restructuring are generally correlated to the volume of completed industry-wide M&amp;A transactions and restructuring transactions occurring subsequent to corporate debt defaults, respectively. However, deviations from this relationship can occur in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the industry statistics for global M&amp;A transactions described above reflect a 24% increase in the value of closings in the 2013 period as compared to the 2012 period, which was driven by a few high value transactions in the 2013 period, while the number of closings in the 2013 period decreased 19% as compared to the 2012 period. Our M&amp;A and Other Advisory revenue (which includes Sovereign and Government Advisory revenue) decreased 37% in the 2013 period as compared to the 2012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3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r>
      <w:tr>
        <w:trPr>
          <w:trHeight w:val="196"/>
        </w:trPr>
        <w:tc>
          <w:tcPr>
            <w:tcW w:w="9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64</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560" w:type="dxa"/>
            <w:vAlign w:val="bottom"/>
            <w:gridSpan w:val="3"/>
          </w:tcPr>
          <w:p>
            <w:pPr>
              <w:ind w:left="1180"/>
              <w:spacing w:after="0"/>
              <w:rPr>
                <w:sz w:val="20"/>
                <w:szCs w:val="20"/>
                <w:color w:val="auto"/>
              </w:rPr>
            </w:pPr>
            <w:r>
              <w:rPr>
                <w:rFonts w:ascii="Arial" w:cs="Arial" w:eastAsia="Arial" w:hAnsi="Arial"/>
                <w:sz w:val="18"/>
                <w:szCs w:val="18"/>
                <w:color w:val="auto"/>
              </w:rPr>
              <w:t>50</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56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w w:val="99"/>
              </w:rPr>
              <w:t>41%</w:t>
            </w: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560" w:type="dxa"/>
            <w:vAlign w:val="bottom"/>
            <w:gridSpan w:val="3"/>
          </w:tcPr>
          <w:p>
            <w:pPr>
              <w:ind w:left="118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Reuters as of April 9, 2013.</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2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41</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2013 versus March 31, 2012</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and Other Advisory and Capital Raising businesses, decreased $71 million, or 35%, and Restructuring revenue decreased $37 million, or 53%, as compared to the 2012 period.</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M&amp;A and Other Advisory revenue decreased $72 million, or 37%, with Capital Raising revenue substantially unchanged as compared to the 2012 period. The decrease in M&amp;A and Other Advisory revenue was primarily due to market conditions, significant fees earned in the 2012 period related to our sovereign advisory and middle markets businesses and the timing of transaction closings. Our major clients, which in the aggregate represented a significant portion of our M&amp;A and Other Advisory revenue for the first quarter of 2013, included Axtel S.A.B. de C.V., Cerberus Capital Management, EADS, Paradigm Precision, PPG Industries, Principal Financial Group, Sportingbet, Unilever and United Technologies.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decline in Restructuring revenue reflected high first-quarter 2012 revenue, which was driven by the closings of several large assignments. The decrease in Restructuring revenue in the 2013 period was generally in line with the continued industry-wide low level of corporate restructuring activity. Notable assignments completed in the 2013 period included assignments for A123 Systems, Eastman Kodak, Mediannuaire Holding, Indianapolis Downs and Italtel.</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Operating expenses decreased $33 million, or 13%, as compared to the 2012 period. The primary contributors to the decrease were a reduction in amortization expense associated with the 2008 grant and lower levels of compensation and benefits expense as a result of the decrease in revenue, as well as headcount reductions related to the cost saving initiatives, lower deal-related costs, which were higher in the first quarter of 2012 as a result of transactions that closed in that period, and lower expenses for travel and market data. Such decreases were partially offset by a $22 million charge in the 2013 period related to the cost saving initiatives and higher occupancy costs related to the amended lease and build-out of our Rockefeller Center facility.</w:t>
      </w:r>
    </w:p>
    <w:p>
      <w:pPr>
        <w:spacing w:after="0" w:line="1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Financial Advisory operating loss in the 2013 period was $48 million (including the impact of the $22 million charge related to the cost saving initiatives), a decrease of $75 million as compared to operating income of $27 million in the 2012 period and, as a percentage of net revenue, was (28.8)% as compared to</w:t>
      </w:r>
    </w:p>
    <w:p>
      <w:pPr>
        <w:ind w:right="60"/>
        <w:spacing w:after="0" w:line="261" w:lineRule="auto"/>
        <w:rPr>
          <w:sz w:val="20"/>
          <w:szCs w:val="20"/>
          <w:color w:val="auto"/>
        </w:rPr>
      </w:pPr>
      <w:r>
        <w:rPr>
          <w:rFonts w:ascii="Arial" w:cs="Arial" w:eastAsia="Arial" w:hAnsi="Arial"/>
          <w:sz w:val="18"/>
          <w:szCs w:val="18"/>
          <w:color w:val="auto"/>
        </w:rPr>
        <w:t>9.8% in the 2012 period. Excluding the impact of such charge in the 2013 period, operating loss in the 2013 period was $26 million, a decrease of $54 million, as compared to operating income in the 2012 period.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56"/>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International 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39,871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35,919</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82,094</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U.S. Equities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20,075</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20,158</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142,802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138,171</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16,587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16,140</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U.S. Fixed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171,965</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167,060</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Average AUM for the 2013 and 2012 periods is set forth below. Average AUM is generally based on an average of quarterly ending balances for the respective periods.</w:t>
      </w:r>
    </w:p>
    <w:p>
      <w:pPr>
        <w:spacing w:after="0" w:line="168"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-7620</wp:posOffset>
            </wp:positionV>
            <wp:extent cx="11061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9780"/>
        <w:spacing w:after="0"/>
        <w:tabs>
          <w:tab w:leader="none" w:pos="108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-6985</wp:posOffset>
            </wp:positionV>
            <wp:extent cx="11061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10040"/>
        <w:spacing w:after="0" w:line="223" w:lineRule="auto"/>
        <w:rPr>
          <w:sz w:val="20"/>
          <w:szCs w:val="20"/>
          <w:color w:val="auto"/>
        </w:rPr>
      </w:pPr>
      <w:r>
        <w:rPr>
          <w:rFonts w:ascii="Arial" w:cs="Arial" w:eastAsia="Arial" w:hAnsi="Arial"/>
          <w:sz w:val="14"/>
          <w:szCs w:val="14"/>
          <w:b w:val="1"/>
          <w:bCs w:val="1"/>
          <w:color w:val="auto"/>
        </w:rPr>
        <w:t>($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$ 170,665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$ 150,315</w:t>
            </w:r>
          </w:p>
        </w:tc>
      </w:tr>
      <w:tr>
        <w:trPr>
          <w:trHeight w:val="20"/>
        </w:trPr>
        <w:tc>
          <w:tcPr>
            <w:tcW w:w="9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Total AUM at March 31, 2013 increased $5 billion, or 3%, as compared to total AUM of $167 billion at December 31, 2012, primarily due to market appreciation. Average AUM for the three month period ended March 31, 2013 was 14% higher than that for the three month period ended March 31, 2012. International, Global and U.S. equities represented 23%, 48% and 12% of total AUM at March 31, 2013, substantially unchanged from the respective percentages at December 31, 2012.</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As of March 31, 2013,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individuals, and was substantially unchanged from the corresponding percentages at December 31, 2012.</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March 31, 2013, AUM denominated in foreign currencies represented approximately 63% of our total AUM, substantially unchanged from the corresponding percentage at December 31, 2012. Foreign denominated AUM generally declines in value with the strengthening of the U.S. Dollar and increases in value as the U.S. Dollar weakens.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2013 and 2012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11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11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$167,060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$141,039</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(995)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100" w:type="dxa"/>
            <w:vAlign w:val="bottom"/>
            <w:shd w:val="clear" w:color="auto" w:fill="CCEEFF"/>
          </w:tcPr>
          <w:p>
            <w:pPr>
              <w:spacing w:after="0"/>
              <w:rPr>
                <w:sz w:val="18"/>
                <w:szCs w:val="18"/>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AUM—End of Period</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171,965</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156,708</w:t>
            </w:r>
          </w:p>
        </w:tc>
      </w:tr>
      <w:tr>
        <w:trPr>
          <w:trHeight w:val="20"/>
        </w:trPr>
        <w:tc>
          <w:tcPr>
            <w:tcW w:w="11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inflows of $9,092 and $5,308 and outflows of $10,087 and $5,470 for the 2013 and 2012 periods, respectively.</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During the 2013 period, most of the inflows were attributable to Global, International and Emerging Market Equities and Emerging Markets Debt products, primarily due to increased investments in existing accounts. Most of the outflows in the 2013 period were attributable to Global Thematic, Emerging Markets and U.S. Equity products, due to withdrawals from existing accounts and accounts lost.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April 23, 2013, AUM was $171 billion, a $1 billion decrease since March 31, 2013. The decrease in AUM was due to net outflows of $2 billion, partially offset by market and foreign exchange appreciation of $1 billion.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5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15"/>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219,992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199,860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2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244,025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214,527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2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155,077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160,501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88,948</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3"/>
            <w:vMerge w:val="continue"/>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9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2013, includes $235 associated with the implementation of the cost saving initiatives. Both periods include indirect support costs (including compensation and benefits expense and other operating expenses related thereto).</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5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9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920" w:type="dxa"/>
            <w:vAlign w:val="bottom"/>
            <w:vMerge w:val="restart"/>
          </w:tcPr>
          <w:p>
            <w:pPr>
              <w:jc w:val="right"/>
              <w:ind w:right="3332"/>
              <w:spacing w:after="0"/>
              <w:rPr>
                <w:sz w:val="20"/>
                <w:szCs w:val="20"/>
                <w:color w:val="auto"/>
              </w:rPr>
            </w:pPr>
            <w:r>
              <w:rPr>
                <w:rFonts w:ascii="Arial" w:cs="Arial" w:eastAsia="Arial" w:hAnsi="Arial"/>
                <w:sz w:val="18"/>
                <w:szCs w:val="18"/>
                <w:color w:val="auto"/>
              </w:rPr>
              <w:t>58</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2013 versus March 31, 2012</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Asset Management net revenue increased $29 million, or 14%, as compared to the 2012 period. Management fees increased $20 million, or 10%, as compared to the 2012 period, reflecting a $20 billion, or 14%, increase in average AUM. Incentive fees increased $6 million, as compared to the 2012 period, primarily due to fees related to traditional investment products. Other revenue increased $3 million, or 26%, as compared to the 2012 period, primarily due to higher commissions as a result of increased market activity.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expenses decreased $5 million, or 3%, as compared to the 2012 period, primarily due to a decrease in compensation and benefits expense.</w:t>
      </w:r>
    </w:p>
    <w:p>
      <w:pPr>
        <w:spacing w:after="0" w:line="1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Asset Management operating income in the 2013 period was $89 million, an increase of $35 million, or 65%, compared to operating income of $54 million in the 2012 period and, as a percentage of net revenue, was 36.5%, compared to 25.2% in the 2012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left="379"/>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(20,151)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(20,422)</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(19,434)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(19,792)</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14,108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(10,584)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(5,684)</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37,818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(18,905)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(43,502)</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 in 2013, $4,072 associated with the implementation of the cost saving initiatives and (ii) in 2012, $24,659 relating to the staff reductions.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2013 versus March 31,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was substantially unchanged as compared to the 2012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$5 million, or 37%, primarily due to decreased net investment gains.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Operating expenses in the 2013 period decreased $29 million, or 78%, compared to the 2012 period. The 2013 period included a charge of $4 million associated with the cost saving initiatives, while the 2012 period included a charge of $25 million related to staff reductions. Excluding the impact of such charges, operating expenses in the 2013 period decreased $9 million, or 68%, as compared to the 2012 period, primarily due to lower compensation and benefits expense as a result of the decrease in revenue, as well as headcount reductions relating to the cost saving initiatives, partially offset by increased investments in technology.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M&amp;A,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In addition, during the first quarter of 2013, the Company made cash payments, including severance payments, associated with the cost saving initiatives (see “Cost Saving Initiatives” above and Note 14 of Notes to Condensed Consolidated Financial Statements), and possible additional cash payments are expected in the second quarter of 2013.</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right"/>
              <w:ind w:right="434"/>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97.1</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(187.8)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8"/>
        </w:trPr>
        <w:tc>
          <w:tcPr>
            <w:tcW w:w="90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(148.5)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(264.1)</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8"/>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850.2</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586.1</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4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97.1</w:t>
            </w: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720" w:hanging="452"/>
        <w:spacing w:after="0" w:line="261"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settlements of vested restricted stock units (“RSUs”), Class A common stock dividends and distributions to noncontrolling interest 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We expect liquidity also to be impacted by cash payments, including severance payments, associated with the cost saving initiatives (see “Cost Saving Initiatives” above and Note 14 of Notes to Condensed Consolidated Financial Statements), including possible additional cash payments during the second quarter of 2013.</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Lazard Group common membership interests and matters relating to liquidity and to compliance with regulatory net capital requirements. At March 31, 2013, Lazard had approximately $586 million of cash, with such amount including approximately $300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March 31, 2013, Lazard had approximately $274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$64 million (at March 31, 2013 exchange rates) and Edgewater of $55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March 31, 2013 and December 31, 2012. The agreements with respect to this indebtedness are discussed in more detail in our condensed consolidated financial statements and related notes included elsewhere in this Form 10-Q and in our Form 10-K.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5"/>
              </w:rPr>
              <w:t>Maturity</w:t>
            </w: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64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8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2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Date</w:t>
            </w: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8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7.125%</w:t>
            </w:r>
          </w:p>
        </w:tc>
        <w:tc>
          <w:tcPr>
            <w:tcW w:w="52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528.5</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1,076.9</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1,076.9</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long as the lenders’ commitments remain in effect, any loan pursuant to the Credit Facility remains outstanding and unpaid or any other amount is owing to the lending bank group, the Credit Facility includes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March 31, 2013, Lazard Group was in compliance with such ratios, with its Consolidated Leverage Ratio being 1.89 to 1.00 and its Consolidated Interest Coverage Ratio being 8.11 to 1.00. In any event, no amounts were outstanding under the Credit Facility as of March 31, 2013.</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March 31, 2013,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At March 31, 2013, total stockholders’ equity was $577 million, as compared to $652 million at December 31, 2012, including $497 million and $570 million attributable to Lazard Ltd on the respective dates. The net activity in stockholders’ equity during the three month period ended March 31, 2013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Equity—January 1, 2013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83"/>
        </w:trPr>
        <w:tc>
          <w:tcPr>
            <w:tcW w:w="998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980" w:type="dxa"/>
            <w:vAlign w:val="bottom"/>
            <w:gridSpan w:val="2"/>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of Class A common stock</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980" w:type="dxa"/>
            <w:vAlign w:val="bottom"/>
            <w:gridSpan w:val="2"/>
          </w:tcPr>
          <w:p>
            <w:pPr>
              <w:ind w:left="440"/>
              <w:spacing w:after="0"/>
              <w:rPr>
                <w:sz w:val="20"/>
                <w:szCs w:val="20"/>
                <w:color w:val="auto"/>
              </w:rPr>
            </w:pPr>
            <w:r>
              <w:rPr>
                <w:rFonts w:ascii="Arial" w:cs="Arial" w:eastAsia="Arial" w:hAnsi="Arial"/>
                <w:sz w:val="18"/>
                <w:szCs w:val="18"/>
                <w:color w:val="auto"/>
                <w:w w:val="98"/>
              </w:rPr>
              <w:t>Delivery of Class A common stock in connection with share-based incentive compensation and related tax benefit of $0.9</w:t>
            </w: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(116)</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Distributions to noncontrolling interests, net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980" w:type="dxa"/>
            <w:vAlign w:val="bottom"/>
            <w:gridSpan w:val="2"/>
          </w:tcPr>
          <w:p>
            <w:pPr>
              <w:ind w:left="440"/>
              <w:spacing w:after="0"/>
              <w:rPr>
                <w:sz w:val="20"/>
                <w:szCs w:val="20"/>
                <w:color w:val="auto"/>
              </w:rPr>
            </w:pPr>
            <w:r>
              <w:rPr>
                <w:rFonts w:ascii="Arial" w:cs="Arial" w:eastAsia="Arial" w:hAnsi="Arial"/>
                <w:sz w:val="18"/>
                <w:szCs w:val="18"/>
                <w:color w:val="auto"/>
              </w:rPr>
              <w:t>AOCI (including noncontrolling interests’ portion thereof)(a)</w:t>
            </w: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 net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9980" w:type="dxa"/>
            <w:vAlign w:val="bottom"/>
            <w:gridSpan w:val="2"/>
          </w:tcPr>
          <w:p>
            <w:pPr>
              <w:spacing w:after="0"/>
              <w:rPr>
                <w:sz w:val="20"/>
                <w:szCs w:val="20"/>
                <w:color w:val="auto"/>
              </w:rPr>
            </w:pPr>
            <w:r>
              <w:rPr>
                <w:rFonts w:ascii="Arial" w:cs="Arial" w:eastAsia="Arial" w:hAnsi="Arial"/>
                <w:sz w:val="18"/>
                <w:szCs w:val="18"/>
                <w:color w:val="auto"/>
              </w:rPr>
              <w:t>Stockholders’ Equity—March 31, 2013</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40" w:type="dxa"/>
            <w:vAlign w:val="bottom"/>
            <w:tcBorders>
              <w:bottom w:val="single" w:sz="8" w:color="auto"/>
            </w:tcBorders>
            <w:shd w:val="clear" w:color="auto" w:fill="CCEEFF"/>
          </w:tcPr>
          <w:p>
            <w:pPr>
              <w:spacing w:after="0"/>
              <w:rPr>
                <w:sz w:val="8"/>
                <w:szCs w:val="8"/>
                <w:color w:val="auto"/>
              </w:rPr>
            </w:pPr>
          </w:p>
        </w:tc>
        <w:tc>
          <w:tcPr>
            <w:tcW w:w="90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Includes:</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80" w:type="dxa"/>
            <w:vAlign w:val="bottom"/>
            <w:gridSpan w:val="2"/>
          </w:tcPr>
          <w:p>
            <w:pPr>
              <w:ind w:left="440"/>
              <w:spacing w:after="0"/>
              <w:rPr>
                <w:sz w:val="20"/>
                <w:szCs w:val="20"/>
                <w:color w:val="auto"/>
              </w:rPr>
            </w:pPr>
            <w:r>
              <w:rPr>
                <w:rFonts w:ascii="Arial" w:cs="Arial" w:eastAsia="Arial" w:hAnsi="Arial"/>
                <w:sz w:val="18"/>
                <w:szCs w:val="18"/>
                <w:color w:val="auto"/>
              </w:rPr>
              <w:t>Net foreign currency translation adjustments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Employee benefit plans and other adjustments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9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February 2011, October 2011, April 2012 and October 2012 the Board of Directors of Lazard Ltd authorized the repurchase of up to $250 million, $125 million, $125 million and $200 million, respectively, in aggregate cost of Class A common stock and Lazard Group common membership interests through December 31, 2012, December 31, 2013, December 31, 2013 and December 31, 2014, respectively. The Company’s prior share repurchase authorizations expired on December 31, 2009 and December 31, 2011, respectively. During the three month period ended March 31, 2013 the Company repurchased 831,157 shares of Class A common stock, at an aggregate cost of $30 million (no Lazard Group common membership interests were purchased during such three month period). Furthermore, in order to help offset the dilutive effect of our share-based incentive compensation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plans, during a given year Lazard intends to repurchase at least as many shares as it expects to ultimately issue pursuant to such plans in respect of year-end incentive compensation attributable to the prior year</w:t>
      </w:r>
      <w:r>
        <w:rPr>
          <w:rFonts w:ascii="Arial" w:cs="Arial" w:eastAsia="Arial" w:hAnsi="Arial"/>
          <w:sz w:val="18"/>
          <w:szCs w:val="18"/>
          <w:i w:val="1"/>
          <w:iCs w:val="1"/>
          <w:color w:val="auto"/>
        </w:rPr>
        <w:t>.</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March 31, 2013, $124 million of the current share repurchase amount authorized as of such date remained available under the share repurchase program, all of which expires on December 31, 2014.</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terms of the 2005 Plan and the 2008 Plan, upon the vesting of RSUs, performance-based restricted stock units (“PRSUs”) and delivery of restricted Class A common stock, shares of Class A common stock may be withheld by the Company to meet the minimum statutory tax withholding requirements. In that regard, during the three month period ended March 31, 2013, the Company withheld $117 million to satisfy its withholding tax obligations for certain employees on vested RSUs and delivery of restricted Class A common stock in lieu of issuing 3,243,593 shares of Class A common stock.</w:t>
      </w:r>
    </w:p>
    <w:p>
      <w:pPr>
        <w:spacing w:after="0" w:line="11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including by repurchasing outstanding shares of Class A common stock, paying dividends to stockholders and repurchasing its outstanding debt.</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See Note 11 and 12 of Notes to Condensed Consolidated Financial Statements for additional information regarding Lazard’s stockholders’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3-5 Years</w:t>
            </w:r>
          </w:p>
        </w:tc>
        <w:tc>
          <w:tcPr>
            <w:tcW w:w="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$ 1,340,018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75,218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$ 660,107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$ 604,693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Operating Leases (excluding $156,194 of sublease income)</w:t>
            </w:r>
          </w:p>
        </w:tc>
        <w:tc>
          <w:tcPr>
            <w:tcW w:w="2180" w:type="dxa"/>
            <w:vAlign w:val="bottom"/>
            <w:gridSpan w:val="3"/>
          </w:tcPr>
          <w:p>
            <w:pPr>
              <w:jc w:val="right"/>
              <w:ind w:right="20"/>
              <w:spacing w:after="0"/>
              <w:rPr>
                <w:sz w:val="20"/>
                <w:szCs w:val="20"/>
                <w:color w:val="auto"/>
              </w:rPr>
            </w:pPr>
            <w:r>
              <w:rPr>
                <w:rFonts w:ascii="Arial" w:cs="Arial" w:eastAsia="Arial" w:hAnsi="Arial"/>
                <w:sz w:val="18"/>
                <w:szCs w:val="18"/>
                <w:color w:val="auto"/>
              </w:rPr>
              <w:t>1,037,748</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78,842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147,672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133,178</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678,056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19,286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3,086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1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31,501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31,501</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1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$ 2,428,553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$ 188,647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$ 813,394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$ 748,456</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$ 678,056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 These amounts are generally due on demand and therefore are presented in the “less than 1 year” category.</w:t>
      </w:r>
    </w:p>
    <w:p>
      <w:pPr>
        <w:ind w:left="460" w:right="40" w:hanging="452"/>
        <w:spacing w:after="0" w:line="261"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table above excludes contingent obligations, as well as any possible payments for uncertain tax positions, and payments pursuant to the Company’s tax receivable agreement, given the inability to estimate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color w:val="auto"/>
        </w:rPr>
        <w:t>the possible amounts and timing of any such payments. See Notes 10, 12, 13 and 15 of Notes to Condensed Consolidated Financial Statements regarding information in connection with commitments, incentive plans, employee benefit plans and income taxes,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These temporary differences result in deferred tax assets and liabilities. Significant judgment is required in determining our provision for income taxes, our deferred tax assets and liabilities as discussed below, any valuation allowance recorded against our deferred tax assets and our unrecognized tax benefits.</w:t>
      </w:r>
    </w:p>
    <w:p>
      <w:pPr>
        <w:spacing w:after="0" w:line="12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 deferred tax asset is recognized if it is more likely than not (defined as a likelihood of greater than 50%) that a tax benefit will be accepted by a taxing authority. The measurement of deferred tax assets and liabilities is based upon currently enacted tax rates in the applicable jurisdictions. At December 31, 2012, on a consolidated basis, we recorded gross deferred tax assets of approximately $1.41 billion.</w:t>
      </w:r>
    </w:p>
    <w:p>
      <w:pPr>
        <w:spacing w:after="0" w:line="10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In order to determine whether we apply a valuation allowance, we must assess whether it is more likely than not that such asset will be realized, taking into account all available information. The ultimate realization of a deferred tax asset for a particular entity depends, among other things, on the generation of taxable income by such entity in the applicable jurisdiction. Although we have been profitable on a consolidated basis for the three year periods ended December 31, 2012 and March 31, 2013, certain of our tax-paying entities have individually experienced minimal profits on a cumulative basis during such periods and losses in 2012, primarily due to permanent differences between net income and taxable income at such entities. Considering the recent operating results of such entities and the other factors listed below, we recorded a valuation allowance of approximately $1.24 billion on our deferred tax assets as of December 31, 2012 and have not changed our assessment regarding the level of valuation allowance as of March 31, 2013.</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nature, frequency and magnitude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significant evidence and will generally outweigh a projection of future taxable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mentioned previously, certain of our tax-paying entities have individually experienced minimal profits on a cumulative basis over the past several years and losses in 2012. If these entities achieve sustainable levels of profitability in the future, we believe that the valuation allowance recorded against our deferred tax assets at such entities could be reduced significantly. If any significant valuation allowance reduction were to occur, we would likely have a negative effective tax rate in the period in which such reduction occurs. Included in our deferred tax assets as of December 31, 2012 are approximately $705 million related to certain basis step-ups and approximately $196 million of net operating losses generated by the amortization of such step-up assets. Under our tax receivable agreement, Lazard Group will retain 15% of the actual cash tax savings relating to such assets and will pay 85% of such savings to the owners of Lazard prior to the separation.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we would otherwise recognize upon a release of the valuation allowance.</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any valuation allowance reduction were to occur, for subsequent periods, our effective tax rate, with all other factors being held constant, would increase and could be significantly higher than our effective tax rate in the period immediately preceding the reduction in the valuation allowance. In such a situation, an increase in our effective tax rate would not impact the amount of cash income taxes we would pay in those periods subsequent to the release of any valuation allowance.</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“Risk Factors” and Note 17 of Notes to Consolidated Financial Statements in our Form 10-K for additional information related to income taxes.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 primarily of debt and equity securities, and interests in alternative investment, debt, equity and private equity funds.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investments are carried at either (a)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“accumulated other comprehensive income (loss), net of tax” (“AOCI”), to the extent designated as “available-for-sale” securities until such time they are realized and reclassified to earnings, or (b) if designated as “held-to-maturity” securities, amortized cost on the consolidated statements of financial condition. Any declines in the fair value of “available-for-sale” and “held-to-maturity” securities that are determined to be other than temporary are charged to earnings. The Company holds no “available-for-sale” or “held-to-maturity” securities.</w:t>
      </w:r>
    </w:p>
    <w:p>
      <w:pPr>
        <w:spacing w:after="0" w:line="12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7"/>
              </w:rPr>
              <w:t>March 31, 2013(a)</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0"/>
              </w:rPr>
              <w:t>December 31, 2012(a)</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7240" w:type="dxa"/>
            <w:vAlign w:val="bottom"/>
            <w:gridSpan w:val="2"/>
          </w:tcPr>
          <w:p>
            <w:pPr>
              <w:spacing w:after="0"/>
              <w:rPr>
                <w:sz w:val="20"/>
                <w:szCs w:val="20"/>
                <w:color w:val="auto"/>
              </w:rPr>
            </w:pPr>
            <w:r>
              <w:rPr>
                <w:rFonts w:ascii="Arial" w:cs="Arial" w:eastAsia="Arial" w:hAnsi="Arial"/>
                <w:sz w:val="18"/>
                <w:szCs w:val="18"/>
                <w:color w:val="auto"/>
              </w:rPr>
              <w:t>Equity securities (net of $3 of securities sold, not yet purchased, at March 31, 2013 and</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2"/>
          </w:tcPr>
          <w:p>
            <w:pPr>
              <w:ind w:left="220"/>
              <w:spacing w:after="0"/>
              <w:rPr>
                <w:sz w:val="20"/>
                <w:szCs w:val="20"/>
                <w:color w:val="auto"/>
              </w:rPr>
            </w:pPr>
            <w:r>
              <w:rPr>
                <w:rFonts w:ascii="Arial" w:cs="Arial" w:eastAsia="Arial" w:hAnsi="Arial"/>
                <w:sz w:val="18"/>
                <w:szCs w:val="18"/>
                <w:color w:val="auto"/>
              </w:rPr>
              <w:t>December 31, 2012) (c)</w:t>
            </w:r>
          </w:p>
        </w:tc>
        <w:tc>
          <w:tcPr>
            <w:tcW w:w="140" w:type="dxa"/>
            <w:vAlign w:val="bottom"/>
          </w:tcPr>
          <w:p>
            <w:pPr>
              <w:spacing w:after="0"/>
              <w:rPr>
                <w:sz w:val="19"/>
                <w:szCs w:val="19"/>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46</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42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investment funds (d)</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Debt funds (e)</w:t>
            </w:r>
          </w:p>
        </w:tc>
        <w:tc>
          <w:tcPr>
            <w:tcW w:w="14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30</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32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 (f)</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145</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Private equity funds owned (g)</w:t>
            </w:r>
          </w:p>
        </w:tc>
        <w:tc>
          <w:tcPr>
            <w:tcW w:w="14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98</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101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(h)</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Net investments</w:t>
            </w: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403</w:t>
            </w:r>
          </w:p>
        </w:tc>
        <w:tc>
          <w:tcPr>
            <w:tcW w:w="7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412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$ 2,728</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2,987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6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investments held in connection with Lazard Fund Interests and other similar deferred compensation arrangements granted, with an aggregate fair value of $97 million and $101 million at March 31, 2013 and December 31, 2012, respectively. The majority of the market risk associated with such investments is equally offset by the market risk associated with the derivative liability with respect to such awards.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61"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Equity securities primarily consist of seed investments invested in marketable equity securities of large-, mid- and small-cap domestic, international and global companies held within separately managed accounts related to our Asset Management business.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At March 31, 2013 and December 31, 2012, investments in marketable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2"/>
              </w:rPr>
              <w:t>March</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900" w:type="dxa"/>
            <w:vAlign w:val="bottom"/>
          </w:tcPr>
          <w:p>
            <w:pPr>
              <w:spacing w:after="0"/>
              <w:rPr>
                <w:sz w:val="12"/>
                <w:szCs w:val="12"/>
                <w:color w:val="auto"/>
              </w:rPr>
            </w:pPr>
          </w:p>
        </w:tc>
        <w:tc>
          <w:tcPr>
            <w:tcW w:w="42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rPr>
              <w:t>31,</w:t>
            </w:r>
          </w:p>
        </w:tc>
        <w:tc>
          <w:tcPr>
            <w:tcW w:w="11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79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196"/>
        </w:trPr>
        <w:tc>
          <w:tcPr>
            <w:tcW w:w="79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90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600" w:type="dxa"/>
            <w:vAlign w:val="bottom"/>
            <w:gridSpan w:val="2"/>
          </w:tcPr>
          <w:p>
            <w:pPr>
              <w:jc w:val="right"/>
              <w:ind w:right="1040"/>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7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16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r>
      <w:tr>
        <w:trPr>
          <w:trHeight w:val="216"/>
        </w:trPr>
        <w:tc>
          <w:tcPr>
            <w:tcW w:w="7900" w:type="dxa"/>
            <w:vAlign w:val="bottom"/>
          </w:tcPr>
          <w:p>
            <w:pPr>
              <w:ind w:left="1480"/>
              <w:spacing w:after="0"/>
              <w:rPr>
                <w:sz w:val="20"/>
                <w:szCs w:val="20"/>
                <w:color w:val="auto"/>
              </w:rPr>
            </w:pPr>
            <w:r>
              <w:rPr>
                <w:rFonts w:ascii="Arial" w:cs="Arial" w:eastAsia="Arial" w:hAnsi="Arial"/>
                <w:sz w:val="18"/>
                <w:szCs w:val="18"/>
                <w:color w:val="auto"/>
              </w:rPr>
              <w:t>Energy</w:t>
            </w:r>
          </w:p>
        </w:tc>
        <w:tc>
          <w:tcPr>
            <w:tcW w:w="1600" w:type="dxa"/>
            <w:vAlign w:val="bottom"/>
            <w:gridSpan w:val="2"/>
          </w:tcPr>
          <w:p>
            <w:pPr>
              <w:jc w:val="right"/>
              <w:ind w:right="1180"/>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7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16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16"/>
        </w:trPr>
        <w:tc>
          <w:tcPr>
            <w:tcW w:w="7900" w:type="dxa"/>
            <w:vAlign w:val="bottom"/>
          </w:tcPr>
          <w:p>
            <w:pPr>
              <w:ind w:left="1480"/>
              <w:spacing w:after="0"/>
              <w:rPr>
                <w:sz w:val="20"/>
                <w:szCs w:val="20"/>
                <w:color w:val="auto"/>
              </w:rPr>
            </w:pPr>
            <w:r>
              <w:rPr>
                <w:rFonts w:ascii="Arial" w:cs="Arial" w:eastAsia="Arial" w:hAnsi="Arial"/>
                <w:sz w:val="18"/>
                <w:szCs w:val="18"/>
                <w:color w:val="auto"/>
              </w:rPr>
              <w:t>Basic materials</w:t>
            </w:r>
          </w:p>
        </w:tc>
        <w:tc>
          <w:tcPr>
            <w:tcW w:w="1600" w:type="dxa"/>
            <w:vAlign w:val="bottom"/>
            <w:gridSpan w:val="2"/>
          </w:tcPr>
          <w:p>
            <w:pPr>
              <w:jc w:val="right"/>
              <w:ind w:right="1180"/>
              <w:spacing w:after="0"/>
              <w:rPr>
                <w:sz w:val="20"/>
                <w:szCs w:val="20"/>
                <w:color w:val="auto"/>
              </w:rPr>
            </w:pPr>
            <w:r>
              <w:rPr>
                <w:rFonts w:ascii="Arial" w:cs="Arial" w:eastAsia="Arial" w:hAnsi="Arial"/>
                <w:sz w:val="18"/>
                <w:szCs w:val="18"/>
                <w:color w:val="auto"/>
              </w:rPr>
              <w:t>6</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7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7900" w:type="dxa"/>
            <w:vAlign w:val="bottom"/>
          </w:tcPr>
          <w:p>
            <w:pPr>
              <w:ind w:left="1900"/>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ind w:right="104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2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diversified and may incorporate particular strategies; however, there are no investments in funds with a single sector strategy.</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relating to Lazard Fund Interests discussed above.</w:t>
      </w:r>
    </w:p>
    <w:p>
      <w:pPr>
        <w:spacing w:after="0" w:line="50"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Comprised primarily of investments in private equity funds that are generally not subject to short-term market fluctuation, but may subject Lazard to market or credit risk. Private equity investments primarily include (i) a mezzanine fund, which invests in mezzanine debt of a diversified selection of small-to mid-cap European companies; (ii) a private equity fund targeting significant noncontrolling investments in established public and private companies; (iii) Edgewater Growth Capital Partners III, L.P. a private equity fund primarily making growth equity and buyout investments in high-quality, lower middle market companies and (iv) COF 2, a Lazard-managed Australian private equity fund targeting Australasian mid-market investments.</w:t>
      </w:r>
    </w:p>
    <w:p>
      <w:pPr>
        <w:spacing w:after="0" w:line="34"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14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At March 31, 2013 and December 31, 2012, $112 million and $116 million, respectively, of our total investments at a fair value of $403 million and $412 million, respectively, or 28% and 28%, respectively, were classified as Level 3 assets. Substantially all of our Level 3 investments at both dates are priced based on NAV or its equivalent. During the three month periods ended March 31, 2013 and 2012, gains of approximately $1 million and $8 million, respectively, were recognized in “revenue-other” on the consolidated statement of operations pertaining to Level 3 investments.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fluctuations in the fair value of positions held in our investment portfolios” in our Form 10-K.</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primarily consists of debt and equity instruments whose value is readily available based on quoted prices on a recognized exchange or prices provided by external pricing services. Accordingly, significant estimates and judgments are generally not involved in the calculation of the value of our AUM.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or a variable interest entity (“VIE”) under U.S. GAAP.</w:t>
      </w:r>
    </w:p>
    <w:p>
      <w:pPr>
        <w:spacing w:after="0" w:line="4" w:lineRule="exact"/>
        <w:rPr>
          <w:sz w:val="20"/>
          <w:szCs w:val="20"/>
          <w:color w:val="auto"/>
        </w:rPr>
      </w:pPr>
    </w:p>
    <w:p>
      <w:pPr>
        <w:ind w:left="1480" w:hanging="446"/>
        <w:spacing w:after="0" w:line="256"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62" w:lineRule="exact"/>
        <w:rPr>
          <w:rFonts w:ascii="Arial" w:cs="Arial" w:eastAsia="Arial" w:hAnsi="Arial"/>
          <w:sz w:val="18"/>
          <w:szCs w:val="18"/>
          <w:color w:val="auto"/>
        </w:rPr>
      </w:pPr>
    </w:p>
    <w:p>
      <w:pPr>
        <w:ind w:left="1480" w:right="360" w:hanging="446"/>
        <w:spacing w:after="0" w:line="332" w:lineRule="auto"/>
        <w:tabs>
          <w:tab w:leader="none" w:pos="14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where appropriate,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Market and credit risks related to our investing activities are discussed under “Critical Accounting Policies and Estimates—Investments”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March 31, 2013, total receivables amounted to $460 million, net of an allowance for doubtful accounts of $23 million. As of that date, Financial Advisory and Asset Management fees, and customer and related party receivables comprised 80%, 16% and 4% of total receivables, respectively. At December 31, 2012, total receivables amounted to $478 million, net of an allowance for doubtful accounts of $23 million. As of that date, Financial Advisory and Asset Management fees, and customer and related party receivables comprised 84%, 11% and 5% of total receivables, respectively. At March 31, 2013 and December 31, 2012, the Company had receivables past due of approximately $25 million and $26 million, respectively. See also “Critical Accounting Policies and Estimates—Revenue Recognition” above and Note 3 of Notes to Condensed Consolidated Financial Statements for additional information regarding receivables.</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LFB engages in lending activities, including commitments to extend credit. At March 31, 2013 and December 31, 2012, customer receivables included $13 million and $14 million of LFB loans, respectively. Such loans are closely monitored for counterparty creditworthiness to help minimize exposure. In addition, as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March 31 2013, LFB had commitments to lend totaling $22 million, which are fully collateralized and generally contain requirements for the counterparty to maintain a minimum collateral level.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and, in addition, LFB has in place concentration risk limits. At March 31, 2013, excluding inter-bank counterparties, LFB had no exposure to an individual counterparty that exceeded $22 million, with such amount being fully collateralized. With respect to activities outside LFB, as of March 31, 2013 the Company’s largest individual counterparty exposure was a Financial Advisory fee receivable of $12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seed investments related to our Asset Management business. Derivative contracts are recorded at fair value. Derivative assets amounted to $4 million and $1 million at March 31, 2013 and December 31, 2012, respectively, and derivative liabilities, excluding the derivative liability arising from the Company’s obligation pertaining to Lazard Fund Interests and other similar deferred compensation arrangements, amounted to $1 million and $5 million at such respective dates.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currently expected to be delivered upon settlement of Lazard Fund Interests awards. Derivative liabilities relating to Lazard Fund Interests amounted to $159 million and $98 million at March 31, 2013 and December 31, 2012, respectively.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March 31, 2013, the impact of potential significant movements in either the currency or interest rate markets on LFB’s positions would not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March 31, 2013, Lazard estimates that its annual operating income relating to cash and short-term investments and corporate indebtedness would increase by approximately $6 million in the event interest rates were to increase by 1% and decrease by approximately $2 million if rates were to decrease by 1%.</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31, 2013, the Company’s cash and cash equivalents totaled approximately $586 million.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first quarter of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Total Number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of 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Purchased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as Part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6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Publicly</w:t>
            </w:r>
          </w:p>
        </w:tc>
        <w:tc>
          <w:tcPr>
            <w:tcW w:w="32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1"/>
              </w:rPr>
              <w:t>Price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Announced</w:t>
            </w:r>
          </w:p>
        </w:tc>
        <w:tc>
          <w:tcPr>
            <w:tcW w:w="32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940" w:type="dxa"/>
            <w:vAlign w:val="bottom"/>
            <w:vMerge w:val="restart"/>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Paid per</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Plans or</w:t>
            </w:r>
          </w:p>
        </w:tc>
        <w:tc>
          <w:tcPr>
            <w:tcW w:w="3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600" w:type="dxa"/>
            <w:vAlign w:val="bottom"/>
          </w:tcPr>
          <w:p>
            <w:pPr>
              <w:spacing w:after="0"/>
              <w:rPr>
                <w:sz w:val="14"/>
                <w:szCs w:val="14"/>
                <w:color w:val="auto"/>
              </w:rPr>
            </w:pPr>
          </w:p>
        </w:tc>
        <w:tc>
          <w:tcPr>
            <w:tcW w:w="1120" w:type="dxa"/>
            <w:vAlign w:val="bottom"/>
            <w:gridSpan w:val="3"/>
          </w:tcPr>
          <w:p>
            <w:pPr>
              <w:jc w:val="right"/>
              <w:ind w:right="700"/>
              <w:spacing w:after="0" w:line="148" w:lineRule="exact"/>
              <w:rPr>
                <w:sz w:val="20"/>
                <w:szCs w:val="20"/>
                <w:color w:val="auto"/>
              </w:rPr>
            </w:pPr>
            <w:r>
              <w:rPr>
                <w:rFonts w:ascii="Arial" w:cs="Arial" w:eastAsia="Arial" w:hAnsi="Arial"/>
                <w:sz w:val="14"/>
                <w:szCs w:val="14"/>
                <w:b w:val="1"/>
                <w:bCs w:val="1"/>
                <w:color w:val="auto"/>
              </w:rPr>
              <w:t>Share</w:t>
            </w:r>
          </w:p>
        </w:tc>
        <w:tc>
          <w:tcPr>
            <w:tcW w:w="11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5"/>
              </w:rPr>
              <w:t>Programs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January 1, 2013 – January 31, 2013</w:t>
            </w: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Share Repurchase Program (1)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Transactions (2)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February 1, 2013 – February 29, 2013</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 Repurchase Program (1)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Employee Transactions (2)</w:t>
            </w:r>
          </w:p>
        </w:tc>
        <w:tc>
          <w:tcPr>
            <w:tcW w:w="760" w:type="dxa"/>
            <w:vAlign w:val="bottom"/>
          </w:tcPr>
          <w:p>
            <w:pPr>
              <w:jc w:val="right"/>
              <w:spacing w:after="0"/>
              <w:rPr>
                <w:sz w:val="20"/>
                <w:szCs w:val="20"/>
                <w:color w:val="auto"/>
              </w:rPr>
            </w:pPr>
            <w:r>
              <w:rPr>
                <w:rFonts w:ascii="Arial" w:cs="Arial" w:eastAsia="Arial" w:hAnsi="Arial"/>
                <w:sz w:val="18"/>
                <w:szCs w:val="18"/>
                <w:color w:val="auto"/>
              </w:rPr>
              <w:t>133,658</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35.66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1, 2013 – March 31, 2013</w:t>
            </w: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Share Repurchase Program (1)</w:t>
            </w:r>
          </w:p>
        </w:tc>
        <w:tc>
          <w:tcPr>
            <w:tcW w:w="760" w:type="dxa"/>
            <w:vAlign w:val="bottom"/>
          </w:tcPr>
          <w:p>
            <w:pPr>
              <w:jc w:val="right"/>
              <w:spacing w:after="0"/>
              <w:rPr>
                <w:sz w:val="20"/>
                <w:szCs w:val="20"/>
                <w:color w:val="auto"/>
              </w:rPr>
            </w:pPr>
            <w:r>
              <w:rPr>
                <w:rFonts w:ascii="Arial" w:cs="Arial" w:eastAsia="Arial" w:hAnsi="Arial"/>
                <w:sz w:val="18"/>
                <w:szCs w:val="18"/>
                <w:color w:val="auto"/>
              </w:rPr>
              <w:t>831,157</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36.30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831,157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Transactions (2)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3,097,627</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35.90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 Repurchase Program (1)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831,157</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36.30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831,157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gridSpan w:val="2"/>
          </w:tcPr>
          <w:p>
            <w:pPr>
              <w:ind w:left="220"/>
              <w:spacing w:after="0"/>
              <w:rPr>
                <w:sz w:val="20"/>
                <w:szCs w:val="20"/>
                <w:color w:val="auto"/>
              </w:rPr>
            </w:pPr>
            <w:r>
              <w:rPr>
                <w:rFonts w:ascii="Arial" w:cs="Arial" w:eastAsia="Arial" w:hAnsi="Arial"/>
                <w:sz w:val="18"/>
                <w:szCs w:val="18"/>
                <w:color w:val="auto"/>
              </w:rPr>
              <w:t>Employee Transactions (2)</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3,243,593</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35.87</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86"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 disclosed in more detail in Note 11 of Notes to Condensed Consolidated Financial Statements, in February 2011, October 2011, April 2012 and October 2012, the Board of Directors of Lazard Ltd authorized, on a cumulative basis, the repurchase of up to an additional $250 million, $125 million,</w:t>
      </w:r>
    </w:p>
    <w:p>
      <w:pPr>
        <w:ind w:left="460" w:right="420"/>
        <w:spacing w:after="0" w:line="255" w:lineRule="auto"/>
        <w:rPr>
          <w:rFonts w:ascii="Arial" w:cs="Arial" w:eastAsia="Arial" w:hAnsi="Arial"/>
          <w:sz w:val="16"/>
          <w:szCs w:val="16"/>
          <w:color w:val="auto"/>
        </w:rPr>
      </w:pPr>
      <w:r>
        <w:rPr>
          <w:rFonts w:ascii="Arial" w:cs="Arial" w:eastAsia="Arial" w:hAnsi="Arial"/>
          <w:sz w:val="18"/>
          <w:szCs w:val="18"/>
          <w:color w:val="auto"/>
        </w:rPr>
        <w:t>$125 million and $200 million, respectively, in aggregate cost of Lazard Ltd Class A common stock and Lazard Group common membership interests through December 31, 2012, December 31, 2013, December 31, 2013 and December 31, 2014, respectively. The share repurchase program is used primarily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3" w:lineRule="auto"/>
        <w:rPr>
          <w:sz w:val="20"/>
          <w:szCs w:val="20"/>
          <w:color w:val="auto"/>
        </w:rPr>
      </w:pPr>
      <w:r>
        <w:rPr>
          <w:rFonts w:ascii="Arial" w:cs="Arial" w:eastAsia="Arial" w:hAnsi="Arial"/>
          <w:sz w:val="16"/>
          <w:szCs w:val="16"/>
          <w:color w:val="auto"/>
        </w:rPr>
        <w:t>to offset a portion of the shares to be issued under the 2005 Plan and the 2008 Plan. Purchases under the share repurchase program may be made in the open market or through privately negotiated transactions. Amounts shown in this line item include repurchases of Class A common stock (no Lazard Group common membership interests were purchased during the first quarter of 2013) and exclude the shares of Class A common stock withheld by the Company to meet the minimum statutory tax withholding requirements as described below.</w:t>
      </w:r>
    </w:p>
    <w:p>
      <w:pPr>
        <w:spacing w:after="0" w:line="3" w:lineRule="exact"/>
        <w:rPr>
          <w:sz w:val="20"/>
          <w:szCs w:val="20"/>
          <w:color w:val="auto"/>
        </w:rPr>
      </w:pPr>
    </w:p>
    <w:p>
      <w:pPr>
        <w:ind w:left="460" w:hanging="452"/>
        <w:spacing w:after="0" w:line="295"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Under the terms of the 2005 Plan and the 2008 Plan, upon the vesting of RSUs, PRSUs and delivery of restricted Class A common stock, shares of Class A common stock may be withheld by the Company to meet the minimum statutory tax withholding requirements. During the three month period ended March 31, 2013, the Company satisfied such obligations in lieu of issuing (i) 3,231,285 shares of Class A common stock upon the vesting of 8,268,744 RSUs and (ii) 12,308 shares of Class A common stock upon the vesting of 1,715,275 shares of restricted Class A common stock.</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Amended and Restated Third Supplemental Indenture, dated as of May 15, 2008, by and among Lazard Group LLC and The Bank of New</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York, as trustee (and incorporated by reference to Exhibit 4.1 to the Registrants’ Current Report on Form 8-K (Commission File No. 333-</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126751) filed on May 16,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56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 4.3).</w:t>
            </w:r>
          </w:p>
        </w:tc>
      </w:tr>
      <w:tr>
        <w:trPr>
          <w:trHeight w:val="365"/>
        </w:trPr>
        <w:tc>
          <w:tcPr>
            <w:tcW w:w="78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5"/>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and Consent, dated February 9, 2009, to the Business Alliance Agreement, dated as of May 10, 2005, by and between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Group LLC and LFCM Holdings LLC (incorporated by reference to Exhibit 10.12 to the Registrant’s Annual Report (File No. 001-32492) on</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reference to Exhibit 10.16 to the Registrant’s Registration Statement (File No. 333-121407) on Form S-1/A filed on February 11, 2005).</w:t>
            </w:r>
          </w:p>
        </w:tc>
      </w:tr>
      <w:tr>
        <w:trPr>
          <w:trHeight w:val="365"/>
        </w:trPr>
        <w:tc>
          <w:tcPr>
            <w:tcW w:w="840" w:type="dxa"/>
            <w:vAlign w:val="bottom"/>
          </w:tcPr>
          <w:p>
            <w:pPr>
              <w:spacing w:after="0"/>
              <w:rPr>
                <w:sz w:val="24"/>
                <w:szCs w:val="24"/>
                <w:color w:val="auto"/>
              </w:rPr>
            </w:pPr>
          </w:p>
        </w:tc>
        <w:tc>
          <w:tcPr>
            <w:tcW w:w="10500" w:type="dxa"/>
            <w:vAlign w:val="bottom"/>
          </w:tcPr>
          <w:p>
            <w:pPr>
              <w:ind w:left="478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Schedule I for, Scott D. Hoffman (incorporated by reference to Exhibit 10.26 to the Registrant’s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May 4, 2005, for Scott D. Hoffman (incorporated by reference to Exhibit 10.2 to the Registrant’s Current Report on Form 8-K (File No. 001-</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32492)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23, 2011, to the Agreement Relating to Retention and Noncompetition and Other Covenants, dated as of May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4, 2005 and amended as of May 7, 2008, for Scott D. Hoffman (incorporated by reference to Exhibit 10.25 to the Registrant’s Quarterly Report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the Registrant’s Annual Report (File No. 001-32492) on Form 10-K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10.28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10.41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10.42 to the Registrant’s Annual Report (File No. 001-32492) on Form 10-K filed on March 2, 2009).</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Plan (incorporated by reference to Exhibit 10.43 to the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Senior Revolving Credit Agreement, dated as of September 25, 2012, among Lazard Group LLC, the Banks from time to time parties thereto,</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Citibank, N.A., as Administrative Agent (incorporated by reference to Exhibit 10.47 to the Registrant’s Quarterly Report (File No. 001-</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32492) on Form 10-Q filed on November 1,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10.53 to the Registrant’s Quarterly Report (File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No. 001-32492) on Form 10-Q filed on 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10.56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of March 18, 2005 and amended on March 23, 2010, among the Registrant, Lazard Group LLC and Kenneth M. Jacobs (incorporated by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10.52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March 15, 2005 and amended on August 2, 2011, among the Registrant, Lazard Group LLC and Ashish Bhutani.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10.51*</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October 4, 2004 and amended on April 1, 2011, among the Registrant, Lazard Group LLC and Matthieu Bucaille.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10.52*</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May 4, 2005 and amended on May 7, 2008 and February 23, 2011, among the Registrant, Lazard Group LLC and Scott D. Hoffman.</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10.53*</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October 4, 2004 and amended on March 23, 2010, among the Registrant, Lazard Group LLC and Alexander F. Stern.</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10.54*</w:t>
            </w:r>
          </w:p>
        </w:tc>
        <w:tc>
          <w:tcPr>
            <w:tcW w:w="10540" w:type="dxa"/>
            <w:vAlign w:val="bottom"/>
          </w:tcPr>
          <w:p>
            <w:pPr>
              <w:ind w:left="380"/>
              <w:spacing w:after="0"/>
              <w:rPr>
                <w:sz w:val="20"/>
                <w:szCs w:val="20"/>
                <w:color w:val="auto"/>
              </w:rPr>
            </w:pPr>
            <w:r>
              <w:rPr>
                <w:rFonts w:ascii="Arial" w:cs="Arial" w:eastAsia="Arial" w:hAnsi="Arial"/>
                <w:sz w:val="18"/>
                <w:szCs w:val="18"/>
                <w:color w:val="auto"/>
              </w:rPr>
              <w:t>Form of Agreement evidencing a grant of Performance-Based Stock Units under the 2008 Incentive Compensation Plan.</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10.55*</w:t>
            </w:r>
          </w:p>
        </w:tc>
        <w:tc>
          <w:tcPr>
            <w:tcW w:w="10200" w:type="dxa"/>
            <w:vAlign w:val="bottom"/>
          </w:tcPr>
          <w:p>
            <w:pPr>
              <w:ind w:left="300"/>
              <w:spacing w:after="0"/>
              <w:rPr>
                <w:sz w:val="20"/>
                <w:szCs w:val="20"/>
                <w:color w:val="auto"/>
              </w:rPr>
            </w:pPr>
            <w:r>
              <w:rPr>
                <w:rFonts w:ascii="Arial" w:cs="Arial" w:eastAsia="Arial" w:hAnsi="Arial"/>
                <w:sz w:val="18"/>
                <w:szCs w:val="18"/>
                <w:color w:val="auto"/>
                <w:w w:val="88"/>
              </w:rPr>
              <w:t>Form of Agreement evidencing a grant of Lazard Fund Interests to Named Executive Officers under the 2008 Incentive Compensation Plan.</w:t>
            </w:r>
          </w:p>
        </w:tc>
      </w:tr>
      <w:tr>
        <w:trPr>
          <w:trHeight w:val="324"/>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10.56*</w:t>
            </w:r>
          </w:p>
        </w:tc>
        <w:tc>
          <w:tcPr>
            <w:tcW w:w="10200" w:type="dxa"/>
            <w:vAlign w:val="bottom"/>
          </w:tcPr>
          <w:p>
            <w:pPr>
              <w:ind w:left="300"/>
              <w:spacing w:after="0"/>
              <w:rPr>
                <w:sz w:val="20"/>
                <w:szCs w:val="20"/>
                <w:color w:val="auto"/>
              </w:rPr>
            </w:pPr>
            <w:r>
              <w:rPr>
                <w:rFonts w:ascii="Arial" w:cs="Arial" w:eastAsia="Arial" w:hAnsi="Arial"/>
                <w:sz w:val="18"/>
                <w:szCs w:val="18"/>
                <w:color w:val="auto"/>
                <w:w w:val="88"/>
              </w:rPr>
              <w:t>Form of Agreement evidencing a grant of Restricted Stock Units to Named Executive Officers under the 2008 Incentive Compensation Plan.</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12.1</w:t>
            </w:r>
          </w:p>
        </w:tc>
        <w:tc>
          <w:tcPr>
            <w:tcW w:w="1020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31.1</w:t>
            </w:r>
          </w:p>
        </w:tc>
        <w:tc>
          <w:tcPr>
            <w:tcW w:w="1020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31.2</w:t>
            </w:r>
          </w:p>
        </w:tc>
        <w:tc>
          <w:tcPr>
            <w:tcW w:w="1020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32.1</w:t>
            </w:r>
          </w:p>
        </w:tc>
        <w:tc>
          <w:tcPr>
            <w:tcW w:w="1020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32.2</w:t>
            </w:r>
          </w:p>
        </w:tc>
        <w:tc>
          <w:tcPr>
            <w:tcW w:w="1020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60"/>
          </w:cols>
          <w:pgMar w:left="24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Matthieu Bucaille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Financial Officer</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Dominick Ragone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10.50</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Second Amendment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March 14, 2013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Agreement Relating to Retention and Noncompetition and Other Covenants by and among Lazard Ltd, a company incorporated under the Laws of Bermuda (“PubliCo”), Lazard Group LLC, a Delaware limited liability company and successor to Lazard LLC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their subsidiaries and affiliates (collectively with PubliCo,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Ashish Bhutani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March 15, 2005, and amended as of August 2, 2011 (as amended, this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the Firm and the Executive wish to amend this Agreement to modify Schedule I to such Agreement to extend the term of certain provisions of Schedule I of this Agreement beyond March 23, 2013 and revise certain other terms.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PubliCo and Lazard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the Effective Date, Schedule I of this Agreement shall hereby be amended and restated in its entirety in the form attached hereto.</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WITNESS WHEREOF, the Executive and the Board of Directors of each of Lazard and PubliCo have caused this Second Amendment to be executed and delivered on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March 14, 2013</w:t>
            </w:r>
          </w:p>
        </w:tc>
        <w:tc>
          <w:tcPr>
            <w:tcW w:w="292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379"/>
        </w:trPr>
        <w:tc>
          <w:tcPr>
            <w:tcW w:w="3480" w:type="dxa"/>
            <w:vAlign w:val="bottom"/>
          </w:tcPr>
          <w:p>
            <w:pPr>
              <w:spacing w:after="0"/>
              <w:rPr>
                <w:sz w:val="24"/>
                <w:szCs w:val="24"/>
                <w:color w:val="auto"/>
              </w:rPr>
            </w:pPr>
          </w:p>
        </w:tc>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Ashish Bhutani</w:t>
            </w:r>
          </w:p>
        </w:tc>
      </w:tr>
      <w:tr>
        <w:trPr>
          <w:trHeight w:val="222"/>
        </w:trPr>
        <w:tc>
          <w:tcPr>
            <w:tcW w:w="34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Ashish Bhutani</w:t>
            </w:r>
          </w:p>
        </w:tc>
      </w:tr>
      <w:tr>
        <w:trPr>
          <w:trHeight w:val="419"/>
        </w:trPr>
        <w:tc>
          <w:tcPr>
            <w:tcW w:w="3480" w:type="dxa"/>
            <w:vAlign w:val="bottom"/>
          </w:tcPr>
          <w:p>
            <w:pPr>
              <w:spacing w:after="0"/>
              <w:rPr>
                <w:sz w:val="20"/>
                <w:szCs w:val="20"/>
                <w:color w:val="auto"/>
              </w:rPr>
            </w:pPr>
            <w:r>
              <w:rPr>
                <w:rFonts w:ascii="Arial" w:cs="Arial" w:eastAsia="Arial" w:hAnsi="Arial"/>
                <w:sz w:val="18"/>
                <w:szCs w:val="18"/>
                <w:color w:val="auto"/>
              </w:rPr>
              <w:t>March 14, 2013</w:t>
            </w:r>
          </w:p>
        </w:tc>
        <w:tc>
          <w:tcPr>
            <w:tcW w:w="7940" w:type="dxa"/>
            <w:vAlign w:val="bottom"/>
            <w:gridSpan w:val="2"/>
          </w:tcPr>
          <w:p>
            <w:pPr>
              <w:ind w:left="2340"/>
              <w:spacing w:after="0"/>
              <w:rPr>
                <w:sz w:val="20"/>
                <w:szCs w:val="20"/>
                <w:color w:val="auto"/>
              </w:rPr>
            </w:pPr>
            <w:r>
              <w:rPr>
                <w:rFonts w:ascii="Arial" w:cs="Arial" w:eastAsia="Arial" w:hAnsi="Arial"/>
                <w:sz w:val="18"/>
                <w:szCs w:val="18"/>
                <w:color w:val="auto"/>
              </w:rPr>
              <w:t>LAZARD LTD,</w:t>
            </w:r>
          </w:p>
        </w:tc>
      </w:tr>
      <w:tr>
        <w:trPr>
          <w:trHeight w:val="583"/>
        </w:trPr>
        <w:tc>
          <w:tcPr>
            <w:tcW w:w="3480" w:type="dxa"/>
            <w:vAlign w:val="bottom"/>
          </w:tcPr>
          <w:p>
            <w:pPr>
              <w:spacing w:after="0"/>
              <w:rPr>
                <w:sz w:val="24"/>
                <w:szCs w:val="24"/>
                <w:color w:val="auto"/>
              </w:rPr>
            </w:pPr>
          </w:p>
        </w:tc>
        <w:tc>
          <w:tcPr>
            <w:tcW w:w="2920" w:type="dxa"/>
            <w:vAlign w:val="bottom"/>
          </w:tcPr>
          <w:p>
            <w:pPr>
              <w:ind w:left="23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D. Hoffman</w:t>
            </w:r>
          </w:p>
        </w:tc>
      </w:tr>
      <w:tr>
        <w:trPr>
          <w:trHeight w:val="215"/>
        </w:trPr>
        <w:tc>
          <w:tcPr>
            <w:tcW w:w="3480" w:type="dxa"/>
            <w:vAlign w:val="bottom"/>
          </w:tcPr>
          <w:p>
            <w:pPr>
              <w:spacing w:after="0"/>
              <w:rPr>
                <w:sz w:val="18"/>
                <w:szCs w:val="18"/>
                <w:color w:val="auto"/>
              </w:rPr>
            </w:pPr>
          </w:p>
        </w:tc>
        <w:tc>
          <w:tcPr>
            <w:tcW w:w="2920" w:type="dxa"/>
            <w:vAlign w:val="bottom"/>
          </w:tcPr>
          <w:p>
            <w:pPr>
              <w:ind w:left="23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Scott D. Hoffman</w:t>
            </w:r>
          </w:p>
        </w:tc>
      </w:tr>
      <w:tr>
        <w:trPr>
          <w:trHeight w:val="222"/>
        </w:trPr>
        <w:tc>
          <w:tcPr>
            <w:tcW w:w="3480" w:type="dxa"/>
            <w:vAlign w:val="bottom"/>
          </w:tcPr>
          <w:p>
            <w:pPr>
              <w:spacing w:after="0"/>
              <w:rPr>
                <w:sz w:val="19"/>
                <w:szCs w:val="19"/>
                <w:color w:val="auto"/>
              </w:rPr>
            </w:pPr>
          </w:p>
        </w:tc>
        <w:tc>
          <w:tcPr>
            <w:tcW w:w="2920" w:type="dxa"/>
            <w:vAlign w:val="bottom"/>
          </w:tcPr>
          <w:p>
            <w:pPr>
              <w:ind w:left="23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Director and General Counsel</w:t>
            </w:r>
          </w:p>
        </w:tc>
      </w:tr>
      <w:tr>
        <w:trPr>
          <w:trHeight w:val="412"/>
        </w:trPr>
        <w:tc>
          <w:tcPr>
            <w:tcW w:w="3480" w:type="dxa"/>
            <w:vAlign w:val="bottom"/>
          </w:tcPr>
          <w:p>
            <w:pPr>
              <w:spacing w:after="0"/>
              <w:rPr>
                <w:sz w:val="20"/>
                <w:szCs w:val="20"/>
                <w:color w:val="auto"/>
              </w:rPr>
            </w:pPr>
            <w:r>
              <w:rPr>
                <w:rFonts w:ascii="Arial" w:cs="Arial" w:eastAsia="Arial" w:hAnsi="Arial"/>
                <w:sz w:val="18"/>
                <w:szCs w:val="18"/>
                <w:color w:val="auto"/>
              </w:rPr>
              <w:t>March 14, 2013</w:t>
            </w:r>
          </w:p>
        </w:tc>
        <w:tc>
          <w:tcPr>
            <w:tcW w:w="7940" w:type="dxa"/>
            <w:vAlign w:val="bottom"/>
            <w:gridSpan w:val="2"/>
          </w:tcPr>
          <w:p>
            <w:pPr>
              <w:ind w:left="2340"/>
              <w:spacing w:after="0"/>
              <w:rPr>
                <w:sz w:val="20"/>
                <w:szCs w:val="20"/>
                <w:color w:val="auto"/>
              </w:rPr>
            </w:pPr>
            <w:r>
              <w:rPr>
                <w:rFonts w:ascii="Arial" w:cs="Arial" w:eastAsia="Arial" w:hAnsi="Arial"/>
                <w:sz w:val="18"/>
                <w:szCs w:val="18"/>
                <w:color w:val="auto"/>
                <w:w w:val="95"/>
              </w:rPr>
              <w:t>LAZARD GROUP LLC (on its behalf, and on behalf of its subsidiaries and</w:t>
            </w:r>
          </w:p>
        </w:tc>
      </w:tr>
      <w:tr>
        <w:trPr>
          <w:trHeight w:val="222"/>
        </w:trPr>
        <w:tc>
          <w:tcPr>
            <w:tcW w:w="3480" w:type="dxa"/>
            <w:vAlign w:val="bottom"/>
          </w:tcPr>
          <w:p>
            <w:pPr>
              <w:spacing w:after="0"/>
              <w:rPr>
                <w:sz w:val="19"/>
                <w:szCs w:val="19"/>
                <w:color w:val="auto"/>
              </w:rPr>
            </w:pPr>
          </w:p>
        </w:tc>
        <w:tc>
          <w:tcPr>
            <w:tcW w:w="7940" w:type="dxa"/>
            <w:vAlign w:val="bottom"/>
            <w:gridSpan w:val="2"/>
          </w:tcPr>
          <w:p>
            <w:pPr>
              <w:ind w:left="2340"/>
              <w:spacing w:after="0"/>
              <w:rPr>
                <w:sz w:val="20"/>
                <w:szCs w:val="20"/>
                <w:color w:val="auto"/>
              </w:rPr>
            </w:pPr>
            <w:r>
              <w:rPr>
                <w:rFonts w:ascii="Arial" w:cs="Arial" w:eastAsia="Arial" w:hAnsi="Arial"/>
                <w:sz w:val="18"/>
                <w:szCs w:val="18"/>
                <w:color w:val="auto"/>
              </w:rPr>
              <w:t>affiliates),</w:t>
            </w:r>
          </w:p>
        </w:tc>
      </w:tr>
      <w:tr>
        <w:trPr>
          <w:trHeight w:val="434"/>
        </w:trPr>
        <w:tc>
          <w:tcPr>
            <w:tcW w:w="3480" w:type="dxa"/>
            <w:vAlign w:val="bottom"/>
          </w:tcPr>
          <w:p>
            <w:pPr>
              <w:spacing w:after="0"/>
              <w:rPr>
                <w:sz w:val="24"/>
                <w:szCs w:val="24"/>
                <w:color w:val="auto"/>
              </w:rPr>
            </w:pPr>
          </w:p>
        </w:tc>
        <w:tc>
          <w:tcPr>
            <w:tcW w:w="2920" w:type="dxa"/>
            <w:vAlign w:val="bottom"/>
          </w:tcPr>
          <w:p>
            <w:pPr>
              <w:ind w:left="23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D. Hoffman</w:t>
            </w:r>
          </w:p>
        </w:tc>
      </w:tr>
      <w:tr>
        <w:trPr>
          <w:trHeight w:val="215"/>
        </w:trPr>
        <w:tc>
          <w:tcPr>
            <w:tcW w:w="3480" w:type="dxa"/>
            <w:vAlign w:val="bottom"/>
          </w:tcPr>
          <w:p>
            <w:pPr>
              <w:spacing w:after="0"/>
              <w:rPr>
                <w:sz w:val="18"/>
                <w:szCs w:val="18"/>
                <w:color w:val="auto"/>
              </w:rPr>
            </w:pPr>
          </w:p>
        </w:tc>
        <w:tc>
          <w:tcPr>
            <w:tcW w:w="2920" w:type="dxa"/>
            <w:vAlign w:val="bottom"/>
          </w:tcPr>
          <w:p>
            <w:pPr>
              <w:ind w:left="23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Scott D. Hoffman</w:t>
            </w:r>
          </w:p>
        </w:tc>
      </w:tr>
      <w:tr>
        <w:trPr>
          <w:trHeight w:val="222"/>
        </w:trPr>
        <w:tc>
          <w:tcPr>
            <w:tcW w:w="3480" w:type="dxa"/>
            <w:vAlign w:val="bottom"/>
          </w:tcPr>
          <w:p>
            <w:pPr>
              <w:spacing w:after="0"/>
              <w:rPr>
                <w:sz w:val="19"/>
                <w:szCs w:val="19"/>
                <w:color w:val="auto"/>
              </w:rPr>
            </w:pPr>
          </w:p>
        </w:tc>
        <w:tc>
          <w:tcPr>
            <w:tcW w:w="2920" w:type="dxa"/>
            <w:vAlign w:val="bottom"/>
          </w:tcPr>
          <w:p>
            <w:pPr>
              <w:ind w:left="23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Director and General Counsel</w:t>
            </w:r>
          </w:p>
        </w:tc>
      </w:tr>
    </w:tbl>
    <w:p>
      <w:pPr>
        <w:sectPr>
          <w:pgSz w:w="11900" w:h="16838" w:orient="portrait"/>
          <w:cols w:equalWidth="0" w:num="1">
            <w:col w:w="11420"/>
          </w:cols>
          <w:pgMar w:left="240" w:top="125" w:right="23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8"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Name (as per Preamble):</w:t>
      </w:r>
      <w:r>
        <w:rPr>
          <w:sz w:val="20"/>
          <w:szCs w:val="20"/>
          <w:color w:val="auto"/>
        </w:rPr>
        <w:tab/>
      </w:r>
      <w:r>
        <w:rPr>
          <w:rFonts w:ascii="Arial" w:cs="Arial" w:eastAsia="Arial" w:hAnsi="Arial"/>
          <w:sz w:val="16"/>
          <w:szCs w:val="16"/>
          <w:color w:val="auto"/>
        </w:rPr>
        <w:t>Mr. Ashish Bhutani</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Effective upon the effective date of the Second Amendment to this Agreement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ind w:right="140" w:firstLine="464"/>
        <w:spacing w:after="0" w:line="306" w:lineRule="auto"/>
        <w:tabs>
          <w:tab w:leader="none" w:pos="63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Schedule Term</w:t>
      </w:r>
      <w:r>
        <w:rPr>
          <w:rFonts w:ascii="Arial" w:cs="Arial" w:eastAsia="Arial" w:hAnsi="Arial"/>
          <w:sz w:val="16"/>
          <w:szCs w:val="16"/>
          <w:color w:val="auto"/>
        </w:rPr>
        <w:t>. For purposes of this Schedule I, the “</w:t>
      </w:r>
      <w:r>
        <w:rPr>
          <w:rFonts w:ascii="Arial" w:cs="Arial" w:eastAsia="Arial" w:hAnsi="Arial"/>
          <w:sz w:val="16"/>
          <w:szCs w:val="16"/>
          <w:u w:val="single" w:color="auto"/>
          <w:color w:val="auto"/>
        </w:rPr>
        <w:t>Schedule Term</w:t>
      </w:r>
      <w:r>
        <w:rPr>
          <w:rFonts w:ascii="Arial" w:cs="Arial" w:eastAsia="Arial" w:hAnsi="Arial"/>
          <w:sz w:val="16"/>
          <w:szCs w:val="16"/>
          <w:color w:val="auto"/>
        </w:rPr>
        <w:t>” shall mean the period from the Second Amendment Effective Date through March 31, 2016, subject to earlier termination in accordance with this Agreement. Notwithstanding the foregoing, upon a Change in Control (as defined below), the Schedule Term shall automatically be renewed so that the Schedule Term is not less than two years from the effective date of such Change in Control.</w:t>
      </w:r>
    </w:p>
    <w:p>
      <w:pPr>
        <w:spacing w:after="0" w:line="106" w:lineRule="exact"/>
        <w:rPr>
          <w:rFonts w:ascii="Arial" w:cs="Arial" w:eastAsia="Arial" w:hAnsi="Arial"/>
          <w:sz w:val="16"/>
          <w:szCs w:val="16"/>
          <w:color w:val="auto"/>
        </w:rPr>
      </w:pPr>
    </w:p>
    <w:p>
      <w:pPr>
        <w:ind w:right="60" w:firstLine="464"/>
        <w:spacing w:after="0" w:line="286" w:lineRule="auto"/>
        <w:tabs>
          <w:tab w:leader="none" w:pos="63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Notwithstanding anything to the contrary contained in Sections 3(c)(i) and (ii) of this Agreement, subject to the Executive’s continued employment with the Firm, during the Schedule Term, the Executive shall be entitled to receive (i) an annual base salary of not less than $750,000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Salary</w:t>
      </w:r>
      <w:r>
        <w:rPr>
          <w:rFonts w:ascii="Arial" w:cs="Arial" w:eastAsia="Arial" w:hAnsi="Arial"/>
          <w:sz w:val="16"/>
          <w:szCs w:val="16"/>
          <w:color w:val="auto"/>
        </w:rPr>
        <w:t>”) and (ii) so long as the Executive remains employed by the Firm through the end of the applicable fiscal year of Lazard (except as otherwise provided below in this Schedule I), an annual bonus to be determined under the terms of the applicable annual bonus plan of Lazard on the same basis as annual bonuses are determined for other executive officers of PubliCo, with such annual bonus to be paid in the same ratio of cash to equity and deferred awards as is applicable to executives of the Firm receiving annual bonuses at a level comparable to the annual bonus of the Executive. For purposes hereof, the term Base Salary shall refer to Base Salary as in effect from time to time, including any increases thereto. Notwithstanding anything to the contrary contained in Section 3(c)(iv) of this Agreement, subject to the Executive’s continued employment with the Firm, the Executive shall continue to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w:t>
      </w:r>
    </w:p>
    <w:p>
      <w:pPr>
        <w:spacing w:after="0" w:line="127" w:lineRule="exact"/>
        <w:rPr>
          <w:rFonts w:ascii="Arial" w:cs="Arial" w:eastAsia="Arial" w:hAnsi="Arial"/>
          <w:sz w:val="16"/>
          <w:szCs w:val="16"/>
          <w:color w:val="auto"/>
        </w:rPr>
      </w:pPr>
    </w:p>
    <w:p>
      <w:pPr>
        <w:ind w:firstLine="464"/>
        <w:spacing w:after="0" w:line="291" w:lineRule="auto"/>
        <w:tabs>
          <w:tab w:leader="none" w:pos="63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under Certain Circumstances</w:t>
      </w:r>
      <w:r>
        <w:rPr>
          <w:rFonts w:ascii="Arial" w:cs="Arial" w:eastAsia="Arial" w:hAnsi="Arial"/>
          <w:sz w:val="16"/>
          <w:szCs w:val="16"/>
          <w:color w:val="auto"/>
        </w:rPr>
        <w:t>. Notwithstanding anything to the contrary contained in Section 3(d) of this Agreement, in the event that during the Schedule Term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shall pay the Executive (subject to the Executive delivering a waiver and release in accordance with this paragraph 3 of this Schedule I in the event such Qualifying Termination occurs prior to a Change in Control), in a lump sum in cash on the 61st day after the Date of Termination (as defined below), the aggregate of the following amounts: (i) any unpaid Base Salary through the Date of Termination; (ii) any earned and unpaid bonus amounts for fiscal years of Lazard completed prior to the Date of Termination (determined in accordance with</w:t>
      </w:r>
    </w:p>
    <w:p>
      <w:pPr>
        <w:sectPr>
          <w:pgSz w:w="11900" w:h="16838" w:orient="portrait"/>
          <w:cols w:equalWidth="0" w:num="1">
            <w:col w:w="11400"/>
          </w:cols>
          <w:pgMar w:left="240" w:top="274" w:right="25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2 of this Schedule I and with any such bonus to be paid in full in cash); and (iii) the product of (1) the “Severance Multiple” (as defined below) and</w:t>
      </w:r>
    </w:p>
    <w:p>
      <w:pPr>
        <w:spacing w:after="0" w:line="38" w:lineRule="exact"/>
        <w:rPr>
          <w:sz w:val="20"/>
          <w:szCs w:val="20"/>
          <w:color w:val="auto"/>
        </w:rPr>
      </w:pPr>
    </w:p>
    <w:p>
      <w:pPr>
        <w:ind w:firstLine="8"/>
        <w:spacing w:after="0" w:line="305" w:lineRule="auto"/>
        <w:tabs>
          <w:tab w:leader="none" w:pos="249"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sum of (x) the Base Salary and (y) the average annual bonus (or, to the extent applicable, cash distributions, and 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5"/>
          <w:szCs w:val="15"/>
          <w:u w:val="single" w:color="auto"/>
          <w:color w:val="auto"/>
        </w:rPr>
        <w:t>Average Bonus</w:t>
      </w:r>
      <w:r>
        <w:rPr>
          <w:rFonts w:ascii="Arial" w:cs="Arial" w:eastAsia="Arial" w:hAnsi="Arial"/>
          <w:sz w:val="15"/>
          <w:szCs w:val="15"/>
          <w:color w:val="auto"/>
        </w:rPr>
        <w:t>”). In addition, upon a Qualifying Termination, for a period of months equal to the product of (A) 12 and (B) the Severance Multiple (the “</w:t>
      </w:r>
      <w:r>
        <w:rPr>
          <w:rFonts w:ascii="Arial" w:cs="Arial" w:eastAsia="Arial" w:hAnsi="Arial"/>
          <w:sz w:val="15"/>
          <w:szCs w:val="15"/>
          <w:u w:val="single" w:color="auto"/>
          <w:color w:val="auto"/>
        </w:rPr>
        <w:t>Benefit Continuation Period</w:t>
      </w:r>
      <w:r>
        <w:rPr>
          <w:rFonts w:ascii="Arial" w:cs="Arial" w:eastAsia="Arial" w:hAnsi="Arial"/>
          <w:sz w:val="15"/>
          <w:szCs w:val="15"/>
          <w:color w:val="auto"/>
        </w:rPr>
        <w:t>”), the Executive and his eligible dependents shall continue to be eligible to participate in the medical and dental benefit plans of Lazard on the same basis as the Executive participated in such plans immediately prior to the Date of Termination, to the extent that the applicable plan permits such continued participation for all or any portion of such period (it being agreed that Lazard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w:t>
      </w:r>
    </w:p>
    <w:p>
      <w:pPr>
        <w:spacing w:after="0" w:line="11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addition, in the case of (a) a Qualifying Termination during the Schedule Term or (b) the Executive’s death or termination due to Disability during the Schedule Term, with respect to the fiscal year of Lazard during which the Date of Termination occurs, the Executive or his estate, as applicable, shall receive a pro-rata annual bonus payable in cash determined as follows:</w:t>
      </w:r>
    </w:p>
    <w:p>
      <w:pPr>
        <w:spacing w:after="0" w:line="59" w:lineRule="exact"/>
        <w:rPr>
          <w:sz w:val="20"/>
          <w:szCs w:val="20"/>
          <w:color w:val="auto"/>
        </w:rPr>
      </w:pPr>
    </w:p>
    <w:p>
      <w:pPr>
        <w:ind w:left="1120" w:hanging="217"/>
        <w:spacing w:after="0"/>
        <w:tabs>
          <w:tab w:leader="none" w:pos="11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with respect to the fiscal year during which the Date of Termination occurs (other than (x) as a result of the Executive’s death or Disability or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following a Change in Control), (A) the Executive was reasonably expected by Lazard to be a “covered employee” (within the meaning of</w:t>
      </w:r>
    </w:p>
    <w:p>
      <w:pPr>
        <w:spacing w:after="0" w:line="32"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color w:val="auto"/>
        </w:rPr>
        <w:t>Section 162(m) of the Internal Revenue Code of 1986, as amended and the regulations promulgated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(1)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w:t>
      </w:r>
    </w:p>
    <w:p>
      <w:pPr>
        <w:sectPr>
          <w:pgSz w:w="11900" w:h="16838" w:orient="portrait"/>
          <w:cols w:equalWidth="0" w:num="1">
            <w:col w:w="11420"/>
          </w:cols>
          <w:pgMar w:left="240" w:top="280" w:right="239" w:bottom="1440" w:gutter="0" w:footer="0" w:header="0"/>
        </w:sectPr>
      </w:pPr>
    </w:p>
    <w:bookmarkStart w:id="86" w:name="page87"/>
    <w:bookmarkEnd w:id="8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executives of Lazard who received bonuses for such prior fiscal year in amounts within 5% of the Executive’s bonus for such prior fiscal year), and</w:t>
      </w:r>
    </w:p>
    <w:p>
      <w:pPr>
        <w:spacing w:after="0" w:line="38" w:lineRule="exact"/>
        <w:rPr>
          <w:sz w:val="20"/>
          <w:szCs w:val="20"/>
          <w:color w:val="auto"/>
        </w:rPr>
      </w:pPr>
    </w:p>
    <w:p>
      <w:pPr>
        <w:ind w:left="460" w:right="140" w:firstLine="4"/>
        <w:spacing w:after="0" w:line="261" w:lineRule="auto"/>
        <w:tabs>
          <w:tab w:leader="none" w:pos="709"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fraction, the numerator of which is the number of days elapsed in the fiscal year of Lazard in which occurs the Date of Termination through the Date of Termination, and the denominator of which is 365 (the “Pro-Ration Fraction”); or</w:t>
      </w:r>
    </w:p>
    <w:p>
      <w:pPr>
        <w:spacing w:after="0" w:line="56" w:lineRule="exact"/>
        <w:rPr>
          <w:rFonts w:ascii="Arial" w:cs="Arial" w:eastAsia="Arial" w:hAnsi="Arial"/>
          <w:sz w:val="18"/>
          <w:szCs w:val="18"/>
          <w:color w:val="auto"/>
        </w:rPr>
      </w:pPr>
    </w:p>
    <w:p>
      <w:pPr>
        <w:ind w:left="460" w:right="60" w:firstLine="443"/>
        <w:spacing w:after="0" w:line="294" w:lineRule="auto"/>
        <w:tabs>
          <w:tab w:leader="none" w:pos="1157"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either (A) with respect to the fiscal year during which the Date of Termination occurs, (1) the Executive is not reasonably expected by Lazard to be a “covered employee” (within the meaning of Section 162(m) of the Code) prior to his Date of Termination or (2) such termination is a result of the Executive’s death or Disability or occurs following a Change in Control or (B)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(x) the Average Bonus and (y) the Pro-Ration Fraction.</w:t>
      </w:r>
    </w:p>
    <w:p>
      <w:pPr>
        <w:spacing w:after="0" w:line="1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pro-rata annual bonus determined pursuant to clause (i) or (ii) above, as applicable, shall be paid at such time or times as Lazard otherwise makes incentive payments for such fiscal year (and in all events no earlier than January 1st, and no later than March 15th, of the year following the year in which the Date of Termination occurs). Notwithstanding the foregoing, the payments and benefits (other than any earned and unpaid compensation described in clauses (i) and (ii) of the first paragraph of this paragraph 3 of this Schedule I) payable to the Executive pursuant to this paragraph 3 of this Schedule 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Exhibit A that has become effective and irrevocable in accordance with its terms (such requirement to execute a release, the “Release Requirement”). Notwithstanding the foregoing, the Release Requirement shall lapse upon a Change in Control.</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all purposes of this Agreement, including without limitation, Sections 2(g)(ii) and 5(a), and for all purposes of the outstanding equity-based awards, fund interest awards and any similar awards held by the Executive as of the Date of Termination (as defined in this Schedule I) (collectively, the “Awards”), a resignation by the Executive for Good Reason during the Term shall be treated as a termination of the Executive by the Firm without Cause or as a Termination of Employment by the Firm other than for Cause (as such phrase or similar phrases are defined in the Plan (as defined in paragraph 4 of this Schedule I) or the award agreements governing the Awards), as applicable.</w:t>
      </w:r>
    </w:p>
    <w:p>
      <w:pPr>
        <w:spacing w:after="0" w:line="14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paragraph 3 of this Schedule I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ectPr>
          <w:pgSz w:w="11900" w:h="16838" w:orient="portrait"/>
          <w:cols w:equalWidth="0" w:num="1">
            <w:col w:w="11420"/>
          </w:cols>
          <w:pgMar w:left="240" w:top="280" w:right="239" w:bottom="1440" w:gutter="0" w:footer="0" w:header="0"/>
        </w:sectPr>
      </w:pPr>
    </w:p>
    <w:bookmarkStart w:id="87" w:name="page88"/>
    <w:bookmarkEnd w:id="8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and this Schedule I, as applicable, the following terms shall have the following meanings:</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assigned to it in the Lazard 2008 Incentive Compensation Plan, as it may be amended from time to time, or any successor plan thereto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Notwithstanding the definition of “Date of Termination” set forth in Section 5 of this Agreement, for all purposes of this Agreement, including Section 5, and this Schedule I, “Date of Termination” shall mean (i) if the Executive’s employment is terminated by the Firm for Cause, the date of receipt of the written notice of termination from the Firm or any later date specified therein within thirty(30) days after the Executive’s receipt of such notice, as the case may be, (ii) if the Executive’s employment is terminated by the Firm other than for Cause or Disability,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formally notifies the Executive in writing that it does not intend to cure, unless Lazard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including this Schedule I, constitutes a “separation from service” within the meaning of Section 409A of the Code, and notwithstanding anything contained herein (or in this Agreement) to the contrary, (x) to the extent that any amounts owed to the Executive under this Agreement (including this Schedule I)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without limitation, the default presumptions thereof and (y) the date on which such separation from service takes place shall be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w:t>
      </w:r>
    </w:p>
    <w:p>
      <w:pPr>
        <w:spacing w:after="0" w:line="13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Notwithstanding the definition of “Cause” set forth in Section 2(g)(iv) of this Agreement, for all purposes of this Agreement, including Section 2(g)(iv) and this Schedule I, “Cause” shall mean: (A) conviction of the Executive of, or a guilty or nolo contendere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(other than any such failure resulting from incapacity due to physical or mental illness or following the Firm’s termination of the Executive other than for Cause or the</w:t>
      </w:r>
    </w:p>
    <w:p>
      <w:pPr>
        <w:sectPr>
          <w:pgSz w:w="11900" w:h="16838" w:orient="portrait"/>
          <w:cols w:equalWidth="0" w:num="1">
            <w:col w:w="11420"/>
          </w:cols>
          <w:pgMar w:left="240" w:top="280" w:right="239" w:bottom="1440" w:gutter="0" w:footer="0" w:header="0"/>
        </w:sectPr>
      </w:pPr>
    </w:p>
    <w:bookmarkStart w:id="88" w:name="page89"/>
    <w:bookmarkEnd w:id="8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termination for Good Reason in accordance with this Schedule I) (i) to perform his employment duties in any material respect or (ii) to follow specific reasonable directions received from the Firm’s Chief Executive Officer, in each case following written notice to the Executive of such failure and, if such failure is curable, the Executive’s failing to cure such failure within a reasonable time (but in no event less than thirty (30) days after actual receipt by the Executive of such written notice); or (D) a breach of the Covenants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(B) , (C)(i) and (D) hereof, the Executive’s acts or failure to act shall not constitute Cause to the extent taken (or not taken) based upon the direct instructions of the Firm’s Chief Executive Officer or upon the direct advice of counsel to the Firm. Except in the case of a termination of the Executive’s employment under clause (A)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“Applicable Board”) finding that, in the good faith opinion of the Applicable Board, circumstances constituting Cause exist.</w:t>
      </w:r>
    </w:p>
    <w:p>
      <w:pPr>
        <w:spacing w:after="0" w:line="34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(without regard to the expiration of the Schedule Term), or any other action by the Firm which results in a material diminution in such position (including status, offices, titles and reporting requirements), authority, duties or responsibilities from those contemplated by Section 3(b) of this Agreement (without regard to the expiration of the Schedule Term), (ii) any person, other than the Executive, is given the title of “Chairman of Lazard Asset Management LLC” or Chairman of Lazard’s asset management group, unless (A) such person receives such title in connection with a merger or acquisition transaction involving the Firm, on the one hand, and an unrelated company that has an asset management business, on the other hand, and (B) such transaction is approved by the Board of Directors of PubliCo, (iii) a material breach by the Firm of the terms of this Agreement, including, without limitation, any material failure by the Firm to comply with paragraph 2 of this Schedule I or the nondisparagement covenant in Section 8 of this Agreement, or (iv) without the Executive’s written consent, any requirement that the Executive’s principal place of employment be relocated to a location that increases the Executive’s commute from his primary residence by more than thirty</w:t>
      </w:r>
    </w:p>
    <w:p>
      <w:pPr>
        <w:spacing w:after="0" w:line="5" w:lineRule="exact"/>
        <w:rPr>
          <w:sz w:val="20"/>
          <w:szCs w:val="20"/>
          <w:color w:val="auto"/>
        </w:rPr>
      </w:pPr>
    </w:p>
    <w:p>
      <w:pPr>
        <w:ind w:right="60" w:firstLine="8"/>
        <w:spacing w:after="0" w:line="281" w:lineRule="auto"/>
        <w:tabs>
          <w:tab w:leader="none" w:pos="336" w:val="left"/>
        </w:tabs>
        <w:numPr>
          <w:ilvl w:val="0"/>
          <w:numId w:val="68"/>
        </w:numPr>
        <w:rPr>
          <w:rFonts w:ascii="Arial" w:cs="Arial" w:eastAsia="Arial" w:hAnsi="Arial"/>
          <w:sz w:val="16"/>
          <w:szCs w:val="16"/>
          <w:color w:val="auto"/>
        </w:rPr>
      </w:pPr>
      <w:r>
        <w:rPr>
          <w:rFonts w:ascii="Arial" w:cs="Arial" w:eastAsia="Arial" w:hAnsi="Arial"/>
          <w:sz w:val="16"/>
          <w:szCs w:val="16"/>
          <w:color w:val="auto"/>
        </w:rPr>
        <w:t>miles. In the event of a termination for Good Reason, the notice requirements of Section 1 of this Agreement shall not apply. Notwithstanding the foregoing, a termination for Good Reason shall not have occurred unless (i) the Executive gives written notice to Lazard of termination of employment within ninety</w:t>
      </w:r>
    </w:p>
    <w:p>
      <w:pPr>
        <w:spacing w:after="0" w:line="1" w:lineRule="exact"/>
        <w:rPr>
          <w:rFonts w:ascii="Arial" w:cs="Arial" w:eastAsia="Arial" w:hAnsi="Arial"/>
          <w:sz w:val="16"/>
          <w:szCs w:val="16"/>
          <w:color w:val="auto"/>
        </w:rPr>
      </w:pPr>
    </w:p>
    <w:p>
      <w:pPr>
        <w:ind w:right="200" w:firstLine="8"/>
        <w:spacing w:after="0" w:line="295" w:lineRule="auto"/>
        <w:tabs>
          <w:tab w:leader="none" w:pos="336" w:val="left"/>
        </w:tabs>
        <w:numPr>
          <w:ilvl w:val="0"/>
          <w:numId w:val="69"/>
        </w:numPr>
        <w:rPr>
          <w:rFonts w:ascii="Arial" w:cs="Arial" w:eastAsia="Arial" w:hAnsi="Arial"/>
          <w:sz w:val="16"/>
          <w:szCs w:val="16"/>
          <w:color w:val="auto"/>
        </w:rPr>
      </w:pPr>
      <w:r>
        <w:rPr>
          <w:rFonts w:ascii="Arial" w:cs="Arial" w:eastAsia="Arial" w:hAnsi="Arial"/>
          <w:sz w:val="16"/>
          <w:szCs w:val="16"/>
          <w:color w:val="auto"/>
        </w:rPr>
        <w:t>days after the Executive first becomes aware of the occurrence of the circumstances constituting Good Reason, specifying in reasonable detail the circumstances constituting Good Reason, and Lazard has failed within thirty (30) days after receipt of such notice to cure (if capable of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ectPr>
          <w:pgSz w:w="11900" w:h="16838" w:orient="portrait"/>
          <w:cols w:equalWidth="0" w:num="1">
            <w:col w:w="11400"/>
          </w:cols>
          <w:pgMar w:left="240" w:top="280" w:right="259" w:bottom="1440" w:gutter="0" w:footer="0" w:header="0"/>
        </w:sectPr>
      </w:pPr>
    </w:p>
    <w:bookmarkStart w:id="89" w:name="page90"/>
    <w:bookmarkEnd w:id="89"/>
    <w:p>
      <w:pPr>
        <w:ind w:right="5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Severance Multiple</w:t>
      </w:r>
      <w:r>
        <w:rPr>
          <w:rFonts w:ascii="Arial" w:cs="Arial" w:eastAsia="Arial" w:hAnsi="Arial"/>
          <w:sz w:val="16"/>
          <w:szCs w:val="16"/>
          <w:color w:val="auto"/>
        </w:rPr>
        <w:t xml:space="preserve">” shall equal one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Date of Termination occurs on or following a Change in Control during the Schedule Term pursuant to which PubliCo is acquired by an entity that has an asset management business, the Severance Multiple shall equal two (2).</w:t>
      </w:r>
    </w:p>
    <w:p>
      <w:pPr>
        <w:spacing w:after="0" w:line="85" w:lineRule="exact"/>
        <w:rPr>
          <w:sz w:val="20"/>
          <w:szCs w:val="20"/>
          <w:color w:val="auto"/>
        </w:rPr>
      </w:pPr>
    </w:p>
    <w:p>
      <w:pPr>
        <w:ind w:right="20" w:firstLine="464"/>
        <w:spacing w:after="0" w:line="304" w:lineRule="auto"/>
        <w:tabs>
          <w:tab w:leader="none" w:pos="632"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Certain Limitations on Payments</w:t>
      </w:r>
      <w:r>
        <w:rPr>
          <w:rFonts w:ascii="Arial" w:cs="Arial" w:eastAsia="Arial" w:hAnsi="Arial"/>
          <w:sz w:val="15"/>
          <w:szCs w:val="15"/>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5"/>
          <w:szCs w:val="15"/>
          <w:u w:val="single" w:color="auto"/>
          <w:color w:val="auto"/>
        </w:rPr>
        <w:t>Accountant</w:t>
      </w:r>
      <w:r>
        <w:rPr>
          <w:rFonts w:ascii="Arial" w:cs="Arial" w:eastAsia="Arial" w:hAnsi="Arial"/>
          <w:sz w:val="15"/>
          <w:szCs w:val="15"/>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 (within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Arial" w:cs="Arial" w:eastAsia="Arial" w:hAnsi="Arial"/>
          <w:sz w:val="15"/>
          <w:szCs w:val="15"/>
          <w:u w:val="single" w:color="auto"/>
          <w:color w:val="auto"/>
        </w:rPr>
        <w:t>Parachute</w:t>
      </w:r>
      <w:r>
        <w:rPr>
          <w:rFonts w:ascii="Arial" w:cs="Arial" w:eastAsia="Arial" w:hAnsi="Arial"/>
          <w:sz w:val="15"/>
          <w:szCs w:val="15"/>
          <w:color w:val="auto"/>
        </w:rPr>
        <w:t xml:space="preserve"> </w:t>
      </w:r>
      <w:r>
        <w:rPr>
          <w:rFonts w:ascii="Arial" w:cs="Arial" w:eastAsia="Arial" w:hAnsi="Arial"/>
          <w:sz w:val="15"/>
          <w:szCs w:val="15"/>
          <w:u w:val="single" w:color="auto"/>
          <w:color w:val="auto"/>
        </w:rPr>
        <w:t>Payments</w:t>
      </w:r>
      <w:r>
        <w:rPr>
          <w:rFonts w:ascii="Arial" w:cs="Arial" w:eastAsia="Arial" w:hAnsi="Arial"/>
          <w:sz w:val="15"/>
          <w:szCs w:val="15"/>
          <w:color w:val="auto"/>
        </w:rPr>
        <w:t>”) that, but for this paragraph 5 of this Schedule I,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Arial" w:cs="Arial" w:eastAsia="Arial" w:hAnsi="Arial"/>
          <w:sz w:val="15"/>
          <w:szCs w:val="15"/>
          <w:u w:val="single" w:color="auto"/>
          <w:color w:val="auto"/>
        </w:rPr>
        <w:t>Excise Tax</w:t>
      </w:r>
      <w:r>
        <w:rPr>
          <w:rFonts w:ascii="Arial" w:cs="Arial" w:eastAsia="Arial" w:hAnsi="Arial"/>
          <w:sz w:val="15"/>
          <w:szCs w:val="15"/>
          <w:color w:val="auto"/>
        </w:rPr>
        <w:t>”), then the aggregate amount of Parachute Payments payable to the Executive shall equal the amount that produces the greatest after-tax benefit to the Executive after taking into account first any positions to mitigate such Excise Tax (including, without limitation, mitigation under a “reasonable compensation” analysis) and second any Excise Tax payable by the 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Arial" w:cs="Arial" w:eastAsia="Arial" w:hAnsi="Arial"/>
          <w:sz w:val="15"/>
          <w:szCs w:val="15"/>
          <w:u w:val="single" w:color="auto"/>
          <w:color w:val="auto"/>
        </w:rPr>
        <w:t>Agreement Payments</w:t>
      </w:r>
      <w:r>
        <w:rPr>
          <w:rFonts w:ascii="Arial" w:cs="Arial" w:eastAsia="Arial" w:hAnsi="Arial"/>
          <w:sz w:val="15"/>
          <w:szCs w:val="15"/>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3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making determinations under this paragraph 5 of this Schedule I and determining the Excise Tax (if any), the Accountant shall take into account the value of any reasonable compensation for services to be rendered by the Executive before or after the change of control, including, without limitation,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w:t>
      </w:r>
    </w:p>
    <w:p>
      <w:pPr>
        <w:sectPr>
          <w:pgSz w:w="11900" w:h="16838" w:orient="portrait"/>
          <w:cols w:equalWidth="0" w:num="1">
            <w:col w:w="11400"/>
          </w:cols>
          <w:pgMar w:left="240" w:top="280" w:right="259" w:bottom="1440" w:gutter="0" w:footer="0" w:header="0"/>
        </w:sectPr>
      </w:pPr>
    </w:p>
    <w:bookmarkStart w:id="90" w:name="page91"/>
    <w:bookmarkEnd w:id="90"/>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in connection with a Change in Control pursuant to paragraph 3 of this Schedule I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paragraph 5 of this Schedule I shall be borne by the Firm, and the Firm shall reimburse the Executive for all reasonable legal fees incurred with respect to the calculations under this paragraph 5 of this Schedule I and any reasonable legal and accounting fees incurred with respect to disputes related thereto.</w:t>
      </w:r>
    </w:p>
    <w:p>
      <w:pPr>
        <w:spacing w:after="0" w:line="144" w:lineRule="exact"/>
        <w:rPr>
          <w:sz w:val="20"/>
          <w:szCs w:val="20"/>
          <w:color w:val="auto"/>
        </w:rPr>
      </w:pPr>
    </w:p>
    <w:p>
      <w:pPr>
        <w:ind w:firstLine="464"/>
        <w:spacing w:after="0" w:line="283" w:lineRule="auto"/>
        <w:tabs>
          <w:tab w:leader="none" w:pos="63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It is the intention of the parties that the payments and benefits to which the Executive could become entitled pursuant to this Agreement (including this Schedule I),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paragraph 3 of this Schedule I on account of the Executive’s termination of employment which is an “involuntary separation from service” (within the meaning of Treasury Regulation</w:t>
      </w:r>
    </w:p>
    <w:p>
      <w:pPr>
        <w:ind w:right="60"/>
        <w:spacing w:after="0" w:line="284" w:lineRule="auto"/>
        <w:rPr>
          <w:rFonts w:ascii="Arial" w:cs="Arial" w:eastAsia="Arial" w:hAnsi="Arial"/>
          <w:sz w:val="16"/>
          <w:szCs w:val="16"/>
          <w:color w:val="auto"/>
        </w:rPr>
      </w:pPr>
      <w:r>
        <w:rPr>
          <w:rFonts w:ascii="Arial" w:cs="Arial" w:eastAsia="Arial" w:hAnsi="Arial"/>
          <w:sz w:val="16"/>
          <w:szCs w:val="16"/>
          <w:color w:val="auto"/>
        </w:rPr>
        <w:t>Section 1.409A-1(n)) shall be paid as provided under paragraph 3 of this Schedule I and in no event later than March 15 of the year following the year in which the Date of Termination occurs. In the event the parties determine that the terms of this Agreement, including this Schedule I, do not comply with Section 409A of the Code, they will negotiate reasonably and in good faith to amend the terms of this Agreement and/or Schedule I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(including this Schedule I)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Schedule I or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w:t>
      </w:r>
    </w:p>
    <w:p>
      <w:pPr>
        <w:sectPr>
          <w:pgSz w:w="11900" w:h="16838" w:orient="portrait"/>
          <w:cols w:equalWidth="0" w:num="1">
            <w:col w:w="11380"/>
          </w:cols>
          <w:pgMar w:left="240" w:top="280" w:right="27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imposed under Section 409A of the Code (or any regulation promulgated thereunder) if the payment or benefit would commence within six months of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the Executive’s employment, then such payment or benefit will instead be paid, with interest at the applicable federal rate provided for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7872(f)(2)(A) of the Code (“</w:t>
      </w:r>
      <w:r>
        <w:rPr>
          <w:rFonts w:ascii="Arial" w:cs="Arial" w:eastAsia="Arial" w:hAnsi="Arial"/>
          <w:sz w:val="16"/>
          <w:szCs w:val="16"/>
          <w:u w:val="single" w:color="auto"/>
          <w:color w:val="auto"/>
        </w:rPr>
        <w:t>Interest</w:t>
      </w:r>
      <w:r>
        <w:rPr>
          <w:rFonts w:ascii="Arial" w:cs="Arial" w:eastAsia="Arial" w:hAnsi="Arial"/>
          <w:sz w:val="16"/>
          <w:szCs w:val="16"/>
          <w:color w:val="auto"/>
        </w:rPr>
        <w:t>”) determined as of the Date of Termination, as provided below in this paragraph 6 of this Schedule I. Such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benefits that would have otherwise been required to be made during such six-month period will be paid to the Executive (or his estate, as the case may be)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one lump sum payment or otherwise provided to the Executive (or his estate, as the case may be) on the earlier of (A) the first business day that is six months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one day after the Executive’s separation from service or (B) the fifth business day following the Executive’s death. Thereafter, the payments and benefits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 if applicable, for the relevant period set forth in this Agreement or this Schedule I, as the case may be.</w:t>
      </w:r>
    </w:p>
    <w:p>
      <w:pPr>
        <w:spacing w:after="0" w:line="165" w:lineRule="exact"/>
        <w:rPr>
          <w:sz w:val="20"/>
          <w:szCs w:val="20"/>
          <w:color w:val="auto"/>
        </w:rPr>
      </w:pPr>
    </w:p>
    <w:p>
      <w:pPr>
        <w:ind w:left="640" w:hanging="17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u w:val="single" w:color="auto"/>
          <w:color w:val="auto"/>
        </w:rPr>
        <w:t>Section 3(b)</w:t>
      </w:r>
      <w:r>
        <w:rPr>
          <w:rFonts w:ascii="Arial" w:cs="Arial" w:eastAsia="Arial" w:hAnsi="Arial"/>
          <w:sz w:val="16"/>
          <w:szCs w:val="16"/>
          <w:color w:val="auto"/>
        </w:rPr>
        <w:t>. Section 3(b) of this Agreement is hereby amended to replace the first sentence thereof with the following: During the Schedule Term (as defined in Schedule I attached hereto), the Executive shall continue to (i) serve as a Vice Chairman and Managing Director of Lazard and Chief Executive Officer of Lazard Asset Management LLC, with such authority, duties and responsibilities as are consistent with the authority, duties and responsibilities exercised by the Executive on the Second Amendment Effective Date (as defined in Schedule I attached hereto), (ii) report directly to the Firm’s Chief Executive Officer and</w:t>
      </w:r>
    </w:p>
    <w:p>
      <w:pPr>
        <w:spacing w:after="0" w:line="3" w:lineRule="exact"/>
        <w:rPr>
          <w:sz w:val="20"/>
          <w:szCs w:val="20"/>
          <w:color w:val="auto"/>
        </w:rPr>
      </w:pPr>
    </w:p>
    <w:p>
      <w:pPr>
        <w:ind w:right="20" w:firstLine="8"/>
        <w:spacing w:after="0" w:line="255" w:lineRule="auto"/>
        <w:tabs>
          <w:tab w:leader="none" w:pos="3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w:t>
      </w:r>
    </w:p>
    <w:p>
      <w:pPr>
        <w:spacing w:after="0" w:line="144" w:lineRule="exact"/>
        <w:rPr>
          <w:sz w:val="20"/>
          <w:szCs w:val="20"/>
          <w:color w:val="auto"/>
        </w:rPr>
      </w:pPr>
    </w:p>
    <w:p>
      <w:pPr>
        <w:ind w:right="180" w:firstLine="456"/>
        <w:spacing w:after="0" w:line="301" w:lineRule="auto"/>
        <w:rPr>
          <w:sz w:val="20"/>
          <w:szCs w:val="20"/>
          <w:color w:val="auto"/>
        </w:rPr>
      </w:pPr>
      <w:r>
        <w:rPr>
          <w:rFonts w:ascii="Arial" w:cs="Arial" w:eastAsia="Arial" w:hAnsi="Arial"/>
          <w:sz w:val="15"/>
          <w:szCs w:val="15"/>
          <w:u w:val="single" w:color="auto"/>
          <w:color w:val="auto"/>
        </w:rPr>
        <w:t>Section 5(a)</w:t>
      </w:r>
      <w:r>
        <w:rPr>
          <w:rFonts w:ascii="Arial" w:cs="Arial" w:eastAsia="Arial" w:hAnsi="Arial"/>
          <w:sz w:val="15"/>
          <w:szCs w:val="15"/>
          <w:color w:val="auto"/>
        </w:rPr>
        <w:t xml:space="preserve">. </w:t>
      </w:r>
      <w:r>
        <w:rPr>
          <w:rFonts w:ascii="Arial" w:cs="Arial" w:eastAsia="Arial" w:hAnsi="Arial"/>
          <w:sz w:val="15"/>
          <w:szCs w:val="15"/>
          <w:u w:val="single" w:color="auto"/>
          <w:color w:val="auto"/>
        </w:rPr>
        <w:t>Noncompetition</w:t>
      </w:r>
      <w:r>
        <w:rPr>
          <w:rFonts w:ascii="Arial" w:cs="Arial" w:eastAsia="Arial" w:hAnsi="Arial"/>
          <w:sz w:val="15"/>
          <w:szCs w:val="15"/>
          <w:color w:val="auto"/>
        </w:rPr>
        <w:t>. Section 5(a) of this Agreement is hereby amended and restated in its entirety to read as follows: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w:t>
      </w:r>
    </w:p>
    <w:p>
      <w:pPr>
        <w:spacing w:after="0" w:line="5" w:lineRule="exact"/>
        <w:rPr>
          <w:sz w:val="20"/>
          <w:szCs w:val="20"/>
          <w:color w:val="auto"/>
        </w:rPr>
      </w:pPr>
    </w:p>
    <w:p>
      <w:pPr>
        <w:ind w:right="80" w:firstLine="8"/>
        <w:spacing w:after="0" w:line="252" w:lineRule="auto"/>
        <w:tabs>
          <w:tab w:leader="none" w:pos="2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three months after the Date of Termination for any reason other than a termination by the Firm without Cause or by the Executive for Good Reason or (ii) one month after the Date of Termination by the Firm without Cause or by the Executive for Good Reason (such period, the “</w:t>
      </w:r>
      <w:r>
        <w:rPr>
          <w:rFonts w:ascii="Arial" w:cs="Arial" w:eastAsia="Arial" w:hAnsi="Arial"/>
          <w:sz w:val="18"/>
          <w:szCs w:val="18"/>
          <w:u w:val="single" w:color="auto"/>
          <w:color w:val="auto"/>
        </w:rPr>
        <w:t>Noncompete Restriction Period</w:t>
      </w:r>
      <w:r>
        <w:rPr>
          <w:rFonts w:ascii="Arial" w:cs="Arial" w:eastAsia="Arial" w:hAnsi="Arial"/>
          <w:sz w:val="18"/>
          <w:szCs w:val="18"/>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8"/>
          <w:szCs w:val="18"/>
          <w:u w:val="single" w:color="auto"/>
          <w:color w:val="auto"/>
        </w:rPr>
        <w:t>Competing Activity</w:t>
      </w:r>
      <w:r>
        <w:rPr>
          <w:rFonts w:ascii="Arial" w:cs="Arial" w:eastAsia="Arial" w:hAnsi="Arial"/>
          <w:sz w:val="18"/>
          <w:szCs w:val="18"/>
          <w:color w:val="auto"/>
        </w:rPr>
        <w:t>” means the providing of services or performance of activities for a Competitive Enterprise in a line of</w:t>
      </w:r>
    </w:p>
    <w:p>
      <w:pPr>
        <w:sectPr>
          <w:pgSz w:w="11900" w:h="16838" w:orient="portrait"/>
          <w:cols w:equalWidth="0" w:num="1">
            <w:col w:w="11400"/>
          </w:cols>
          <w:pgMar w:left="240" w:top="280" w:right="259" w:bottom="1440" w:gutter="0" w:footer="0" w:header="0"/>
        </w:sectPr>
      </w:pPr>
    </w:p>
    <w:bookmarkStart w:id="92" w:name="page93"/>
    <w:bookmarkEnd w:id="92"/>
    <w:p>
      <w:pPr>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8"/>
          <w:szCs w:val="18"/>
          <w:u w:val="single" w:color="auto"/>
          <w:color w:val="auto"/>
        </w:rPr>
        <w:t>Competitive Enterprise</w:t>
      </w:r>
      <w:r>
        <w:rPr>
          <w:rFonts w:ascii="Arial" w:cs="Arial" w:eastAsia="Arial" w:hAnsi="Arial"/>
          <w:sz w:val="18"/>
          <w:szCs w:val="18"/>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4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Nonsolicitation of Clients</w:t>
      </w:r>
      <w:r>
        <w:rPr>
          <w:rFonts w:ascii="Arial" w:cs="Arial" w:eastAsia="Arial" w:hAnsi="Arial"/>
          <w:sz w:val="18"/>
          <w:szCs w:val="18"/>
          <w:color w:val="auto"/>
        </w:rPr>
        <w:t>. Section 6 of this Agreement is hereby amended to replace the definition of “Client” with the following definition: “</w:t>
      </w:r>
      <w:r>
        <w:rPr>
          <w:rFonts w:ascii="Arial" w:cs="Arial" w:eastAsia="Arial" w:hAnsi="Arial"/>
          <w:sz w:val="18"/>
          <w:szCs w:val="18"/>
          <w:u w:val="single" w:color="auto"/>
          <w:color w:val="auto"/>
        </w:rPr>
        <w:t>Client</w:t>
      </w:r>
      <w:r>
        <w:rPr>
          <w:rFonts w:ascii="Arial" w:cs="Arial" w:eastAsia="Arial" w:hAnsi="Arial"/>
          <w:sz w:val="18"/>
          <w:szCs w:val="18"/>
          <w:color w:val="auto"/>
        </w:rPr>
        <w:t xml:space="preserve">” means any client or prospective client of the Firm, whether or not the Firm has been engaged by such Client pursuant to a written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Nondisparagement</w:t>
      </w:r>
      <w:r>
        <w:rPr>
          <w:rFonts w:ascii="Arial" w:cs="Arial" w:eastAsia="Arial" w:hAnsi="Arial"/>
          <w:sz w:val="16"/>
          <w:szCs w:val="16"/>
          <w:color w:val="auto"/>
        </w:rPr>
        <w:t>. Section 8 of this Agreement is hereby amended to add the following sentences immediately following the first sentence of such section: The Firm (including, without limitation,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Arbitration</w:t>
      </w:r>
      <w:r>
        <w:rPr>
          <w:rFonts w:ascii="Arial" w:cs="Arial" w:eastAsia="Arial" w:hAnsi="Arial"/>
          <w:sz w:val="16"/>
          <w:szCs w:val="16"/>
          <w:color w:val="auto"/>
        </w:rPr>
        <w:t>. Section 12 of this Agreement is hereby amended (i) to replace all references to “the New York Stock Exchange, Inc.” and the “NYSE” with references to the “Financial Industry Regulatory Authority” and “FINRA”, as applicable, and (ii) to add the following sentences at the end of such section: Prior to a Change in Control (as defined in Schedule I attached hereto), each party shall bear its own costs and expenses of any such arbitration. Following a Change in Control, Lazard shall pay to the Executive, as incurred, all legal fees and expenses reasonably incurred by the Executive or with respect to the Executive during his lifetime or within ten years after his death in connection with any contest by Lazard,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w:t>
      </w:r>
    </w:p>
    <w:p>
      <w:pPr>
        <w:sectPr>
          <w:pgSz w:w="11900" w:h="16838" w:orient="portrait"/>
          <w:cols w:equalWidth="0" w:num="1">
            <w:col w:w="11380"/>
          </w:cols>
          <w:pgMar w:left="240" w:top="280" w:right="279" w:bottom="1440" w:gutter="0" w:footer="0" w:header="0"/>
        </w:sectPr>
      </w:pPr>
    </w:p>
    <w:bookmarkStart w:id="93" w:name="page94"/>
    <w:bookmarkEnd w:id="93"/>
    <w:p>
      <w:pPr>
        <w:ind w:right="4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amount of any payment pursuant to this Agreement, and whether or not any such contest is under Section 12 or 13 of this Agreement or otherwise), plus Interest (as defined in Schedule I attached hereto) determined as of the date such legal fees and expenses were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Executive shall promptly repay to Lazard all such amounts if the Executive fails to prevail on at least one material issue in dispute in any such contest.</w:t>
      </w:r>
    </w:p>
    <w:p>
      <w:pPr>
        <w:spacing w:after="0" w:line="10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u w:val="single" w:color="auto"/>
          <w:color w:val="auto"/>
        </w:rPr>
        <w:t>Section 16(b)</w:t>
      </w:r>
      <w:r>
        <w:rPr>
          <w:rFonts w:ascii="Arial" w:cs="Arial" w:eastAsia="Arial" w:hAnsi="Arial"/>
          <w:sz w:val="18"/>
          <w:szCs w:val="18"/>
          <w:color w:val="auto"/>
        </w:rPr>
        <w:t>. Paragraphs 2, 3, 4, 5 and 6 of this Schedule I and Sections 16(i) and (j) of this Agreement are hereby added to the list of sections in Section 16(b) of this Agreement.</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16(i) and (j)</w:t>
      </w:r>
      <w:r>
        <w:rPr>
          <w:rFonts w:ascii="Arial" w:cs="Arial" w:eastAsia="Arial" w:hAnsi="Arial"/>
          <w:sz w:val="18"/>
          <w:szCs w:val="18"/>
          <w:color w:val="auto"/>
        </w:rPr>
        <w:t>. Section 16 of this Agreement is hereby amended to add the following new subsections:</w:t>
      </w:r>
    </w:p>
    <w:p>
      <w:pPr>
        <w:spacing w:after="0" w:line="90" w:lineRule="exact"/>
        <w:rPr>
          <w:sz w:val="20"/>
          <w:szCs w:val="20"/>
          <w:color w:val="auto"/>
        </w:rPr>
      </w:pPr>
    </w:p>
    <w:p>
      <w:pPr>
        <w:ind w:left="460" w:firstLine="443"/>
        <w:spacing w:after="0" w:line="294" w:lineRule="auto"/>
        <w:tabs>
          <w:tab w:leader="none" w:pos="1108"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after-tax cost to the Executive of such benefits be greater than the cost applicable to similarly situated executives of the Firm who have not terminated employment or, following a Change in Control (as defined in Schedule I attached hereto), the cost applicable to the Executive immediately prior to the Change in Control, if more favorable to the Executive.</w:t>
      </w:r>
    </w:p>
    <w:p>
      <w:pPr>
        <w:spacing w:after="0" w:line="34" w:lineRule="exact"/>
        <w:rPr>
          <w:rFonts w:ascii="Arial" w:cs="Arial" w:eastAsia="Arial" w:hAnsi="Arial"/>
          <w:sz w:val="16"/>
          <w:szCs w:val="16"/>
          <w:color w:val="auto"/>
        </w:rPr>
      </w:pPr>
    </w:p>
    <w:p>
      <w:pPr>
        <w:ind w:left="460" w:right="660" w:firstLine="443"/>
        <w:spacing w:after="0" w:line="268" w:lineRule="auto"/>
        <w:tabs>
          <w:tab w:leader="none" w:pos="1108"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31" w:lineRule="exact"/>
        <w:rPr>
          <w:rFonts w:ascii="Arial" w:cs="Arial" w:eastAsia="Arial" w:hAnsi="Arial"/>
          <w:sz w:val="18"/>
          <w:szCs w:val="18"/>
          <w:color w:val="auto"/>
        </w:rPr>
      </w:pPr>
    </w:p>
    <w:p>
      <w:pPr>
        <w:ind w:right="40" w:firstLine="464"/>
        <w:spacing w:after="0" w:line="306" w:lineRule="auto"/>
        <w:tabs>
          <w:tab w:leader="none" w:pos="632"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Second Amendment may be executed in any number of counterparts, each of which shall be an original and all of which, when taken together, will constitute one and the same instrument. Delivery of an executed counterpart of a signature page of this Second Amendment by facsimile transmission or electronic means (including by “pdf”) shall be effective as delivery of a manually executed counterpart of this Second Amendment.</w:t>
      </w:r>
    </w:p>
    <w:p>
      <w:pPr>
        <w:sectPr>
          <w:pgSz w:w="11900" w:h="16838" w:orient="portrait"/>
          <w:cols w:equalWidth="0" w:num="1">
            <w:col w:w="11380"/>
          </w:cols>
          <w:pgMar w:left="240" w:top="280" w:right="2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560" w:type="dxa"/>
            <w:vAlign w:val="bottom"/>
            <w:gridSpan w:val="2"/>
          </w:tcPr>
          <w:p>
            <w:pPr>
              <w:spacing w:after="0"/>
              <w:rPr>
                <w:sz w:val="20"/>
                <w:szCs w:val="20"/>
                <w:color w:val="auto"/>
              </w:rPr>
            </w:pPr>
            <w:r>
              <w:rPr>
                <w:rFonts w:ascii="Arial" w:cs="Arial" w:eastAsia="Arial" w:hAnsi="Arial"/>
                <w:sz w:val="18"/>
                <w:szCs w:val="18"/>
                <w:color w:val="auto"/>
              </w:rPr>
              <w:t>/s/ AB</w:t>
            </w:r>
          </w:p>
        </w:tc>
        <w:tc>
          <w:tcPr>
            <w:tcW w:w="2180" w:type="dxa"/>
            <w:vAlign w:val="bottom"/>
          </w:tcPr>
          <w:p>
            <w:pPr>
              <w:ind w:left="360"/>
              <w:spacing w:after="0"/>
              <w:rPr>
                <w:sz w:val="20"/>
                <w:szCs w:val="20"/>
                <w:color w:val="auto"/>
              </w:rPr>
            </w:pPr>
            <w:r>
              <w:rPr>
                <w:rFonts w:ascii="Arial" w:cs="Arial" w:eastAsia="Arial" w:hAnsi="Arial"/>
                <w:sz w:val="18"/>
                <w:szCs w:val="18"/>
                <w:color w:val="auto"/>
                <w:w w:val="90"/>
              </w:rPr>
              <w:t>Initialed by the Executive</w:t>
            </w: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04"/>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SDH</w:t>
            </w:r>
          </w:p>
        </w:tc>
        <w:tc>
          <w:tcPr>
            <w:tcW w:w="2180" w:type="dxa"/>
            <w:vAlign w:val="bottom"/>
          </w:tcPr>
          <w:p>
            <w:pPr>
              <w:ind w:left="360"/>
              <w:spacing w:after="0"/>
              <w:rPr>
                <w:sz w:val="20"/>
                <w:szCs w:val="20"/>
                <w:color w:val="auto"/>
              </w:rPr>
            </w:pPr>
            <w:r>
              <w:rPr>
                <w:rFonts w:ascii="Arial" w:cs="Arial" w:eastAsia="Arial" w:hAnsi="Arial"/>
                <w:sz w:val="18"/>
                <w:szCs w:val="18"/>
                <w:color w:val="auto"/>
              </w:rPr>
              <w:t>Initialed by Lazard</w:t>
            </w:r>
          </w:p>
        </w:tc>
      </w:tr>
      <w:tr>
        <w:trPr>
          <w:trHeight w:val="304"/>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SDH</w:t>
            </w:r>
          </w:p>
        </w:tc>
        <w:tc>
          <w:tcPr>
            <w:tcW w:w="2180" w:type="dxa"/>
            <w:vAlign w:val="bottom"/>
          </w:tcPr>
          <w:p>
            <w:pPr>
              <w:ind w:left="360"/>
              <w:spacing w:after="0"/>
              <w:rPr>
                <w:sz w:val="20"/>
                <w:szCs w:val="20"/>
                <w:color w:val="auto"/>
              </w:rPr>
            </w:pPr>
            <w:r>
              <w:rPr>
                <w:rFonts w:ascii="Arial" w:cs="Arial" w:eastAsia="Arial" w:hAnsi="Arial"/>
                <w:sz w:val="18"/>
                <w:szCs w:val="18"/>
                <w:color w:val="auto"/>
              </w:rPr>
              <w:t>Initialed by PubliCo</w:t>
            </w:r>
          </w:p>
        </w:tc>
      </w:tr>
    </w:tbl>
    <w:p>
      <w:pPr>
        <w:ind w:left="36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10.51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Second Amendment (the “Second Amendment”), dated as of March 14, 2013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Agreement Relating to Retention and Noncompetition and Other Covenants by and among Lazard Ltd, a company incorporated under the Laws of Bermuda (“PubliCo”), Lazard Group LLC, a Delaware limited liability company and successor to Lazard LLC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their subsidiaries and affiliates (collectively with PubliCo,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Matthieu Bucaille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October 4, 2004, and amended on April 1, 2011, (as amended, this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right="160" w:firstLine="913"/>
        <w:spacing w:after="0" w:line="370" w:lineRule="auto"/>
        <w:rPr>
          <w:sz w:val="20"/>
          <w:szCs w:val="20"/>
          <w:color w:val="auto"/>
        </w:rPr>
      </w:pPr>
      <w:r>
        <w:rPr>
          <w:rFonts w:ascii="Arial" w:cs="Arial" w:eastAsia="Arial" w:hAnsi="Arial"/>
          <w:sz w:val="15"/>
          <w:szCs w:val="15"/>
          <w:color w:val="auto"/>
        </w:rPr>
        <w:t>WHEREAS, the Firm and the Executive wish to amend this Agreement to modify Schedule I to such Agreement to extend the term of certain provisions of Schedule I of this Agreement beyond March 23, 2013, eliminate the golden parachute excise tax gross-up provision and revise certain other terms.</w:t>
      </w:r>
    </w:p>
    <w:p>
      <w:pPr>
        <w:spacing w:after="0" w:line="6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PubliCo and Lazard hereby agree as follows: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Effective as of the Effective Date, Schedule I of this Agreement shall hereby be amended and restated in its entirety in the form attached hereto.</w:t>
      </w:r>
    </w:p>
    <w:p>
      <w:pPr>
        <w:spacing w:after="0" w:line="194"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IN WITNESS WHEREOF, the Executive and the Board of Directors of each of Lazard and PubliCo have caused this Second Amendment to be executed and delivered on the date first above written.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March 14, 2013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Matthieu Bucaille</w:t>
            </w:r>
          </w:p>
        </w:tc>
      </w:tr>
      <w:tr>
        <w:trPr>
          <w:trHeight w:val="221"/>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Matthieu Bucaille</w:t>
            </w:r>
          </w:p>
        </w:tc>
      </w:tr>
      <w:tr>
        <w:trPr>
          <w:trHeight w:val="419"/>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7900" w:type="dxa"/>
            <w:vAlign w:val="bottom"/>
            <w:gridSpan w:val="3"/>
          </w:tcPr>
          <w:p>
            <w:pPr>
              <w:ind w:left="2380"/>
              <w:spacing w:after="0"/>
              <w:rPr>
                <w:sz w:val="20"/>
                <w:szCs w:val="20"/>
                <w:color w:val="auto"/>
              </w:rPr>
            </w:pPr>
            <w:r>
              <w:rPr>
                <w:rFonts w:ascii="Arial" w:cs="Arial" w:eastAsia="Arial" w:hAnsi="Arial"/>
                <w:sz w:val="18"/>
                <w:szCs w:val="18"/>
                <w:color w:val="auto"/>
              </w:rPr>
              <w:t>LAZARD LTD,</w:t>
            </w:r>
          </w:p>
        </w:tc>
      </w:tr>
      <w:tr>
        <w:trPr>
          <w:trHeight w:val="434"/>
        </w:trPr>
        <w:tc>
          <w:tcPr>
            <w:tcW w:w="3520" w:type="dxa"/>
            <w:vAlign w:val="bottom"/>
          </w:tcPr>
          <w:p>
            <w:pPr>
              <w:spacing w:after="0"/>
              <w:rPr>
                <w:sz w:val="24"/>
                <w:szCs w:val="24"/>
                <w:color w:val="auto"/>
              </w:rPr>
            </w:pPr>
          </w:p>
        </w:tc>
        <w:tc>
          <w:tcPr>
            <w:tcW w:w="2660" w:type="dxa"/>
            <w:vAlign w:val="bottom"/>
          </w:tcPr>
          <w:p>
            <w:pPr>
              <w:ind w:left="23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D. Hoffman</w:t>
            </w:r>
          </w:p>
        </w:tc>
      </w:tr>
      <w:tr>
        <w:trPr>
          <w:trHeight w:val="215"/>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Scott D. Hoffman</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Managing Director and General Counsel</w:t>
            </w:r>
          </w:p>
        </w:tc>
      </w:tr>
      <w:tr>
        <w:trPr>
          <w:trHeight w:val="412"/>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7900" w:type="dxa"/>
            <w:vAlign w:val="bottom"/>
            <w:gridSpan w:val="3"/>
          </w:tcPr>
          <w:p>
            <w:pPr>
              <w:ind w:left="2380"/>
              <w:spacing w:after="0"/>
              <w:rPr>
                <w:sz w:val="20"/>
                <w:szCs w:val="20"/>
                <w:color w:val="auto"/>
              </w:rPr>
            </w:pPr>
            <w:r>
              <w:rPr>
                <w:rFonts w:ascii="Arial" w:cs="Arial" w:eastAsia="Arial" w:hAnsi="Arial"/>
                <w:sz w:val="18"/>
                <w:szCs w:val="18"/>
                <w:color w:val="auto"/>
              </w:rPr>
              <w:t>LAZARD GROUP LLC</w:t>
            </w:r>
          </w:p>
        </w:tc>
      </w:tr>
      <w:tr>
        <w:trPr>
          <w:trHeight w:val="222"/>
        </w:trPr>
        <w:tc>
          <w:tcPr>
            <w:tcW w:w="3520" w:type="dxa"/>
            <w:vAlign w:val="bottom"/>
          </w:tcPr>
          <w:p>
            <w:pPr>
              <w:spacing w:after="0"/>
              <w:rPr>
                <w:sz w:val="19"/>
                <w:szCs w:val="19"/>
                <w:color w:val="auto"/>
              </w:rPr>
            </w:pPr>
          </w:p>
        </w:tc>
        <w:tc>
          <w:tcPr>
            <w:tcW w:w="7900" w:type="dxa"/>
            <w:vAlign w:val="bottom"/>
            <w:gridSpan w:val="3"/>
          </w:tcPr>
          <w:p>
            <w:pPr>
              <w:ind w:left="2380"/>
              <w:spacing w:after="0"/>
              <w:rPr>
                <w:sz w:val="20"/>
                <w:szCs w:val="20"/>
                <w:color w:val="auto"/>
              </w:rPr>
            </w:pPr>
            <w:r>
              <w:rPr>
                <w:rFonts w:ascii="Arial" w:cs="Arial" w:eastAsia="Arial" w:hAnsi="Arial"/>
                <w:sz w:val="18"/>
                <w:szCs w:val="18"/>
                <w:color w:val="auto"/>
              </w:rPr>
              <w:t>(on its behalf, and on behalf of its subsidiaries and affiliates),</w:t>
            </w:r>
          </w:p>
        </w:tc>
      </w:tr>
      <w:tr>
        <w:trPr>
          <w:trHeight w:val="434"/>
        </w:trPr>
        <w:tc>
          <w:tcPr>
            <w:tcW w:w="3520" w:type="dxa"/>
            <w:vAlign w:val="bottom"/>
          </w:tcPr>
          <w:p>
            <w:pPr>
              <w:spacing w:after="0"/>
              <w:rPr>
                <w:sz w:val="24"/>
                <w:szCs w:val="24"/>
                <w:color w:val="auto"/>
              </w:rPr>
            </w:pPr>
          </w:p>
        </w:tc>
        <w:tc>
          <w:tcPr>
            <w:tcW w:w="2660" w:type="dxa"/>
            <w:vAlign w:val="bottom"/>
          </w:tcPr>
          <w:p>
            <w:pPr>
              <w:ind w:left="23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D. Hoffman</w:t>
            </w:r>
          </w:p>
        </w:tc>
      </w:tr>
      <w:tr>
        <w:trPr>
          <w:trHeight w:val="215"/>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Scott D. Hoffman</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Managing Director and General Counsel</w:t>
            </w:r>
          </w:p>
        </w:tc>
      </w:tr>
    </w:tbl>
    <w:p>
      <w:pPr>
        <w:sectPr>
          <w:pgSz w:w="11900" w:h="16838" w:orient="portrait"/>
          <w:cols w:equalWidth="0" w:num="1">
            <w:col w:w="11420"/>
          </w:cols>
          <w:pgMar w:left="240" w:top="125" w:right="239" w:bottom="1440" w:gutter="0" w:footer="0" w:header="0"/>
        </w:sectPr>
      </w:pPr>
    </w:p>
    <w:bookmarkStart w:id="96" w:name="page97"/>
    <w:bookmarkEnd w:id="9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Name (as per Preamble):</w:t>
      </w:r>
      <w:r>
        <w:rPr>
          <w:sz w:val="20"/>
          <w:szCs w:val="20"/>
          <w:color w:val="auto"/>
        </w:rPr>
        <w:tab/>
      </w:r>
      <w:r>
        <w:rPr>
          <w:rFonts w:ascii="Arial" w:cs="Arial" w:eastAsia="Arial" w:hAnsi="Arial"/>
          <w:sz w:val="16"/>
          <w:szCs w:val="16"/>
          <w:color w:val="auto"/>
        </w:rPr>
        <w:t>Mr. Matthieu Bucaille</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Effective upon the effective date of the Second Amendment to this Agreement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jc w:val="both"/>
        <w:ind w:right="60" w:firstLine="921"/>
        <w:spacing w:after="0" w:line="335" w:lineRule="auto"/>
        <w:tabs>
          <w:tab w:leader="none" w:pos="1088" w:val="left"/>
        </w:tabs>
        <w:numPr>
          <w:ilvl w:val="0"/>
          <w:numId w:val="77"/>
        </w:numPr>
        <w:rPr>
          <w:rFonts w:ascii="Arial" w:cs="Arial" w:eastAsia="Arial" w:hAnsi="Arial"/>
          <w:sz w:val="15"/>
          <w:szCs w:val="15"/>
          <w:color w:val="auto"/>
        </w:rPr>
      </w:pPr>
      <w:r>
        <w:rPr>
          <w:rFonts w:ascii="Arial" w:cs="Arial" w:eastAsia="Arial" w:hAnsi="Arial"/>
          <w:sz w:val="15"/>
          <w:szCs w:val="15"/>
          <w:u w:val="single" w:color="auto"/>
          <w:color w:val="auto"/>
        </w:rPr>
        <w:t>Schedule Term.</w:t>
      </w:r>
      <w:r>
        <w:rPr>
          <w:rFonts w:ascii="Arial" w:cs="Arial" w:eastAsia="Arial" w:hAnsi="Arial"/>
          <w:sz w:val="15"/>
          <w:szCs w:val="15"/>
          <w:color w:val="auto"/>
        </w:rPr>
        <w:t xml:space="preserve"> For purposes of this Schedule I, the “Schedule Term” shall mean the period from the Second Amendment Effective Date through March 31, 2016, subject to earlier termination in accordance with this Agreement. Notwithstanding the foregoing, upon a Change in Control (as defined below), the Schedule Term shall automatically be renewed so that the Schedule Term is not less than two years from the effective date of such Change in Control.</w:t>
      </w:r>
    </w:p>
    <w:p>
      <w:pPr>
        <w:spacing w:after="0" w:line="88" w:lineRule="exact"/>
        <w:rPr>
          <w:rFonts w:ascii="Arial" w:cs="Arial" w:eastAsia="Arial" w:hAnsi="Arial"/>
          <w:sz w:val="15"/>
          <w:szCs w:val="15"/>
          <w:color w:val="auto"/>
        </w:rPr>
      </w:pPr>
    </w:p>
    <w:p>
      <w:pPr>
        <w:ind w:firstLine="921"/>
        <w:spacing w:after="0" w:line="284" w:lineRule="auto"/>
        <w:tabs>
          <w:tab w:leader="none" w:pos="1088"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Notwithstanding anything to the contrary contained in Sections 3(c)(i) and (ii) of this Agreement, subject to the Executive’s continued employment with the Firm, during the Schedule Term, the Executive shall be entitled to receive (i) an annual base salary of not less than $750,000 (“</w:t>
      </w:r>
      <w:r>
        <w:rPr>
          <w:rFonts w:ascii="Arial" w:cs="Arial" w:eastAsia="Arial" w:hAnsi="Arial"/>
          <w:sz w:val="16"/>
          <w:szCs w:val="16"/>
          <w:u w:val="single" w:color="auto"/>
          <w:color w:val="auto"/>
        </w:rPr>
        <w:t>Base Salary</w:t>
      </w:r>
      <w:r>
        <w:rPr>
          <w:rFonts w:ascii="Arial" w:cs="Arial" w:eastAsia="Arial" w:hAnsi="Arial"/>
          <w:sz w:val="16"/>
          <w:szCs w:val="16"/>
          <w:color w:val="auto"/>
        </w:rPr>
        <w:t>”) and (ii) so long as the Executive remains employed by the Firm through the end of the applicable fiscal year of Lazard (except as otherwise provided below in this Schedule I), an annual bonus to be determined under the terms of the applicable annual bonus plan of Lazard on the same basis as annual bonuses are determined for other executive officers of PubliCo, with such annual bonus to be paid in the same ratio of cash to equity awards as is applicable to executives of the Firm receiving annual bonuses at a level comparable to the annual bonus of the Executive. For purposes hereof, the term Base Salary shall refer to Base Salary as in effect from time to time, including any increases thereto. Notwithstanding anything to the contrary contained in Section 3(c)(iv) of this Agreement, subject to the Executive’s continued employment with the Firm, the Executive shall continue to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 Furthermore, subject to the Executive’s continued employment in New York, the Executive shall be entitled to reimbursement (A) in an amount not to exceed $10,000 per month, for the rent on the Executive’s residence in the New York City metropolitan area (the “</w:t>
      </w:r>
      <w:r>
        <w:rPr>
          <w:rFonts w:ascii="Arial" w:cs="Arial" w:eastAsia="Arial" w:hAnsi="Arial"/>
          <w:sz w:val="16"/>
          <w:szCs w:val="16"/>
          <w:u w:val="single" w:color="auto"/>
          <w:color w:val="auto"/>
        </w:rPr>
        <w:t>Housing Allowance</w:t>
      </w:r>
      <w:r>
        <w:rPr>
          <w:rFonts w:ascii="Arial" w:cs="Arial" w:eastAsia="Arial" w:hAnsi="Arial"/>
          <w:sz w:val="16"/>
          <w:szCs w:val="16"/>
          <w:color w:val="auto"/>
        </w:rPr>
        <w:t>”) and (B) for private school tuition for each of the Executive’s children who is under the age of 18 years old (the “</w:t>
      </w:r>
      <w:r>
        <w:rPr>
          <w:rFonts w:ascii="Arial" w:cs="Arial" w:eastAsia="Arial" w:hAnsi="Arial"/>
          <w:sz w:val="16"/>
          <w:szCs w:val="16"/>
          <w:u w:val="single" w:color="auto"/>
          <w:color w:val="auto"/>
        </w:rPr>
        <w:t>Tuition Reimbursement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Lazard triggers the provisions of Section 3(b)(i)(B) of this Agreement, the Executive shall be entitled to (i) the Tuition Reimbursement for tuition attributable to periods through the end of the academic year in which such change in position occurs and (ii) the Housing Allowance through the later of the end of such academic year and 60 days after such change in position. Within 30 days following the end of each calendar quarter during which the Executive is entitled to the Housing Allowance and Tuition Reimbursement, the Executive will provide the Firm with an invoice that sets forth the amount, if any, incurred with respect to the Housing Allowance and the Tuition Reimbursement during the preceding calendar quarter.</w:t>
      </w:r>
    </w:p>
    <w:p>
      <w:pPr>
        <w:sectPr>
          <w:pgSz w:w="11900" w:h="16838" w:orient="portrait"/>
          <w:cols w:equalWidth="0" w:num="1">
            <w:col w:w="11360"/>
          </w:cols>
          <w:pgMar w:left="240" w:top="274" w:right="299" w:bottom="1440" w:gutter="0" w:footer="0" w:header="0"/>
        </w:sectPr>
      </w:pPr>
    </w:p>
    <w:bookmarkStart w:id="97" w:name="page98"/>
    <w:bookmarkEnd w:id="9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Within 30 days following the Firm’s receipt of each such invoice, the Firm shall pay the Executive an amount in cash in U.S. dollars equal to the amount set forth on the invoice;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Housing Allowance, the amount of such payment and any previously reimbursed payments shall not exceed the maximum amount set forth in this paragraph 2. Any amount reimbursed to the Executive with respect to each of the Housing Allowance, the Tuition Reimbursement and the Relocation Reimbursement (as defined below) in any given calendar year shall not affect the amount reimbursed in any other calendar year, and the Executive’s right to reimbursement with respect to each of the Housing Allowance, the Tuition Reimbursement and the Relocation Reimbursement may not be liquidated or exchanged for any other benefit. Subject to the Executive’s continued employment, with respect to the period during the Schedule Term in which the Executive is entitled to the Housing Allowance and Tuition Reimbursement, and if the Executive becomes entitled to the Relocation Reimbursement, the Executive shall be entitled to an additional payment (an “</w:t>
      </w:r>
      <w:r>
        <w:rPr>
          <w:rFonts w:ascii="Arial" w:cs="Arial" w:eastAsia="Arial" w:hAnsi="Arial"/>
          <w:sz w:val="16"/>
          <w:szCs w:val="16"/>
          <w:u w:val="single" w:color="auto"/>
          <w:color w:val="auto"/>
        </w:rPr>
        <w:t>Additional Payment</w:t>
      </w:r>
      <w:r>
        <w:rPr>
          <w:rFonts w:ascii="Arial" w:cs="Arial" w:eastAsia="Arial" w:hAnsi="Arial"/>
          <w:sz w:val="16"/>
          <w:szCs w:val="16"/>
          <w:color w:val="auto"/>
        </w:rPr>
        <w:t>”) with respect to the Housing Allowance, the Tuition Reimbursement and the Relocation Reimbursement, as applicable, in an amount such that after payment by the Executive of all taxes (including any interest or penalties imposed with respect to such taxes), including, without limitation, any income taxes (and any interest and penalties imposed with respect thereto) upon the Additional Payment, but excluding any income taxes and penalties imposed pursuant to Section 409A of the Code, the Executive retains an amount of the Additional Payment equal to all taxes upon the Housing Allowance, the Tuition Reimbursement and the Relocation Reimbursement, as applicable (such taxes, the “</w:t>
      </w:r>
      <w:r>
        <w:rPr>
          <w:rFonts w:ascii="Arial" w:cs="Arial" w:eastAsia="Arial" w:hAnsi="Arial"/>
          <w:sz w:val="16"/>
          <w:szCs w:val="16"/>
          <w:u w:val="single" w:color="auto"/>
          <w:color w:val="auto"/>
        </w:rPr>
        <w:t>Additional Taxes</w:t>
      </w:r>
      <w:r>
        <w:rPr>
          <w:rFonts w:ascii="Arial" w:cs="Arial" w:eastAsia="Arial" w:hAnsi="Arial"/>
          <w:sz w:val="16"/>
          <w:szCs w:val="16"/>
          <w:color w:val="auto"/>
        </w:rPr>
        <w:t>”). The Additional Payment shall in all events be paid no later than the end of the Executive’s taxable year next following the Executive’s taxable year in which the relevant Additional Taxes (and any income or other related taxes or interest or penalties thereon) on the Housing Allowance, the Tuition Reimbursement or the Relocation Reimbursement, as applicable, are remitted to the Internal Revenue Service or any other applicable taxing authority or, in the case of amounts relating to a claim from the Internal Revenue Service or another tax authority that does not result in the remittance of any federal, state, local and foreign income, excise, social security and other taxes, the calendar year in which the claim is finally settled or otherwise resolved. Notwithstanding any other provision of this paragraph 2, the Firm may, in its sole discretion, withhold and pay over to the Internal Revenue Service or any other applicable taxing authority, for the benefit of the Executive, all or any portion of any Additional Payment, and the Executive hereby consents to such withholding.</w:t>
      </w:r>
    </w:p>
    <w:p>
      <w:pPr>
        <w:spacing w:after="0" w:line="131" w:lineRule="exact"/>
        <w:rPr>
          <w:sz w:val="20"/>
          <w:szCs w:val="20"/>
          <w:color w:val="auto"/>
        </w:rPr>
      </w:pPr>
    </w:p>
    <w:p>
      <w:pPr>
        <w:ind w:right="20" w:firstLine="921"/>
        <w:spacing w:after="0" w:line="283" w:lineRule="auto"/>
        <w:tabs>
          <w:tab w:leader="none" w:pos="1088"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under Certain Circumstances.</w:t>
      </w:r>
      <w:r>
        <w:rPr>
          <w:rFonts w:ascii="Arial" w:cs="Arial" w:eastAsia="Arial" w:hAnsi="Arial"/>
          <w:sz w:val="16"/>
          <w:szCs w:val="16"/>
          <w:color w:val="auto"/>
        </w:rPr>
        <w:t xml:space="preserve"> Notwithstanding anything to the contrary contained in Section 3(d) of this Agreement, in the event that during the Schedule Term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or its Affiliate shall pay the Executive (subject to the Executive delivering a waiver and release in accordance with this paragraph 3 of this Schedule I in the event such Qualifying Termination occurs prior to a Change in Control), in a lump sum in cash on the 61st day after the Date of Termination (as defined below), the aggregate of the following amounts: (i) any unpaid Base Salary through the Date of Termination; (ii) any earned and unpaid bonus amounts for fiscal years of Lazard completed prior to the Date of Termination (determined in accordance with paragraph 2 of this Schedule I and with any such bonus to be paid in full in cash); and (iii) the product of (1) the “</w:t>
      </w:r>
      <w:r>
        <w:rPr>
          <w:rFonts w:ascii="Arial" w:cs="Arial" w:eastAsia="Arial" w:hAnsi="Arial"/>
          <w:sz w:val="16"/>
          <w:szCs w:val="16"/>
          <w:u w:val="single" w:color="auto"/>
          <w:color w:val="auto"/>
        </w:rPr>
        <w:t>Severance Multiple</w:t>
      </w:r>
      <w:r>
        <w:rPr>
          <w:rFonts w:ascii="Arial" w:cs="Arial" w:eastAsia="Arial" w:hAnsi="Arial"/>
          <w:sz w:val="16"/>
          <w:szCs w:val="16"/>
          <w:color w:val="auto"/>
        </w:rPr>
        <w:t>” (as defined below) and</w:t>
      </w:r>
    </w:p>
    <w:p>
      <w:pPr>
        <w:ind w:right="60" w:firstLine="8"/>
        <w:spacing w:after="0" w:line="261"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sum of (x) the Base Salary and (y) the average annual bonus (or, to the extent applicable, cash distributions, and including any bonuses paid in the form of equity-based or fund interest</w:t>
      </w:r>
    </w:p>
    <w:p>
      <w:pPr>
        <w:sectPr>
          <w:pgSz w:w="11900" w:h="16838" w:orient="portrait"/>
          <w:cols w:equalWidth="0" w:num="1">
            <w:col w:w="11420"/>
          </w:cols>
          <w:pgMar w:left="240" w:top="280" w:right="239" w:bottom="1440" w:gutter="0" w:footer="0" w:header="0"/>
        </w:sectPr>
      </w:pPr>
    </w:p>
    <w:bookmarkStart w:id="98" w:name="page99"/>
    <w:bookmarkEnd w:id="9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6"/>
          <w:szCs w:val="16"/>
          <w:u w:val="single" w:color="auto"/>
          <w:color w:val="auto"/>
        </w:rPr>
        <w:t>Average Bonus</w:t>
      </w:r>
      <w:r>
        <w:rPr>
          <w:rFonts w:ascii="Arial" w:cs="Arial" w:eastAsia="Arial" w:hAnsi="Arial"/>
          <w:sz w:val="16"/>
          <w:szCs w:val="16"/>
          <w:color w:val="auto"/>
        </w:rPr>
        <w:t>”). In addition, upon a Qualifying Termination, for a period of months equal to the product of (A) 12 and (B) the Severance Multiple (the “Benefit Continuation Period”), the Executive and his eligible dependents shall continue to be eligible to participate in the medical and dental benefit plans of the Firm on the same basis as the Executive participated in such plans immediately prior to the Date of Termination, to the extent that the applicable plan permits such continued participation for all or any portion of such period (it being agreed that the Firm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the Firm.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w:t>
      </w:r>
    </w:p>
    <w:p>
      <w:pPr>
        <w:spacing w:after="0" w:line="12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 addition, in the case of (a) a Qualifying Termination during the Schedule Term or (b) the Executive’s death or termination due to Disability during the Schedule Term, with respect to the fiscal year of Lazard during which the Date of Termination occurs, the Executive or his estate, as applicable, shall receive a pro-rata annual bonus payable in cash determined as follows:</w:t>
      </w:r>
    </w:p>
    <w:p>
      <w:pPr>
        <w:spacing w:after="0" w:line="59" w:lineRule="exact"/>
        <w:rPr>
          <w:sz w:val="20"/>
          <w:szCs w:val="20"/>
          <w:color w:val="auto"/>
        </w:rPr>
      </w:pPr>
    </w:p>
    <w:p>
      <w:pPr>
        <w:ind w:left="1120" w:hanging="217"/>
        <w:spacing w:after="0"/>
        <w:tabs>
          <w:tab w:leader="none" w:pos="11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if, with respect to the fiscal year during which the Date of Termination occurs (other than (x) as a result of the Executive’s death or Disability or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following a Change in Control), (A) the Executive was reasonably expected by Lazard to be a “covered employee” (within the meaning of</w:t>
      </w:r>
    </w:p>
    <w:p>
      <w:pPr>
        <w:spacing w:after="0" w:line="32"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Section 162(m) of the Internal Revenue Code of 1986, as amended and the regulations promulgated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(1)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who received bonuses for such prior fiscal year in amounts within 5% of the Executive’s bonus for such prior fiscal year), and (2)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6"/>
          <w:szCs w:val="16"/>
          <w:u w:val="single" w:color="auto"/>
          <w:color w:val="auto"/>
        </w:rPr>
        <w:t>Pro-Ration Fraction</w:t>
      </w:r>
      <w:r>
        <w:rPr>
          <w:rFonts w:ascii="Arial" w:cs="Arial" w:eastAsia="Arial" w:hAnsi="Arial"/>
          <w:sz w:val="16"/>
          <w:szCs w:val="16"/>
          <w:color w:val="auto"/>
        </w:rPr>
        <w:t>”); or</w:t>
      </w:r>
    </w:p>
    <w:p>
      <w:pPr>
        <w:sectPr>
          <w:pgSz w:w="11900" w:h="16838" w:orient="portrait"/>
          <w:cols w:equalWidth="0" w:num="1">
            <w:col w:w="11420"/>
          </w:cols>
          <w:pgMar w:left="240" w:top="280" w:right="239" w:bottom="1440" w:gutter="0" w:footer="0" w:header="0"/>
        </w:sectPr>
      </w:pPr>
    </w:p>
    <w:bookmarkStart w:id="99" w:name="page100"/>
    <w:bookmarkEnd w:id="99"/>
    <w:p>
      <w:pPr>
        <w:ind w:left="460" w:right="40" w:firstLine="443"/>
        <w:spacing w:after="0" w:line="294" w:lineRule="auto"/>
        <w:tabs>
          <w:tab w:leader="none" w:pos="1157"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either (A) with respect to the fiscal year during which the Date of Termination occurs, (1) the Executive is not reasonably expected by Lazard to be a “covered employee” (within the meaning of Section 162(m) of the Code) prior to his Date of Termination or (2) such termination is a result of the Executive’s death or Disability or occurs following a Change in Control or (B)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(x) the Average Bonus and (y) the Pro-Ration Fraction.</w:t>
      </w:r>
    </w:p>
    <w:p>
      <w:pPr>
        <w:spacing w:after="0" w:line="11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pro-rata annual bonus determined pursuant to clause (i) or (ii) above, as applicable, shall be paid at such time or times as Lazard otherwise makes incentive payments for such fiscal year (and in all events no earlier than January 1st, and no later than March 15th, of the year following the year in which the Date of Termination occurs).</w:t>
      </w:r>
    </w:p>
    <w:p>
      <w:pPr>
        <w:spacing w:after="0" w:line="14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Notwithstanding the foregoing, the payments and benefits (other than any earned and unpaid compensation described in clauses (i) and (ii) of the first paragraph of this paragraph 3 of this Schedule I) payable to the Executive pursuant to this paragraph 3 of this Schedule 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Exhibit A that has become effective and irrevocable in accordance with its terms (such requirement to execute a release, the “</w:t>
      </w:r>
      <w:r>
        <w:rPr>
          <w:rFonts w:ascii="Arial" w:cs="Arial" w:eastAsia="Arial" w:hAnsi="Arial"/>
          <w:sz w:val="18"/>
          <w:szCs w:val="18"/>
          <w:u w:val="single" w:color="auto"/>
          <w:color w:val="auto"/>
        </w:rPr>
        <w:t>Release Requirement</w:t>
      </w:r>
      <w:r>
        <w:rPr>
          <w:rFonts w:ascii="Arial" w:cs="Arial" w:eastAsia="Arial" w:hAnsi="Arial"/>
          <w:sz w:val="18"/>
          <w:szCs w:val="18"/>
          <w:color w:val="auto"/>
        </w:rPr>
        <w:t>”). Notwithstanding the foregoing, the Release Requirement shall lapse upon a Change in Control.</w:t>
      </w:r>
    </w:p>
    <w:p>
      <w:pPr>
        <w:spacing w:after="0" w:line="144"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For all purposes of this Agreement, including without limitation, Sections 2(g)(ii) and 5(a), and for all purposes of the outstanding equity-based awards, fund interest awards and any similar awards held by the Executive as of the Date of Termination (as defined in this Schedule I) (collectively, the “Awards”), a resignation by the Executive for Good Reason during the Term shall be treated as a termination of the Executive by the Firm without Cause or as a Termination of Employment by the Firm other than for Cause (as such phrase or similar phrases are defined in the Plan (as defined in paragraph 4 of this Schedule I) or the award agreements governing the Awards), as applicable.</w:t>
      </w:r>
    </w:p>
    <w:p>
      <w:pPr>
        <w:spacing w:after="0" w:line="143"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paragraph 3 of this Schedule I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xml:space="preserve"> For purposes of this Agreement and this Schedule I, as applicable, the following terms shall have the following meanings:</w:t>
      </w:r>
    </w:p>
    <w:p>
      <w:pPr>
        <w:sectPr>
          <w:pgSz w:w="11900" w:h="16838" w:orient="portrait"/>
          <w:cols w:equalWidth="0" w:num="1">
            <w:col w:w="11400"/>
          </w:cols>
          <w:pgMar w:left="240" w:top="280" w:right="259" w:bottom="1440" w:gutter="0" w:footer="0" w:header="0"/>
        </w:sectPr>
      </w:pPr>
    </w:p>
    <w:bookmarkStart w:id="100" w:name="page101"/>
    <w:bookmarkEnd w:id="100"/>
    <w:p>
      <w:pPr>
        <w:ind w:right="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assigned to it in the Lazard 2008 Incentive Compensation Plan, as it may be amended from time to time, or any successor plan thereto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32"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Notwithstanding the definition of “Date of Termination” set forth in Section 5 of this Agreement, for all purposes of this Agreement, including Section 5, and this Schedule I,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the Firm formally notifies the Executive in writing that it does not intend to cure, unless the Firm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including this Schedule I, constitutes a “separation from service” within the meaning of Section 409A of the Code, and notwithstanding anything contained herein (or in this Agreement) to the contrary, (x) to the extent that any amounts owed to the Executive under this Agreement (including this Schedule I)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without limitation, the default presumptions thereof and (y) the date on which such separation from service takes place shall be the “Date of Termination”.</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Notwithstanding the definition of “Cause” set forth in Section 2(g)(iv) of this Agreement, for all purposes of this Agreement, including Section 2(g)</w:t>
      </w:r>
    </w:p>
    <w:p>
      <w:pPr>
        <w:spacing w:after="0" w:line="38" w:lineRule="exact"/>
        <w:rPr>
          <w:sz w:val="20"/>
          <w:szCs w:val="20"/>
          <w:color w:val="auto"/>
        </w:rPr>
      </w:pPr>
    </w:p>
    <w:p>
      <w:pPr>
        <w:ind w:right="200" w:firstLine="8"/>
        <w:spacing w:after="0" w:line="281" w:lineRule="auto"/>
        <w:tabs>
          <w:tab w:leader="none" w:pos="297"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and this Schedule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w:t>
      </w:r>
    </w:p>
    <w:p>
      <w:pPr>
        <w:spacing w:after="0" w:line="2"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(C) willful and deliberate failure on the part of the Executive (other than any such failure resulting from incapacity due to physical or mental illness or following the Firm’s termination of the Executive other than for Cause or the Executive’s termination for Good Reason in accordance with this Schedule I) (i) to perform his employment duties in any material respect or (ii) to follow specific reasonable directions received from (x) the Firm’s Chief Executive Officer or the Audit Committee of the Board of Directors of PubliCo, if the Executive is then serving as Chief</w:t>
      </w:r>
    </w:p>
    <w:p>
      <w:pPr>
        <w:sectPr>
          <w:pgSz w:w="11900" w:h="16838" w:orient="portrait"/>
          <w:cols w:equalWidth="0" w:num="1">
            <w:col w:w="11420"/>
          </w:cols>
          <w:pgMar w:left="240" w:top="280" w:right="239" w:bottom="1440" w:gutter="0" w:footer="0" w:header="0"/>
        </w:sectPr>
      </w:pPr>
    </w:p>
    <w:bookmarkStart w:id="101" w:name="page102"/>
    <w:bookmarkEnd w:id="10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Financial Officer of PubliCo and Lazard or (y) the Chief Executive Officer of Lazard Frères SAS, if the Executive is then serving as </w:t>
      </w:r>
      <w:r>
        <w:rPr>
          <w:rFonts w:ascii="Arial" w:cs="Arial" w:eastAsia="Arial" w:hAnsi="Arial"/>
          <w:sz w:val="16"/>
          <w:szCs w:val="16"/>
          <w:i w:val="1"/>
          <w:iCs w:val="1"/>
          <w:color w:val="auto"/>
        </w:rPr>
        <w:t>Associe-Gerant</w:t>
      </w:r>
      <w:r>
        <w:rPr>
          <w:rFonts w:ascii="Arial" w:cs="Arial" w:eastAsia="Arial" w:hAnsi="Arial"/>
          <w:sz w:val="16"/>
          <w:szCs w:val="16"/>
          <w:color w:val="auto"/>
        </w:rPr>
        <w:t xml:space="preserve"> and Vice Chairman of European Investment Banking of Lazard Frères SAS, in each case following written notice to the Executive of such failure and, if such failure is curable, the Executive’s failing to cure such failure within a reasonable time (but in no event less than thirty (30) days after actual receipt by the Executive of such written notice); or (D) a breach of the Covenants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(B), (C)(i) and (D) hereof, the Executive’s acts or failure to act shall not constitute Cause to the extent taken (or not taken) based upon the direct advice of counsel to the Firm or the direct instructions of the Firm’s Chief Executive Officer, the Audit Committee of the Board of Directors of PubliCo or, solely if the Executive is then serving as </w:t>
      </w:r>
      <w:r>
        <w:rPr>
          <w:rFonts w:ascii="Arial" w:cs="Arial" w:eastAsia="Arial" w:hAnsi="Arial"/>
          <w:sz w:val="16"/>
          <w:szCs w:val="16"/>
          <w:i w:val="1"/>
          <w:iCs w:val="1"/>
          <w:color w:val="auto"/>
        </w:rPr>
        <w:t>Associe-Gerant</w:t>
      </w:r>
      <w:r>
        <w:rPr>
          <w:rFonts w:ascii="Arial" w:cs="Arial" w:eastAsia="Arial" w:hAnsi="Arial"/>
          <w:sz w:val="16"/>
          <w:szCs w:val="16"/>
          <w:color w:val="auto"/>
        </w:rPr>
        <w:t xml:space="preserve"> and Vice Chairman of European Investment Banking of Lazard Frères SAS, the Chief Executive Officer of Lazard Frères SAS. Except in the case of a termination of the Executive’s employment under clause (A)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6"/>
          <w:szCs w:val="16"/>
          <w:u w:val="single" w:color="auto"/>
          <w:color w:val="auto"/>
        </w:rPr>
        <w:t>Applicable Board</w:t>
      </w:r>
      <w:r>
        <w:rPr>
          <w:rFonts w:ascii="Arial" w:cs="Arial" w:eastAsia="Arial" w:hAnsi="Arial"/>
          <w:sz w:val="16"/>
          <w:szCs w:val="16"/>
          <w:color w:val="auto"/>
        </w:rPr>
        <w:t>”) finding that, in the good faith opinion of the Applicable Board, circumstances constituting Cause exist.</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(including status, offices, titles and reporting requirements), authority, duties or responsibilities from those contemplated by Section 3(b)(i)(A) or (B),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of this Agreement (without regard to the expiration of the Schedule Term and which, in the event of a Change in Control, shall be deemed to be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described in Section 3(b)(i) that applied to the Executive as of the date of such Change in Control), or any other action by the Firm which results in a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diminution in such position (including status, offices, titles and reporting requirements), authority, duties or responsibilities from those contemplated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3(b)(i)(A) or (B), as applicable, of this Agreement (without regard to the expiration of the Schedule Term and which, in the event of a Change in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deemed to be those described in Section 3(b)(i) that applied to the Executive as of immediately prior to the date of such Change in Control), (ii)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 breach by the Firm of the terms of this Agreement, including, without limitation, any material failure by the Firm to comply with paragraph 2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I or the nondisparagement covenant in Section 8 of this Agreement, or (iii) without the Executive’s written consent, any requirement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Executive’s principal place of employment be relocated to a location that increases the Executive’s commute from his primary residence in New York City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Paris, France, as applicable, by more than thirty (30) miles, and which, in the event of a Change in Control, shall be deemed to be the principal place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employment applicable to the Executive as of immediately prior to the date of such Change in Control. In the event of a termination for Good Reason, the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of Section 1 of this Agreement shall not apply. Notwithstanding the foregoing, a termination for Good Reason shall not have occurred unless (i)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gives written notice to Lazard of termination of employment within ninety (90) days after the Executive first becomes aware of the occurrence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circumstances constituting Good Reason,</w:t>
      </w:r>
    </w:p>
    <w:p>
      <w:pPr>
        <w:sectPr>
          <w:pgSz w:w="11900" w:h="16838" w:orient="portrait"/>
          <w:cols w:equalWidth="0" w:num="1">
            <w:col w:w="11420"/>
          </w:cols>
          <w:pgMar w:left="240" w:top="280" w:right="239" w:bottom="1440" w:gutter="0" w:footer="0" w:header="0"/>
        </w:sectPr>
      </w:pPr>
    </w:p>
    <w:bookmarkStart w:id="102" w:name="page103"/>
    <w:bookmarkEnd w:id="102"/>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specifying in reasonable detail the circumstances constituting Good Reason, and Lazard has failed within thirty (30) days after receipt of such notice to cure (if capable of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Multiple</w:t>
      </w:r>
      <w:r>
        <w:rPr>
          <w:rFonts w:ascii="Arial" w:cs="Arial" w:eastAsia="Arial" w:hAnsi="Arial"/>
          <w:sz w:val="18"/>
          <w:szCs w:val="18"/>
          <w:color w:val="auto"/>
        </w:rPr>
        <w:t>” shall equal two (2).</w:t>
      </w:r>
    </w:p>
    <w:p>
      <w:pPr>
        <w:spacing w:after="0" w:line="171" w:lineRule="exact"/>
        <w:rPr>
          <w:sz w:val="20"/>
          <w:szCs w:val="20"/>
          <w:color w:val="auto"/>
        </w:rPr>
      </w:pPr>
    </w:p>
    <w:p>
      <w:pPr>
        <w:ind w:firstLine="921"/>
        <w:spacing w:after="0" w:line="284" w:lineRule="auto"/>
        <w:tabs>
          <w:tab w:leader="none" w:pos="1088"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Certain Limitations on Payments.</w:t>
      </w:r>
      <w:r>
        <w:rPr>
          <w:rFonts w:ascii="Arial" w:cs="Arial" w:eastAsia="Arial" w:hAnsi="Arial"/>
          <w:sz w:val="16"/>
          <w:szCs w:val="16"/>
          <w:color w:val="auto"/>
        </w:rPr>
        <w:t xml:space="preserve">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6"/>
          <w:szCs w:val="16"/>
          <w:u w:val="single" w:color="auto"/>
          <w:color w:val="auto"/>
        </w:rPr>
        <w:t>Accountant</w:t>
      </w:r>
      <w:r>
        <w:rPr>
          <w:rFonts w:ascii="Arial" w:cs="Arial" w:eastAsia="Arial" w:hAnsi="Arial"/>
          <w:sz w:val="16"/>
          <w:szCs w:val="16"/>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 (within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Arial" w:cs="Arial" w:eastAsia="Arial" w:hAnsi="Arial"/>
          <w:sz w:val="16"/>
          <w:szCs w:val="16"/>
          <w:u w:val="single" w:color="auto"/>
          <w:color w:val="auto"/>
        </w:rPr>
        <w:t>Parachute Payments</w:t>
      </w:r>
      <w:r>
        <w:rPr>
          <w:rFonts w:ascii="Arial" w:cs="Arial" w:eastAsia="Arial" w:hAnsi="Arial"/>
          <w:sz w:val="16"/>
          <w:szCs w:val="16"/>
          <w:color w:val="auto"/>
        </w:rPr>
        <w:t>”) that, but for this paragraph 5 of this Schedule I,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aggregate amount of Parachute Payments payable to the Executive shall equal the amount that produces the greatest after-tax benefit to the Executive after taking into account first any positions to mitigate such Excise Tax (including, without limitation, mitigation under a “reasonable compensation” analysis) and second any Excise Tax payable by the 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Arial" w:cs="Arial" w:eastAsia="Arial" w:hAnsi="Arial"/>
          <w:sz w:val="16"/>
          <w:szCs w:val="16"/>
          <w:u w:val="single" w:color="auto"/>
          <w:color w:val="auto"/>
        </w:rPr>
        <w:t>Agreement Payments</w:t>
      </w:r>
      <w:r>
        <w:rPr>
          <w:rFonts w:ascii="Arial" w:cs="Arial" w:eastAsia="Arial" w:hAnsi="Arial"/>
          <w:sz w:val="16"/>
          <w:szCs w:val="16"/>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131"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In connection with making determinations under this paragraph 5 of this Schedule I and determining the Excise Tax (if any), the Accountant shall take into account the value of any reasonable compensation for services to be rendered by the Executive before or after the change of control, including, without limitation,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paragraph 3 of this Schedule I are</w:t>
      </w:r>
    </w:p>
    <w:p>
      <w:pPr>
        <w:sectPr>
          <w:pgSz w:w="11900" w:h="16838" w:orient="portrait"/>
          <w:cols w:equalWidth="0" w:num="1">
            <w:col w:w="11400"/>
          </w:cols>
          <w:pgMar w:left="240" w:top="280" w:right="259" w:bottom="1440" w:gutter="0" w:footer="0" w:header="0"/>
        </w:sectPr>
      </w:pPr>
    </w:p>
    <w:bookmarkStart w:id="103" w:name="page104"/>
    <w:bookmarkEnd w:id="103"/>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paragraph 5 of this Schedule I shall be borne by the Firm, and the Firm shall reimburse the Executive for all reasonable legal fees incurred with respect to the calculations under this paragraph 5 of this Schedule I and any reasonable legal and accounting fees incurred with respect to disputes related thereto.</w:t>
      </w:r>
    </w:p>
    <w:p>
      <w:pPr>
        <w:spacing w:after="0" w:line="116" w:lineRule="exact"/>
        <w:rPr>
          <w:sz w:val="20"/>
          <w:szCs w:val="20"/>
          <w:color w:val="auto"/>
        </w:rPr>
      </w:pPr>
    </w:p>
    <w:p>
      <w:pPr>
        <w:ind w:firstLine="921"/>
        <w:spacing w:after="0" w:line="284" w:lineRule="auto"/>
        <w:tabs>
          <w:tab w:leader="none" w:pos="1088"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It is the intention of the parties that the payments and benefits to which the Executive could become entitled pursuant to this Agreement (including this Schedule I),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paragraph 3 of this Schedule I on account of the Executive’s termination of employment which is an “involuntary separation from service” (within the meaning of Treasury Regulation Section 1.409A-1(n)) shall be paid as provided under paragraph 3 of this Schedule I and in no event later than March 15 of the year following the year in which the Date of Termination occurs. In the event the parties determine that the terms of this Agreement, including this Schedule I, do not comply with Section 409A of the Code, they will negotiate reasonably and in good faith to amend the terms of this Agreement and/or Schedule I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(including this Schedule I)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Schedule I or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w:t>
      </w:r>
    </w:p>
    <w:p>
      <w:pPr>
        <w:sectPr>
          <w:pgSz w:w="11900" w:h="16838" w:orient="portrait"/>
          <w:cols w:equalWidth="0" w:num="1">
            <w:col w:w="11400"/>
          </w:cols>
          <w:pgMar w:left="240" w:top="280" w:right="25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the Executive’s employment, then such payment or benefit will instead be paid, with interest at the applicable federal rate provided for in</w:t>
      </w:r>
    </w:p>
    <w:p>
      <w:pPr>
        <w:spacing w:after="0" w:line="3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Section 7872(f)(2)(A) of the Code (“</w:t>
      </w:r>
      <w:r>
        <w:rPr>
          <w:rFonts w:ascii="Arial" w:cs="Arial" w:eastAsia="Arial" w:hAnsi="Arial"/>
          <w:sz w:val="16"/>
          <w:szCs w:val="16"/>
          <w:u w:val="single" w:color="auto"/>
          <w:color w:val="auto"/>
        </w:rPr>
        <w:t>Interest</w:t>
      </w:r>
      <w:r>
        <w:rPr>
          <w:rFonts w:ascii="Arial" w:cs="Arial" w:eastAsia="Arial" w:hAnsi="Arial"/>
          <w:sz w:val="16"/>
          <w:szCs w:val="16"/>
          <w:color w:val="auto"/>
        </w:rPr>
        <w:t>”) determined as of the Date of Termination, as provided below in this paragraph 6 of this Schedule I.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or this Schedule I, as the case may be.</w:t>
      </w:r>
    </w:p>
    <w:p>
      <w:pPr>
        <w:spacing w:after="0" w:line="198" w:lineRule="exact"/>
        <w:rPr>
          <w:sz w:val="20"/>
          <w:szCs w:val="20"/>
          <w:color w:val="auto"/>
        </w:rPr>
      </w:pPr>
    </w:p>
    <w:p>
      <w:pPr>
        <w:ind w:left="1100" w:hanging="179"/>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sz w:val="20"/>
          <w:szCs w:val="20"/>
          <w:color w:val="auto"/>
        </w:rPr>
      </w:pPr>
    </w:p>
    <w:p>
      <w:pPr>
        <w:ind w:right="120" w:firstLine="913"/>
        <w:spacing w:after="0" w:line="302" w:lineRule="auto"/>
        <w:rPr>
          <w:sz w:val="20"/>
          <w:szCs w:val="20"/>
          <w:color w:val="auto"/>
        </w:rPr>
      </w:pPr>
      <w:r>
        <w:rPr>
          <w:rFonts w:ascii="Arial" w:cs="Arial" w:eastAsia="Arial" w:hAnsi="Arial"/>
          <w:sz w:val="15"/>
          <w:szCs w:val="15"/>
          <w:u w:val="single" w:color="auto"/>
          <w:color w:val="auto"/>
        </w:rPr>
        <w:t>Section 3(b)</w:t>
      </w:r>
      <w:r>
        <w:rPr>
          <w:rFonts w:ascii="Arial" w:cs="Arial" w:eastAsia="Arial" w:hAnsi="Arial"/>
          <w:sz w:val="15"/>
          <w:szCs w:val="15"/>
          <w:color w:val="auto"/>
        </w:rPr>
        <w:t xml:space="preserve">. Section 3(b) of this Agreement is hereby amended to replace the first sentence thereof with the following: During the Schedule Term (as defined in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attached hereto), the Executive shall continue to (i) serve as either, in Lazard’s sole discretion, (A) the Chief Financial Officer of PubliCo and Lazard, with such authority, duties and responsibilities as are consistent with the authority, duties and responsibilities exercised by the Executive on the Second Amendment Effective Date (as defined in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attached hereto) or (B) </w:t>
      </w:r>
      <w:r>
        <w:rPr>
          <w:rFonts w:ascii="Arial" w:cs="Arial" w:eastAsia="Arial" w:hAnsi="Arial"/>
          <w:sz w:val="15"/>
          <w:szCs w:val="15"/>
          <w:i w:val="1"/>
          <w:iCs w:val="1"/>
          <w:color w:val="auto"/>
        </w:rPr>
        <w:t>Associe-Gerant</w:t>
      </w:r>
      <w:r>
        <w:rPr>
          <w:rFonts w:ascii="Arial" w:cs="Arial" w:eastAsia="Arial" w:hAnsi="Arial"/>
          <w:sz w:val="15"/>
          <w:szCs w:val="15"/>
          <w:color w:val="auto"/>
        </w:rPr>
        <w:t xml:space="preserve"> and Vice Chairman of European Investment Banking of Lazard Frères SAS, a subsidiary of Lazard, in Paris France with such authority, duties and responsibilities as are consistent with such positions (provided that, without his consent, the Executive’s principal place of employment may not be transferred to Paris, France prior to 60 days after such change in position),</w:t>
      </w:r>
    </w:p>
    <w:p>
      <w:pPr>
        <w:spacing w:after="0" w:line="1" w:lineRule="exact"/>
        <w:rPr>
          <w:sz w:val="20"/>
          <w:szCs w:val="20"/>
          <w:color w:val="auto"/>
        </w:rPr>
      </w:pPr>
    </w:p>
    <w:p>
      <w:pPr>
        <w:ind w:firstLine="8"/>
        <w:spacing w:after="0" w:line="284" w:lineRule="auto"/>
        <w:tabs>
          <w:tab w:leader="none" w:pos="258"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report directly to (A) the Firm’s Chief Executive Officer and the Audit Committee of the Board of Directors of PubliCo, if the Executive is then serving as Chief Financial Officer of PubliCo and Lazard or (B) the Chief Executive Officer of Lazard Frères SAS, if the Executive is then serving as </w:t>
      </w:r>
      <w:r>
        <w:rPr>
          <w:rFonts w:ascii="Arial" w:cs="Arial" w:eastAsia="Arial" w:hAnsi="Arial"/>
          <w:sz w:val="16"/>
          <w:szCs w:val="16"/>
          <w:i w:val="1"/>
          <w:iCs w:val="1"/>
          <w:color w:val="auto"/>
        </w:rPr>
        <w:t>Associe-Gerant</w:t>
      </w:r>
      <w:r>
        <w:rPr>
          <w:rFonts w:ascii="Arial" w:cs="Arial" w:eastAsia="Arial" w:hAnsi="Arial"/>
          <w:sz w:val="16"/>
          <w:szCs w:val="16"/>
          <w:color w:val="auto"/>
        </w:rPr>
        <w:t xml:space="preserve"> and Vice Chairman of European Investment Banking of Lazard Frères SAS and (iii) 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 Lazard agrees that (x) at any time during the Schedule Term, the Executive shall be entitled to resign from his position as Chief Financial Officer of PubliCo and Lazard and commence employment as </w:t>
      </w:r>
      <w:r>
        <w:rPr>
          <w:rFonts w:ascii="Arial" w:cs="Arial" w:eastAsia="Arial" w:hAnsi="Arial"/>
          <w:sz w:val="16"/>
          <w:szCs w:val="16"/>
          <w:i w:val="1"/>
          <w:iCs w:val="1"/>
          <w:color w:val="auto"/>
        </w:rPr>
        <w:t xml:space="preserve">Associe-Gerant </w:t>
      </w:r>
      <w:r>
        <w:rPr>
          <w:rFonts w:ascii="Arial" w:cs="Arial" w:eastAsia="Arial" w:hAnsi="Arial"/>
          <w:sz w:val="16"/>
          <w:szCs w:val="16"/>
          <w:color w:val="auto"/>
        </w:rPr>
        <w:t>and Vice Chairman of European Investment Banking of Lazard Frères SAS in Paris, France, in which case this Agreement shall remain in effect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remainder of the Schedule Term and such change in position shall not constitute a termination of employment or resignation for purposes of this Agreement and (y) in the event Lazard elects to require the Executive to serve in the position described in Section 3(b)(i)(B), Lazard shall reimburse the Executive for his reasonable and customary expenses associated with the relocation of his family, family belongings and household possessions from New York City to Paris, France on the same basis as applied to the Executive in respect of his prior relocation to New York City and, in the event Lazard elects to require the Executive to serve in the position described in Section 3(b)(i)(B) prior to the end of an academic year, Lazard shall reimburse the Executive for his return trips (on a roundtrip basis) from Paris, France to New York City on a reasonable frequency (the “</w:t>
      </w:r>
      <w:r>
        <w:rPr>
          <w:rFonts w:ascii="Arial" w:cs="Arial" w:eastAsia="Arial" w:hAnsi="Arial"/>
          <w:sz w:val="16"/>
          <w:szCs w:val="16"/>
          <w:u w:val="single" w:color="auto"/>
          <w:color w:val="auto"/>
        </w:rPr>
        <w:t>Relocation Reimbursement</w:t>
      </w:r>
      <w:r>
        <w:rPr>
          <w:rFonts w:ascii="Arial" w:cs="Arial" w:eastAsia="Arial" w:hAnsi="Arial"/>
          <w:sz w:val="16"/>
          <w:szCs w:val="16"/>
          <w:color w:val="auto"/>
        </w:rPr>
        <w:t>”). Notwithstanding anything contained herein to the contrary, upon a Change in Control, if the Executive is not then serving in the position described in Section 3(b)(i)(B), Lazard shall cease to have the right to require the Executive to serve in such position and relocate to Paris, France.</w:t>
      </w:r>
    </w:p>
    <w:p>
      <w:pPr>
        <w:sectPr>
          <w:pgSz w:w="11900" w:h="16838" w:orient="portrait"/>
          <w:cols w:equalWidth="0" w:num="1">
            <w:col w:w="11420"/>
          </w:cols>
          <w:pgMar w:left="240" w:top="280" w:right="239" w:bottom="1440" w:gutter="0" w:footer="0" w:header="0"/>
        </w:sectPr>
      </w:pPr>
    </w:p>
    <w:bookmarkStart w:id="105" w:name="page106"/>
    <w:bookmarkEnd w:id="105"/>
    <w:p>
      <w:pPr>
        <w:ind w:right="200" w:firstLine="913"/>
        <w:spacing w:after="0" w:line="301"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5(a)</w:t>
      </w:r>
      <w:r>
        <w:rPr>
          <w:rFonts w:ascii="Arial" w:cs="Arial" w:eastAsia="Arial" w:hAnsi="Arial"/>
          <w:sz w:val="15"/>
          <w:szCs w:val="15"/>
          <w:color w:val="auto"/>
        </w:rPr>
        <w:t xml:space="preserve">. </w:t>
      </w:r>
      <w:r>
        <w:rPr>
          <w:rFonts w:ascii="Arial" w:cs="Arial" w:eastAsia="Arial" w:hAnsi="Arial"/>
          <w:sz w:val="15"/>
          <w:szCs w:val="15"/>
          <w:u w:val="single" w:color="auto"/>
          <w:color w:val="auto"/>
        </w:rPr>
        <w:t>Noncompetition</w:t>
      </w:r>
      <w:r>
        <w:rPr>
          <w:rFonts w:ascii="Arial" w:cs="Arial" w:eastAsia="Arial" w:hAnsi="Arial"/>
          <w:sz w:val="15"/>
          <w:szCs w:val="15"/>
          <w:color w:val="auto"/>
        </w:rPr>
        <w:t>. Section 5(a) of this Agreement is hereby amended and restated in its entirety to read as follows: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w:t>
      </w:r>
    </w:p>
    <w:p>
      <w:pPr>
        <w:spacing w:after="0" w:line="5" w:lineRule="exact"/>
        <w:rPr>
          <w:sz w:val="20"/>
          <w:szCs w:val="20"/>
          <w:color w:val="auto"/>
        </w:rPr>
      </w:pPr>
    </w:p>
    <w:p>
      <w:pPr>
        <w:ind w:firstLine="8"/>
        <w:spacing w:after="0" w:line="285" w:lineRule="auto"/>
        <w:tabs>
          <w:tab w:leader="none" w:pos="21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three months after the Date of Termination for any reason other than a termination by the Firm without Cause or by the Executive for Good Reason or (ii) one month after the Date of Termination by the Firm without Cause or by the Executive for Good Reason (such period, the “</w:t>
      </w:r>
      <w:r>
        <w:rPr>
          <w:rFonts w:ascii="Arial" w:cs="Arial" w:eastAsia="Arial" w:hAnsi="Arial"/>
          <w:sz w:val="16"/>
          <w:szCs w:val="16"/>
          <w:u w:val="single" w:color="auto"/>
          <w:color w:val="auto"/>
        </w:rPr>
        <w:t>Noncompete Restriction Period</w:t>
      </w:r>
      <w:r>
        <w:rPr>
          <w:rFonts w:ascii="Arial" w:cs="Arial" w:eastAsia="Arial" w:hAnsi="Arial"/>
          <w:sz w:val="16"/>
          <w:szCs w:val="16"/>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343"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Section 6. Nonsolicitation of Clients.</w:t>
      </w:r>
      <w:r>
        <w:rPr>
          <w:rFonts w:ascii="Arial" w:cs="Arial" w:eastAsia="Arial" w:hAnsi="Arial"/>
          <w:sz w:val="16"/>
          <w:szCs w:val="16"/>
          <w:color w:val="auto"/>
        </w:rPr>
        <w:t xml:space="preserve"> Section 6 of this Agreement is hereby amended to replace the definition of “Client” with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definition: “</w:t>
      </w:r>
      <w:r>
        <w:rPr>
          <w:rFonts w:ascii="Arial" w:cs="Arial" w:eastAsia="Arial" w:hAnsi="Arial"/>
          <w:sz w:val="16"/>
          <w:szCs w:val="16"/>
          <w:u w:val="single" w:color="auto"/>
          <w:color w:val="auto"/>
        </w:rPr>
        <w:t>Client</w:t>
      </w:r>
      <w:r>
        <w:rPr>
          <w:rFonts w:ascii="Arial" w:cs="Arial" w:eastAsia="Arial" w:hAnsi="Arial"/>
          <w:sz w:val="16"/>
          <w:szCs w:val="16"/>
          <w:color w:val="auto"/>
        </w:rPr>
        <w:t>” means any client or prospective client of the Firm, whether or not the Firm has been engaged by such Client pursuant to a written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entity which is not a client of the Firm shall be considered a “prospective client” for purposes of this sentence only if the Firm made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presentation or written proposal to such entity during the 12-month period preceding the Date of Termination or was preparing to make such a presentation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proposal at the time of the Date of Termination.</w:t>
      </w:r>
    </w:p>
    <w:p>
      <w:pPr>
        <w:spacing w:after="0" w:line="165"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u w:val="single" w:color="auto"/>
          <w:color w:val="auto"/>
        </w:rPr>
        <w:t>Section 8. Nondisparagement.</w:t>
      </w:r>
      <w:r>
        <w:rPr>
          <w:rFonts w:ascii="Arial" w:cs="Arial" w:eastAsia="Arial" w:hAnsi="Arial"/>
          <w:sz w:val="18"/>
          <w:szCs w:val="18"/>
          <w:color w:val="auto"/>
        </w:rPr>
        <w:t xml:space="preserve"> Section 8 of this Agreement is hereby amended to add the following sentences immediately following the first sentence of such section: The Firm</w:t>
      </w:r>
    </w:p>
    <w:p>
      <w:pPr>
        <w:sectPr>
          <w:pgSz w:w="11900" w:h="16838" w:orient="portrait"/>
          <w:cols w:equalWidth="0" w:num="1">
            <w:col w:w="11420"/>
          </w:cols>
          <w:pgMar w:left="240" w:top="280" w:right="239" w:bottom="1440" w:gutter="0" w:footer="0" w:header="0"/>
        </w:sectPr>
      </w:pPr>
    </w:p>
    <w:bookmarkStart w:id="106" w:name="page107"/>
    <w:bookmarkEnd w:id="10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without limitation,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w:t>
      </w:r>
    </w:p>
    <w:p>
      <w:pPr>
        <w:spacing w:after="0" w:line="11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u w:val="single" w:color="auto"/>
          <w:color w:val="auto"/>
        </w:rPr>
        <w:t>Section 12. Arbitration.</w:t>
      </w:r>
      <w:r>
        <w:rPr>
          <w:rFonts w:ascii="Arial" w:cs="Arial" w:eastAsia="Arial" w:hAnsi="Arial"/>
          <w:sz w:val="16"/>
          <w:szCs w:val="16"/>
          <w:color w:val="auto"/>
        </w:rPr>
        <w:t xml:space="preserve"> Section 12 of this Agreement is hereby amended (i) to replace all references to “the New York Stock Exchange, Inc.” and the “</w:t>
      </w:r>
      <w:r>
        <w:rPr>
          <w:rFonts w:ascii="Arial" w:cs="Arial" w:eastAsia="Arial" w:hAnsi="Arial"/>
          <w:sz w:val="16"/>
          <w:szCs w:val="16"/>
          <w:u w:val="single" w:color="auto"/>
          <w:color w:val="auto"/>
        </w:rPr>
        <w:t>NYSE</w:t>
      </w:r>
      <w:r>
        <w:rPr>
          <w:rFonts w:ascii="Arial" w:cs="Arial" w:eastAsia="Arial" w:hAnsi="Arial"/>
          <w:sz w:val="16"/>
          <w:szCs w:val="16"/>
          <w:color w:val="auto"/>
        </w:rPr>
        <w:t>” with references to the “Financial Industry Regulatory Authority” and “</w:t>
      </w:r>
      <w:r>
        <w:rPr>
          <w:rFonts w:ascii="Arial" w:cs="Arial" w:eastAsia="Arial" w:hAnsi="Arial"/>
          <w:sz w:val="16"/>
          <w:szCs w:val="16"/>
          <w:u w:val="single" w:color="auto"/>
          <w:color w:val="auto"/>
        </w:rPr>
        <w:t>FINRA</w:t>
      </w:r>
      <w:r>
        <w:rPr>
          <w:rFonts w:ascii="Arial" w:cs="Arial" w:eastAsia="Arial" w:hAnsi="Arial"/>
          <w:sz w:val="16"/>
          <w:szCs w:val="16"/>
          <w:color w:val="auto"/>
        </w:rPr>
        <w:t xml:space="preserve">”, as applicable, and (ii) to add the following sentences at the end of such section: Prior to a Change in Control (as defined in Schedule I attached hereto), each party shall bear its own costs and expenses of any such arbitration. Following a Change in Control, Lazard shall pay to the Executive, as incurred, all legal fees and expenses reasonably incurred by the Executive or with respect to the Executive during his lifetime or within ten years after his death in connection with any contest by Lazard,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Section 12 or 13 of this Agreement or otherwise), plus Interest (as defined in Schedule I attached hereto) determined as of the date such legal fees and expenses were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Executive shall promptly repay to Lazard all such amounts if the Executive fails to prevail on at least one material issue in dispute in any such contest.</w:t>
      </w:r>
    </w:p>
    <w:p>
      <w:pPr>
        <w:spacing w:after="0" w:line="123"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u w:val="single" w:color="auto"/>
          <w:color w:val="auto"/>
        </w:rPr>
        <w:t>Section 16(b).</w:t>
      </w:r>
      <w:r>
        <w:rPr>
          <w:rFonts w:ascii="Arial" w:cs="Arial" w:eastAsia="Arial" w:hAnsi="Arial"/>
          <w:sz w:val="18"/>
          <w:szCs w:val="18"/>
          <w:color w:val="auto"/>
        </w:rPr>
        <w:t xml:space="preserve"> Paragraphs 2, 3, 4, 5 and 6 of this Schedule I and Sections 3(b) (relating to the Relocation Reimbursement), 16(i) and (j) of this Agreement are hereby added to the list of sections in Section 16(b) of this Agreement.</w:t>
      </w:r>
    </w:p>
    <w:p>
      <w:pPr>
        <w:spacing w:after="0" w:line="132" w:lineRule="exact"/>
        <w:rPr>
          <w:sz w:val="20"/>
          <w:szCs w:val="20"/>
          <w:color w:val="auto"/>
        </w:rPr>
      </w:pPr>
    </w:p>
    <w:p>
      <w:pPr>
        <w:ind w:right="780" w:firstLine="913"/>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xml:space="preserve">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Section 16(i) and (j).</w:t>
      </w:r>
      <w:r>
        <w:rPr>
          <w:rFonts w:ascii="Arial" w:cs="Arial" w:eastAsia="Arial" w:hAnsi="Arial"/>
          <w:sz w:val="18"/>
          <w:szCs w:val="18"/>
          <w:color w:val="auto"/>
        </w:rPr>
        <w:t xml:space="preserve"> Section 16 of this Agreement is hereby amended to add the following new subsections:</w:t>
      </w:r>
    </w:p>
    <w:p>
      <w:pPr>
        <w:spacing w:after="0" w:line="90" w:lineRule="exact"/>
        <w:rPr>
          <w:sz w:val="20"/>
          <w:szCs w:val="20"/>
          <w:color w:val="auto"/>
        </w:rPr>
      </w:pPr>
    </w:p>
    <w:p>
      <w:pPr>
        <w:ind w:left="460" w:right="40" w:firstLine="443"/>
        <w:spacing w:after="0" w:line="294" w:lineRule="auto"/>
        <w:tabs>
          <w:tab w:leader="none" w:pos="1108"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after-tax cost to the Executive of such benefits be greater than the cost applicable to similarly situated executives of the Firm who have not terminated employment or, following a Change in Control (as defined in Schedule I attached hereto), the cost applicable to the Executive immediately prior to the Change in Control, if more favorable to the Executive.</w:t>
      </w:r>
    </w:p>
    <w:p>
      <w:pPr>
        <w:sectPr>
          <w:pgSz w:w="11900" w:h="16838" w:orient="portrait"/>
          <w:cols w:equalWidth="0" w:num="1">
            <w:col w:w="11420"/>
          </w:cols>
          <w:pgMar w:left="240" w:top="280" w:right="239" w:bottom="1440" w:gutter="0" w:footer="0" w:header="0"/>
        </w:sectPr>
      </w:pPr>
    </w:p>
    <w:bookmarkStart w:id="107" w:name="page108"/>
    <w:bookmarkEnd w:id="107"/>
    <w:p>
      <w:pPr>
        <w:ind w:left="-443" w:right="640" w:firstLine="443"/>
        <w:spacing w:after="0" w:line="268" w:lineRule="auto"/>
        <w:tabs>
          <w:tab w:leader="none" w:pos="205"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acknowledges and agrees that the Executive is subject to the Firm’s Compensation Recovery Policy Applicable to Named Executive Officers, as in effect as of the date hereof (a copy of which has been provided to the Executive).</w:t>
      </w:r>
    </w:p>
    <w:p>
      <w:pPr>
        <w:spacing w:after="0" w:line="132" w:lineRule="exact"/>
        <w:rPr>
          <w:sz w:val="20"/>
          <w:szCs w:val="20"/>
          <w:color w:val="auto"/>
        </w:rPr>
      </w:pPr>
    </w:p>
    <w:p>
      <w:pPr>
        <w:ind w:left="-903" w:firstLine="921"/>
        <w:spacing w:after="0" w:line="306" w:lineRule="auto"/>
        <w:tabs>
          <w:tab w:leader="none" w:pos="18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Second Amendment may be executed in any number of counterparts, each of which shall be an original and all of which, when taken together, will constitute one and the same instrument. Delivery of an executed counterpart of a signature page of this Second Amendment by facsimile transmission or electronic means (including by “pdf”) shall be effective as delivery of a manually executed counterpart of this Second Amendment.</w:t>
      </w:r>
    </w:p>
    <w:p>
      <w:pPr>
        <w:sectPr>
          <w:pgSz w:w="11900" w:h="16838" w:orient="portrait"/>
          <w:cols w:equalWidth="0" w:num="1">
            <w:col w:w="10457"/>
          </w:cols>
          <w:pgMar w:left="1143" w:top="280" w:right="2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MB</w:t>
            </w:r>
          </w:p>
        </w:tc>
        <w:tc>
          <w:tcPr>
            <w:tcW w:w="60" w:type="dxa"/>
            <w:vAlign w:val="bottom"/>
          </w:tcPr>
          <w:p>
            <w:pPr>
              <w:spacing w:after="0"/>
              <w:rPr>
                <w:sz w:val="17"/>
                <w:szCs w:val="17"/>
                <w:color w:val="auto"/>
              </w:rPr>
            </w:pPr>
          </w:p>
        </w:tc>
        <w:tc>
          <w:tcPr>
            <w:tcW w:w="2400" w:type="dxa"/>
            <w:vAlign w:val="bottom"/>
          </w:tcPr>
          <w:p>
            <w:pPr>
              <w:ind w:left="600"/>
              <w:spacing w:after="0"/>
              <w:rPr>
                <w:sz w:val="20"/>
                <w:szCs w:val="20"/>
                <w:color w:val="auto"/>
              </w:rPr>
            </w:pPr>
            <w:r>
              <w:rPr>
                <w:rFonts w:ascii="Arial" w:cs="Arial" w:eastAsia="Arial" w:hAnsi="Arial"/>
                <w:sz w:val="18"/>
                <w:szCs w:val="18"/>
                <w:color w:val="auto"/>
                <w:w w:val="89"/>
              </w:rPr>
              <w:t>Initialed by the Executive</w:t>
            </w:r>
          </w:p>
        </w:tc>
      </w:tr>
      <w:tr>
        <w:trPr>
          <w:trHeight w:val="304"/>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SDH</w:t>
            </w:r>
          </w:p>
        </w:tc>
        <w:tc>
          <w:tcPr>
            <w:tcW w:w="2400" w:type="dxa"/>
            <w:vAlign w:val="bottom"/>
          </w:tcPr>
          <w:p>
            <w:pPr>
              <w:ind w:left="600"/>
              <w:spacing w:after="0"/>
              <w:rPr>
                <w:sz w:val="20"/>
                <w:szCs w:val="20"/>
                <w:color w:val="auto"/>
              </w:rPr>
            </w:pPr>
            <w:r>
              <w:rPr>
                <w:rFonts w:ascii="Arial" w:cs="Arial" w:eastAsia="Arial" w:hAnsi="Arial"/>
                <w:sz w:val="18"/>
                <w:szCs w:val="18"/>
                <w:color w:val="auto"/>
              </w:rPr>
              <w:t>Initialed by Lazard</w:t>
            </w:r>
          </w:p>
        </w:tc>
      </w:tr>
      <w:tr>
        <w:trPr>
          <w:trHeight w:val="304"/>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SDH</w:t>
            </w:r>
          </w:p>
        </w:tc>
        <w:tc>
          <w:tcPr>
            <w:tcW w:w="2400" w:type="dxa"/>
            <w:vAlign w:val="bottom"/>
          </w:tcPr>
          <w:p>
            <w:pPr>
              <w:ind w:left="600"/>
              <w:spacing w:after="0"/>
              <w:rPr>
                <w:sz w:val="20"/>
                <w:szCs w:val="20"/>
                <w:color w:val="auto"/>
              </w:rPr>
            </w:pPr>
            <w:r>
              <w:rPr>
                <w:rFonts w:ascii="Arial" w:cs="Arial" w:eastAsia="Arial" w:hAnsi="Arial"/>
                <w:sz w:val="18"/>
                <w:szCs w:val="18"/>
                <w:color w:val="auto"/>
              </w:rPr>
              <w:t>Initialed by PubliCo</w:t>
            </w:r>
          </w:p>
        </w:tc>
      </w:tr>
    </w:tbl>
    <w:p>
      <w:pPr>
        <w:ind w:left="60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10.52</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Second Amendment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March 14, 2013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Agreement Relating to Retention and Noncompetition and Other Covenants by and among Lazard Ltd, a company incorporated under the Laws of Bermuda (“</w:t>
      </w:r>
      <w:r>
        <w:rPr>
          <w:rFonts w:ascii="Arial" w:cs="Arial" w:eastAsia="Arial" w:hAnsi="Arial"/>
          <w:sz w:val="18"/>
          <w:szCs w:val="18"/>
          <w:u w:val="single" w:color="auto"/>
          <w:color w:val="auto"/>
        </w:rPr>
        <w:t>PubliCo</w:t>
      </w:r>
      <w:r>
        <w:rPr>
          <w:rFonts w:ascii="Arial" w:cs="Arial" w:eastAsia="Arial" w:hAnsi="Arial"/>
          <w:sz w:val="18"/>
          <w:szCs w:val="18"/>
          <w:color w:val="auto"/>
        </w:rPr>
        <w:t>”), Lazard Group LLC, a Delaware limited liability company and successor to Lazard LLC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their subsidiaries and affiliates (collectively with PubliCo,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Scott D. Hoffman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May 4, 2005, and amended as of May 7, 2008 and February 23, 2011 (as amended, this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WHEREAS, the Firm and the Executive wish to amend this Agreement to modify Schedule I to such Agreement to extend the term of certain provisions of Schedule I of this Agreement beyond March 23, 2013, eliminate the golden parachute excise tax gross-up provision and revise certain other terms.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PubliCo and Lazard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the Effective Date, Schedule I of this Agreement shall hereby be amended and restated in its entirety in the form attached hereto.</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WITNESS WHEREOF, the Executive and the Board of Directors of each of Lazard and PubliCo have caused this Second Amendment to be executed and delivered on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26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379"/>
        </w:trPr>
        <w:tc>
          <w:tcPr>
            <w:tcW w:w="3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D. Hoffman</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Scott D. Hoffman</w:t>
            </w:r>
          </w:p>
        </w:tc>
      </w:tr>
      <w:tr>
        <w:trPr>
          <w:trHeight w:val="419"/>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LAZARD LTD,</w:t>
            </w:r>
          </w:p>
        </w:tc>
      </w:tr>
      <w:tr>
        <w:trPr>
          <w:trHeight w:val="434"/>
        </w:trPr>
        <w:tc>
          <w:tcPr>
            <w:tcW w:w="3520" w:type="dxa"/>
            <w:vAlign w:val="bottom"/>
          </w:tcPr>
          <w:p>
            <w:pPr>
              <w:spacing w:after="0"/>
              <w:rPr>
                <w:sz w:val="24"/>
                <w:szCs w:val="24"/>
                <w:color w:val="auto"/>
              </w:rPr>
            </w:pPr>
          </w:p>
        </w:tc>
        <w:tc>
          <w:tcPr>
            <w:tcW w:w="2660" w:type="dxa"/>
            <w:vAlign w:val="bottom"/>
          </w:tcPr>
          <w:p>
            <w:pPr>
              <w:ind w:left="23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 Jacobs</w:t>
            </w:r>
          </w:p>
        </w:tc>
      </w:tr>
      <w:tr>
        <w:trPr>
          <w:trHeight w:val="215"/>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Kenneth M. Jacobs</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12"/>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w w:val="93"/>
              </w:rPr>
              <w:t>LAZARD GROUP LLC (on its behalf, and on behalf of its subsidiaries and</w:t>
            </w:r>
          </w:p>
        </w:tc>
      </w:tr>
      <w:tr>
        <w:trPr>
          <w:trHeight w:val="222"/>
        </w:trPr>
        <w:tc>
          <w:tcPr>
            <w:tcW w:w="3520" w:type="dxa"/>
            <w:vAlign w:val="bottom"/>
          </w:tcPr>
          <w:p>
            <w:pPr>
              <w:spacing w:after="0"/>
              <w:rPr>
                <w:sz w:val="19"/>
                <w:szCs w:val="19"/>
                <w:color w:val="auto"/>
              </w:rPr>
            </w:pP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affiliates),</w:t>
            </w:r>
          </w:p>
        </w:tc>
      </w:tr>
      <w:tr>
        <w:trPr>
          <w:trHeight w:val="434"/>
        </w:trPr>
        <w:tc>
          <w:tcPr>
            <w:tcW w:w="3520" w:type="dxa"/>
            <w:vAlign w:val="bottom"/>
          </w:tcPr>
          <w:p>
            <w:pPr>
              <w:spacing w:after="0"/>
              <w:rPr>
                <w:sz w:val="24"/>
                <w:szCs w:val="24"/>
                <w:color w:val="auto"/>
              </w:rPr>
            </w:pPr>
          </w:p>
        </w:tc>
        <w:tc>
          <w:tcPr>
            <w:tcW w:w="2660" w:type="dxa"/>
            <w:vAlign w:val="bottom"/>
          </w:tcPr>
          <w:p>
            <w:pPr>
              <w:ind w:left="23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 Jacobs</w:t>
            </w:r>
          </w:p>
        </w:tc>
      </w:tr>
      <w:tr>
        <w:trPr>
          <w:trHeight w:val="215"/>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Kenneth M. Jacobs</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Name (as per Preamble):</w:t>
      </w:r>
      <w:r>
        <w:rPr>
          <w:sz w:val="20"/>
          <w:szCs w:val="20"/>
          <w:color w:val="auto"/>
        </w:rPr>
        <w:tab/>
      </w:r>
      <w:r>
        <w:rPr>
          <w:rFonts w:ascii="Arial" w:cs="Arial" w:eastAsia="Arial" w:hAnsi="Arial"/>
          <w:sz w:val="16"/>
          <w:szCs w:val="16"/>
          <w:color w:val="auto"/>
        </w:rPr>
        <w:t>Mr. Scott D. Hoffman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Effective upon the effective date of the Second Amendment to this Agreement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ind w:right="140" w:firstLine="464"/>
        <w:spacing w:after="0" w:line="306" w:lineRule="auto"/>
        <w:tabs>
          <w:tab w:leader="none" w:pos="632"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Schedule Term</w:t>
      </w:r>
      <w:r>
        <w:rPr>
          <w:rFonts w:ascii="Arial" w:cs="Arial" w:eastAsia="Arial" w:hAnsi="Arial"/>
          <w:sz w:val="16"/>
          <w:szCs w:val="16"/>
          <w:color w:val="auto"/>
        </w:rPr>
        <w:t>. For purposes of this Schedule I, the “</w:t>
      </w:r>
      <w:r>
        <w:rPr>
          <w:rFonts w:ascii="Arial" w:cs="Arial" w:eastAsia="Arial" w:hAnsi="Arial"/>
          <w:sz w:val="16"/>
          <w:szCs w:val="16"/>
          <w:u w:val="single" w:color="auto"/>
          <w:color w:val="auto"/>
        </w:rPr>
        <w:t>Schedule Term</w:t>
      </w:r>
      <w:r>
        <w:rPr>
          <w:rFonts w:ascii="Arial" w:cs="Arial" w:eastAsia="Arial" w:hAnsi="Arial"/>
          <w:sz w:val="16"/>
          <w:szCs w:val="16"/>
          <w:color w:val="auto"/>
        </w:rPr>
        <w:t>” shall mean the period from the Second Amendment Effective Date through March 31, 2016, subject to earlier termination in accordance with this Agreement. Notwithstanding the foregoing, upon a Change in Control (as defined below), the Schedule Term shall automatically be renewed so that the Schedule Term is not less than two years from the effective date of such Change in Control.</w:t>
      </w:r>
    </w:p>
    <w:p>
      <w:pPr>
        <w:spacing w:after="0" w:line="106" w:lineRule="exact"/>
        <w:rPr>
          <w:rFonts w:ascii="Arial" w:cs="Arial" w:eastAsia="Arial" w:hAnsi="Arial"/>
          <w:sz w:val="16"/>
          <w:szCs w:val="16"/>
          <w:color w:val="auto"/>
        </w:rPr>
      </w:pPr>
    </w:p>
    <w:p>
      <w:pPr>
        <w:ind w:right="60" w:firstLine="464"/>
        <w:spacing w:after="0" w:line="286" w:lineRule="auto"/>
        <w:tabs>
          <w:tab w:leader="none" w:pos="632"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Notwithstanding anything to the contrary contained in Sections 3(c)(i) and (ii) of this Agreement, subject to the Executive’s continued employment with the Firm, during the Schedule Term, the Executive shall be entitled to receive (i) an annual base salary of not less than $750,000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Salary</w:t>
      </w:r>
      <w:r>
        <w:rPr>
          <w:rFonts w:ascii="Arial" w:cs="Arial" w:eastAsia="Arial" w:hAnsi="Arial"/>
          <w:sz w:val="16"/>
          <w:szCs w:val="16"/>
          <w:color w:val="auto"/>
        </w:rPr>
        <w:t>”) and (ii) so long as the Executive remains employed by the Firm through the end of the applicable fiscal year of Lazard (except as otherwise provided below in this Schedule I), an annual bonus to be determined under the terms of the applicable annual bonus plan of Lazard on the same basis as annual bonuses are determined for other executive officers of PubliCo, with such annual bonus to be paid in the same ratio of cash to equity awards as is applicable to executives of the Firm receiving annual bonuses at a level comparable to the annual bonus of the Executive. For purposes hereof, the term Base Salary shall refer to Base Salary as in effect from time to time, including any increases thereto. Notwithstanding anything to the contrary contained in Section 3(c)(iv) of this Agreement, subject to the Executive’s continued employment with the Firm, the Executive shall continue to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w:t>
      </w:r>
    </w:p>
    <w:p>
      <w:pPr>
        <w:spacing w:after="0" w:line="127" w:lineRule="exact"/>
        <w:rPr>
          <w:rFonts w:ascii="Arial" w:cs="Arial" w:eastAsia="Arial" w:hAnsi="Arial"/>
          <w:sz w:val="16"/>
          <w:szCs w:val="16"/>
          <w:color w:val="auto"/>
        </w:rPr>
      </w:pPr>
    </w:p>
    <w:p>
      <w:pPr>
        <w:ind w:firstLine="464"/>
        <w:spacing w:after="0" w:line="289" w:lineRule="auto"/>
        <w:tabs>
          <w:tab w:leader="none" w:pos="632"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under Certain Circumstances</w:t>
      </w:r>
      <w:r>
        <w:rPr>
          <w:rFonts w:ascii="Arial" w:cs="Arial" w:eastAsia="Arial" w:hAnsi="Arial"/>
          <w:sz w:val="16"/>
          <w:szCs w:val="16"/>
          <w:color w:val="auto"/>
        </w:rPr>
        <w:t>. Notwithstanding anything to the contrary contained in Section 3(d) of this Agreement, in the event that during the Schedule Term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shall pay the Executive (subject to the Executive delivering a waiver and release in accordance with this paragraph 3 of this Schedule I in the event such Qualifying Termination occurs prior to a Change in Control), in a lump sum in cash on the 61st day after the Date of Termination (as defined below), the aggregate of the following amounts: (i) any unpaid Base Salary through the Date of Termination; (ii) any earned and unpaid bonus amounts for fiscal years of Lazard completed prior to the Date of Termination (determined in accordance with paragraph 2 of this Schedule I and with any such bonus to be paid in full in cash); and (iii) the product of (1) the “</w:t>
      </w:r>
      <w:r>
        <w:rPr>
          <w:rFonts w:ascii="Arial" w:cs="Arial" w:eastAsia="Arial" w:hAnsi="Arial"/>
          <w:sz w:val="16"/>
          <w:szCs w:val="16"/>
          <w:u w:val="single" w:color="auto"/>
          <w:color w:val="auto"/>
        </w:rPr>
        <w:t>Severance Multiple</w:t>
      </w:r>
      <w:r>
        <w:rPr>
          <w:rFonts w:ascii="Arial" w:cs="Arial" w:eastAsia="Arial" w:hAnsi="Arial"/>
          <w:sz w:val="16"/>
          <w:szCs w:val="16"/>
          <w:color w:val="auto"/>
        </w:rPr>
        <w:t>” (as defined below) and (2) the sum of (x) the Base Salary and (y) the average annual bonus (or, to the extent applicable, cash distributions, and</w:t>
      </w:r>
    </w:p>
    <w:p>
      <w:pPr>
        <w:sectPr>
          <w:pgSz w:w="11900" w:h="16838" w:orient="portrait"/>
          <w:cols w:equalWidth="0" w:num="1">
            <w:col w:w="11400"/>
          </w:cols>
          <w:pgMar w:left="240" w:top="274" w:right="259" w:bottom="1440" w:gutter="0" w:footer="0" w:header="0"/>
        </w:sectPr>
      </w:pPr>
    </w:p>
    <w:bookmarkStart w:id="111" w:name="page112"/>
    <w:bookmarkEnd w:id="111"/>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6"/>
          <w:szCs w:val="16"/>
          <w:u w:val="single" w:color="auto"/>
          <w:color w:val="auto"/>
        </w:rPr>
        <w:t>Average</w:t>
      </w:r>
      <w:r>
        <w:rPr>
          <w:rFonts w:ascii="Arial" w:cs="Arial" w:eastAsia="Arial" w:hAnsi="Arial"/>
          <w:sz w:val="16"/>
          <w:szCs w:val="16"/>
          <w:color w:val="auto"/>
        </w:rPr>
        <w:t xml:space="preserve"> </w:t>
      </w:r>
      <w:r>
        <w:rPr>
          <w:rFonts w:ascii="Arial" w:cs="Arial" w:eastAsia="Arial" w:hAnsi="Arial"/>
          <w:sz w:val="16"/>
          <w:szCs w:val="16"/>
          <w:u w:val="single" w:color="auto"/>
          <w:color w:val="auto"/>
        </w:rPr>
        <w:t>Bonus</w:t>
      </w:r>
      <w:r>
        <w:rPr>
          <w:rFonts w:ascii="Arial" w:cs="Arial" w:eastAsia="Arial" w:hAnsi="Arial"/>
          <w:sz w:val="16"/>
          <w:szCs w:val="16"/>
          <w:color w:val="auto"/>
        </w:rPr>
        <w:t>”). In addition, upon a Qualifying Termination, for a period of months equal to the product of (A) 12 and (B) the Severance Multiple (the “</w:t>
      </w:r>
      <w:r>
        <w:rPr>
          <w:rFonts w:ascii="Arial" w:cs="Arial" w:eastAsia="Arial" w:hAnsi="Arial"/>
          <w:sz w:val="16"/>
          <w:szCs w:val="16"/>
          <w:u w:val="single" w:color="auto"/>
          <w:color w:val="auto"/>
        </w:rPr>
        <w:t>Benefit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Continuation Period</w:t>
      </w:r>
      <w:r>
        <w:rPr>
          <w:rFonts w:ascii="Arial" w:cs="Arial" w:eastAsia="Arial" w:hAnsi="Arial"/>
          <w:sz w:val="16"/>
          <w:szCs w:val="16"/>
          <w:color w:val="auto"/>
        </w:rPr>
        <w:t>”), the Executive and his eligible dependents shall continue to be eligible to participate in the medical and dental benefit plans of Lazard on the same basis as the Executive participated in such plans immediately prior to the Date of Termination, to the extent that the applicable plan permits such continued participation for all or any portion of such period (it being agreed that Lazard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w:t>
      </w:r>
    </w:p>
    <w:p>
      <w:pPr>
        <w:spacing w:after="0" w:line="12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addition, in the case of (a) a Qualifying Termination during the Schedule Term or (b) the Executive’s death or termination due to Disability during the Schedule Term, with respect to the fiscal year of Lazard during which the Date of Termination occurs, the Executive or his estate, as applicable, shall receive a pro-rata annual bonus payable in cash determined as follows:</w:t>
      </w:r>
    </w:p>
    <w:p>
      <w:pPr>
        <w:spacing w:after="0" w:line="59" w:lineRule="exact"/>
        <w:rPr>
          <w:sz w:val="20"/>
          <w:szCs w:val="20"/>
          <w:color w:val="auto"/>
        </w:rPr>
      </w:pPr>
    </w:p>
    <w:p>
      <w:pPr>
        <w:ind w:left="1120" w:hanging="217"/>
        <w:spacing w:after="0"/>
        <w:tabs>
          <w:tab w:leader="none" w:pos="11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if, with respect to the fiscal year during which the Date of Termination occurs (other than (x) as a result of the Executive’s death or Disability or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following a Change in Control), (A) the Executive was reasonably expected by Lazard to be a “covered employee” (within the meaning of</w:t>
      </w:r>
    </w:p>
    <w:p>
      <w:pPr>
        <w:spacing w:after="0" w:line="32"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Section 162(m) of the Internal Revenue Code of 1986, as amended and the regulations promulgated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(1)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who received bonuses for such prior fiscal year in amounts within 5% of the Executive’s bonus for such prior fiscal year), and (2)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6"/>
          <w:szCs w:val="16"/>
          <w:u w:val="single" w:color="auto"/>
          <w:color w:val="auto"/>
        </w:rPr>
        <w:t>Pro-Ration Fraction</w:t>
      </w:r>
      <w:r>
        <w:rPr>
          <w:rFonts w:ascii="Arial" w:cs="Arial" w:eastAsia="Arial" w:hAnsi="Arial"/>
          <w:sz w:val="16"/>
          <w:szCs w:val="16"/>
          <w:color w:val="auto"/>
        </w:rPr>
        <w:t>”); or</w:t>
      </w:r>
    </w:p>
    <w:p>
      <w:pPr>
        <w:sectPr>
          <w:pgSz w:w="11900" w:h="16838" w:orient="portrait"/>
          <w:cols w:equalWidth="0" w:num="1">
            <w:col w:w="11400"/>
          </w:cols>
          <w:pgMar w:left="240" w:top="280" w:right="259" w:bottom="1440" w:gutter="0" w:footer="0" w:header="0"/>
        </w:sectPr>
      </w:pPr>
    </w:p>
    <w:bookmarkStart w:id="112" w:name="page113"/>
    <w:bookmarkEnd w:id="112"/>
    <w:p>
      <w:pPr>
        <w:ind w:left="460" w:right="60" w:firstLine="443"/>
        <w:spacing w:after="0" w:line="294" w:lineRule="auto"/>
        <w:tabs>
          <w:tab w:leader="none" w:pos="1157"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 either (A) with respect to the fiscal year during which the Date of Termination occurs, (1) the Executive is not reasonably expected by Lazard to be a “covered employee” (within the meaning of Section 162(m) of the Code) prior to his Date of Termination or (2) such termination is a result of the Executive’s death or Disability or occurs following a Change in Control or (B)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(x) the Average Bonus and (y) the Pro-Ration Fraction.</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pro-rata annual bonus determined pursuant to clause (i) or (ii) above, as applicable, shall be paid at such time or times as Lazard otherwise makes incentive payments for such fiscal year (and in all events no earlier than January 1st, and no later than March 15th, of the year following the year in which the Date of Termination occurs).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Notwithstanding the foregoing, the payments and benefits (other than any earned and unpaid compensation described in clauses (i) and (ii) of the first paragraph of this paragraph 3 of this Schedule I) payable to the Executive pursuant to this paragraph 3 of this Schedule 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Exhibit A that has become effective and irrevocable in accordance with its terms (such requirement to execute a release, the “</w:t>
      </w:r>
      <w:r>
        <w:rPr>
          <w:rFonts w:ascii="Arial" w:cs="Arial" w:eastAsia="Arial" w:hAnsi="Arial"/>
          <w:sz w:val="18"/>
          <w:szCs w:val="18"/>
          <w:u w:val="single" w:color="auto"/>
          <w:color w:val="auto"/>
        </w:rPr>
        <w:t>Release Requirement</w:t>
      </w:r>
      <w:r>
        <w:rPr>
          <w:rFonts w:ascii="Arial" w:cs="Arial" w:eastAsia="Arial" w:hAnsi="Arial"/>
          <w:sz w:val="18"/>
          <w:szCs w:val="18"/>
          <w:color w:val="auto"/>
        </w:rPr>
        <w:t>”). Notwithstanding the foregoing, the Release Requirement shall lapse upon a Change in Control.</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all purposes of this Agreement, including without limitation, Sections 2(g)(ii) and 5(a), and for all purposes of the outstanding equity-based awards, fund interest awards and any similar awards held by the Executive as of the Date of Termination (as defined in this Schedule I) (collectively, the “</w:t>
      </w:r>
      <w:r>
        <w:rPr>
          <w:rFonts w:ascii="Arial" w:cs="Arial" w:eastAsia="Arial" w:hAnsi="Arial"/>
          <w:sz w:val="18"/>
          <w:szCs w:val="18"/>
          <w:u w:val="single" w:color="auto"/>
          <w:color w:val="auto"/>
        </w:rPr>
        <w:t>Awards</w:t>
      </w:r>
      <w:r>
        <w:rPr>
          <w:rFonts w:ascii="Arial" w:cs="Arial" w:eastAsia="Arial" w:hAnsi="Arial"/>
          <w:sz w:val="18"/>
          <w:szCs w:val="18"/>
          <w:color w:val="auto"/>
        </w:rPr>
        <w:t>”), a resignation by the Executive for Good Reason during the Term shall be treated as a termination of the Executive by the Firm without Cause or as a Termination of Employment by the Firm other than for Cause (as such phrase or similar phrases are defined in the Plan (as defined in paragraph 4 of this Schedule I) or the award agreements governing the Awards), as applicable.</w:t>
      </w:r>
    </w:p>
    <w:p>
      <w:pPr>
        <w:spacing w:after="0" w:line="14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paragraph 3 of this Schedule I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ectPr>
          <w:pgSz w:w="11900" w:h="16838" w:orient="portrait"/>
          <w:cols w:equalWidth="0" w:num="1">
            <w:col w:w="11420"/>
          </w:cols>
          <w:pgMar w:left="240" w:top="280" w:right="239" w:bottom="1440" w:gutter="0" w:footer="0" w:header="0"/>
        </w:sectPr>
      </w:pPr>
    </w:p>
    <w:bookmarkStart w:id="113" w:name="page114"/>
    <w:bookmarkEnd w:id="11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and this Schedule I, as applicable, the following terms shall have the following meanings:</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assigned to it in the Lazard 2008 Incentive Compensation Plan, as it may be amended from time to time, or any successor plan thereto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Notwithstanding the definition of “Date of Termination” set forth in Section 5 of this Agreement, for all purposes of this Agreement, including Section 5, and this Schedule I,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formally notifies the Executive in writing that it does not intend to cure, unless Lazard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including this Schedule I, constitutes a “separation from service” within the meaning of Section 409A of the Code, and notwithstanding anything contained herein (or in this Agreement) to the contrary, (x) to the extent that any amounts owed to the Executive under this Agreement (including this Schedule I)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without limitation, the default presumptions thereof and (y) the date on which such separation from service takes place shall be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w:t>
      </w:r>
    </w:p>
    <w:p>
      <w:pPr>
        <w:spacing w:after="0" w:line="13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Notwithstanding the definition of “Cause” set forth in Section 2(g)(iv) of this Agreement, for all purposes of this Agreement, including Section 2(g)(iv) and this Schedule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(other than any such failure resulting from incapacity due to physical or mental illness or following the Firm’s termination of the Executive other than for Cause or the Executive’s termination for Good Reason in accordance with this Schedule I) (i) to perform his employment duties in any material respect or (ii) to follow specific reasonable directions received from the Firm’s Chief Executive Officer or the Board of Directors of PubliCo, in each case following written notice to the Executive of such failure and, if such failure is curable, the</w:t>
      </w:r>
    </w:p>
    <w:p>
      <w:pPr>
        <w:sectPr>
          <w:pgSz w:w="11900" w:h="16838" w:orient="portrait"/>
          <w:cols w:equalWidth="0" w:num="1">
            <w:col w:w="11420"/>
          </w:cols>
          <w:pgMar w:left="240" w:top="280" w:right="239" w:bottom="1440" w:gutter="0" w:footer="0" w:header="0"/>
        </w:sectPr>
      </w:pPr>
    </w:p>
    <w:bookmarkStart w:id="114" w:name="page115"/>
    <w:bookmarkEnd w:id="11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failing to cure such failure within a reasonable time (but in no event less than thirty (30) days after actual receipt by the Executive of such written notice); or (D) a breach of the Covenants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(B), (C)(i) and (D) hereof, the Executive’s acts or failure to act shall not constitute Cause to the extent taken (or not taken) based upon the direct instructions of the Firm’s Chief Executive Officer or the Board of Directors of PubliCo or upon the direct advice of counsel to the Firm. Except in the case of a termination of the Executive’s employment under clause (A)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6"/>
          <w:szCs w:val="16"/>
          <w:u w:val="single" w:color="auto"/>
          <w:color w:val="auto"/>
        </w:rPr>
        <w:t>Applicable Board</w:t>
      </w:r>
      <w:r>
        <w:rPr>
          <w:rFonts w:ascii="Arial" w:cs="Arial" w:eastAsia="Arial" w:hAnsi="Arial"/>
          <w:sz w:val="16"/>
          <w:szCs w:val="16"/>
          <w:color w:val="auto"/>
        </w:rPr>
        <w:t>”) finding that, in the good faith opinion of the Applicable Board, circumstances constituting Cause exist.</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 (including status, offices, titles and reporting requirements), authority, duties or responsibilities from those contemplated by Section 3(b) of this Agreement (without regard to the expiration of the Schedule Term), or any other action by the Firm which results in a material diminution in such position (including status, offices, titles and reporting requirements), authority, duties or responsibilities from those contemplated by Section 3(b) of this Agreement (without regard to the expiration of the Schedule Term), (ii) a material breach by the Firm of the terms of this Agreement, including, without limitation, any material failure by the Firm to comply with paragraph 2 of this Schedule I or the nondisparagement covenant in Section 8 of this Agreement, or (iii) without the Executive’s written consent, any requirement that the Executive’s principal place of employment be relocated to a location that increases the Executive’s commute from his primary residence by more than thirty (30) miles. In the event of a termination for Good Reason, the notice requirements of Section 1 of this Agreement shall not apply. Notwithstanding the foregoing, a termination for Good Reason shall not have occurred unless (i) the Executive gives written notice to Lazard of termination of employment within ninety (90) days after the Executive first becomes aware of the occurrence of the circumstances constituting Good Reason, specifying in reasonable detail the circumstances constituting Good Reason, and Lazard has failed within thirty (30) days after receipt of such notice to cure (if capable of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Multiple</w:t>
      </w:r>
      <w:r>
        <w:rPr>
          <w:rFonts w:ascii="Arial" w:cs="Arial" w:eastAsia="Arial" w:hAnsi="Arial"/>
          <w:sz w:val="18"/>
          <w:szCs w:val="18"/>
          <w:color w:val="auto"/>
        </w:rPr>
        <w:t>” shall equal two (2).</w:t>
      </w:r>
    </w:p>
    <w:p>
      <w:pPr>
        <w:spacing w:after="0" w:line="171" w:lineRule="exact"/>
        <w:rPr>
          <w:sz w:val="20"/>
          <w:szCs w:val="20"/>
          <w:color w:val="auto"/>
        </w:rPr>
      </w:pPr>
    </w:p>
    <w:p>
      <w:pPr>
        <w:jc w:val="both"/>
        <w:ind w:right="20" w:firstLine="464"/>
        <w:spacing w:after="0" w:line="306" w:lineRule="auto"/>
        <w:tabs>
          <w:tab w:leader="none" w:pos="632"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Certain Limitations on Payments</w:t>
      </w:r>
      <w:r>
        <w:rPr>
          <w:rFonts w:ascii="Arial" w:cs="Arial" w:eastAsia="Arial" w:hAnsi="Arial"/>
          <w:sz w:val="16"/>
          <w:szCs w:val="16"/>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6"/>
          <w:szCs w:val="16"/>
          <w:u w:val="single" w:color="auto"/>
          <w:color w:val="auto"/>
        </w:rPr>
        <w:t>Accountant</w:t>
      </w:r>
      <w:r>
        <w:rPr>
          <w:rFonts w:ascii="Arial" w:cs="Arial" w:eastAsia="Arial" w:hAnsi="Arial"/>
          <w:sz w:val="16"/>
          <w:szCs w:val="16"/>
          <w:color w:val="auto"/>
        </w:rPr>
        <w:t>”), which determination</w:t>
      </w:r>
    </w:p>
    <w:p>
      <w:pPr>
        <w:sectPr>
          <w:pgSz w:w="11900" w:h="16838" w:orient="portrait"/>
          <w:cols w:equalWidth="0" w:num="1">
            <w:col w:w="11400"/>
          </w:cols>
          <w:pgMar w:left="240" w:top="280" w:right="25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certified by the Accountant and set forth in a certificate delivered to the Executive setting forth in reasonable detail the basis of the Accountant’s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determinations, that the aggregate amount of the payments, distributions, benefits and entitlements in the nature of compensation (within the meaning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280G(B)(2) of the Code) by the Firm or any affiliate to or for the Executive’s benefit (including any payment, distribution, benefit or entitlement made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person or entity effecting a change of control), in each case, that constitute “parachute payments” within the meaning of Section 280G of the Code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the “</w:t>
      </w:r>
      <w:r>
        <w:rPr>
          <w:rFonts w:ascii="Arial" w:cs="Arial" w:eastAsia="Arial" w:hAnsi="Arial"/>
          <w:sz w:val="16"/>
          <w:szCs w:val="16"/>
          <w:u w:val="single" w:color="auto"/>
          <w:color w:val="auto"/>
        </w:rPr>
        <w:t>Parachute Payments</w:t>
      </w:r>
      <w:r>
        <w:rPr>
          <w:rFonts w:ascii="Arial" w:cs="Arial" w:eastAsia="Arial" w:hAnsi="Arial"/>
          <w:sz w:val="16"/>
          <w:szCs w:val="16"/>
          <w:color w:val="auto"/>
        </w:rPr>
        <w:t>”) that, but for this paragraph 5 of this Schedule I, would be payable to the Executive, exceeds the greatest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Parachute Payments that could be paid to the Executive without giving rise to any liability for any excise tax imposed by Section 4999 of the Code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successor provision thereto) or any similar tax imposed by state or local law (such tax or taxes being hereafter collectively referred to as the “</w:t>
      </w:r>
      <w:r>
        <w:rPr>
          <w:rFonts w:ascii="Arial" w:cs="Arial" w:eastAsia="Arial" w:hAnsi="Arial"/>
          <w:sz w:val="16"/>
          <w:szCs w:val="16"/>
          <w:u w:val="single" w:color="auto"/>
          <w:color w:val="auto"/>
        </w:rPr>
        <w:t>Excise Tax</w:t>
      </w:r>
      <w:r>
        <w:rPr>
          <w:rFonts w:ascii="Arial" w:cs="Arial" w:eastAsia="Arial" w:hAnsi="Arial"/>
          <w:sz w:val="16"/>
          <w:szCs w:val="16"/>
          <w:color w:val="auto"/>
        </w:rPr>
        <w:t>”), then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Parachute Payments payable to the Executive shall equal the amount that produces the greatest after-tax benefit to the Executive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taking into account first any positions to mitigate such Excise Tax (including, without limitation, mitigation under a “reasonable compensation” analysis)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second any Excise Tax payable by the Executive. For the avoidance of doubt, this provision shall reduce the amount of Parachute Payments otherwise payable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Executive, only if doing so would place the Executive in a better net after-tax economic position as compared with not doing so (taking into account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Excise Tax payable in respect of such Parachute Payments). The Firm shall reduce or eliminate the Parachute Payments, as necessary, by first reducing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eliminating the portion of the Parachute Payments provided under this Agreement (the “</w:t>
      </w:r>
      <w:r>
        <w:rPr>
          <w:rFonts w:ascii="Arial" w:cs="Arial" w:eastAsia="Arial" w:hAnsi="Arial"/>
          <w:sz w:val="16"/>
          <w:szCs w:val="16"/>
          <w:u w:val="single" w:color="auto"/>
          <w:color w:val="auto"/>
        </w:rPr>
        <w:t>Agreement Payments</w:t>
      </w:r>
      <w:r>
        <w:rPr>
          <w:rFonts w:ascii="Arial" w:cs="Arial" w:eastAsia="Arial" w:hAnsi="Arial"/>
          <w:sz w:val="16"/>
          <w:szCs w:val="16"/>
          <w:color w:val="auto"/>
        </w:rPr>
        <w:t>”) that are payable in cash and then by reducing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eliminating the non-cash portion of the Agreement Payments, in each case, in reverse order beginning with payments or benefits that are to be paid the furthest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time from the Date of Termination. For purposes of reducing the Parachute Payments to the Executive, only the Agreement Payments (and no other Parachute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Payments) shall be reduced.</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making determinations under this paragraph 5 of this Schedule I and determining the Excise Tax (if any), the Accountant shall take into account the value of any reasonable compensation for services to be rendered by the Executive before or after the change of control, including, without limitation,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paragraph 3 of this Schedule I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paragraph 5 of this Schedule I shall be borne by the Firm, and the Firm shall reimburse the Executive for all reasonable legal fees incurred with respect to the calculations under this paragraph 5 of this Schedule I and any reasonable legal and accounting fees incurred with respect to disputes related thereto.</w:t>
      </w:r>
    </w:p>
    <w:p>
      <w:pPr>
        <w:spacing w:after="0" w:line="123" w:lineRule="exact"/>
        <w:rPr>
          <w:sz w:val="20"/>
          <w:szCs w:val="20"/>
          <w:color w:val="auto"/>
        </w:rPr>
      </w:pPr>
    </w:p>
    <w:p>
      <w:pPr>
        <w:ind w:right="20" w:firstLine="464"/>
        <w:spacing w:after="0" w:line="259" w:lineRule="auto"/>
        <w:tabs>
          <w:tab w:leader="none" w:pos="63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the intention of the parties that the payments and benefits to which the Executive could become entitled pursuant to this Agreement (including this Schedule I), as well as the termination of the Executive’s employment under this Agreement, comply with or are exempt from Section 409A of the Code. Any payments that qualify for the “short-term</w:t>
      </w:r>
    </w:p>
    <w:p>
      <w:pPr>
        <w:sectPr>
          <w:pgSz w:w="11900" w:h="16838" w:orient="portrait"/>
          <w:cols w:equalWidth="0" w:num="1">
            <w:col w:w="11400"/>
          </w:cols>
          <w:pgMar w:left="240" w:top="280" w:right="259" w:bottom="1440" w:gutter="0" w:footer="0" w:header="0"/>
        </w:sectPr>
      </w:pPr>
    </w:p>
    <w:bookmarkStart w:id="116" w:name="page117"/>
    <w:bookmarkEnd w:id="11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paragraph 3 of this Schedule I on account of the Executive’s termination of employment which is an “involuntary separation from service” (within the meaning of Treasury Regulation Section 1.409A-1(n)) shall be paid as provided under paragraph 3 of this Schedule I and in no event later than March 15 of the year following the year in which the Date of Termination occurs. In the event the parties determine that the terms of this Agreement, including this Schedule I, do not comply with Section 409A of the Code, they will negotiate reasonably and in good faith to amend the terms of this Agreement and/or Schedule I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(including this Schedule I)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Schedule I or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Arial" w:cs="Arial" w:eastAsia="Arial" w:hAnsi="Arial"/>
          <w:sz w:val="16"/>
          <w:szCs w:val="16"/>
          <w:u w:val="single" w:color="auto"/>
          <w:color w:val="auto"/>
        </w:rPr>
        <w:t>Interest</w:t>
      </w:r>
      <w:r>
        <w:rPr>
          <w:rFonts w:ascii="Arial" w:cs="Arial" w:eastAsia="Arial" w:hAnsi="Arial"/>
          <w:sz w:val="16"/>
          <w:szCs w:val="16"/>
          <w:color w:val="auto"/>
        </w:rPr>
        <w:t>”) determined as of the Date of Termination, as provided below in this paragraph 6 of this Schedule I.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or this Schedule I, as the case may be.</w:t>
      </w:r>
    </w:p>
    <w:p>
      <w:pPr>
        <w:sectPr>
          <w:pgSz w:w="11900" w:h="16838" w:orient="portrait"/>
          <w:cols w:equalWidth="0" w:num="1">
            <w:col w:w="11400"/>
          </w:cols>
          <w:pgMar w:left="240" w:top="280" w:right="259" w:bottom="1440" w:gutter="0" w:footer="0" w:header="0"/>
        </w:sectPr>
      </w:pPr>
    </w:p>
    <w:bookmarkStart w:id="117" w:name="page118"/>
    <w:bookmarkEnd w:id="117"/>
    <w:p>
      <w:pPr>
        <w:ind w:left="640" w:hanging="17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Section 3(b) of this Agreement is hereby amended to replace the first sentence thereof with the following: During the Schedule Term (as defined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the Executive shall continue to (i) serve as the General Counsel of PubliCo and Lazard, with such authority, duties and responsibilities as are consistent with the authority, duties and responsibilities exercised by the Executive on the Second Amendment Effective Date (as defined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(ii) report directly to the Firm’s Chief Executive Officer and the Board of Directors of PubliCo and (iii) 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w:t>
      </w:r>
    </w:p>
    <w:p>
      <w:pPr>
        <w:spacing w:after="0" w:line="147" w:lineRule="exact"/>
        <w:rPr>
          <w:sz w:val="20"/>
          <w:szCs w:val="20"/>
          <w:color w:val="auto"/>
        </w:rPr>
      </w:pPr>
    </w:p>
    <w:p>
      <w:pPr>
        <w:ind w:right="200" w:firstLine="456"/>
        <w:spacing w:after="0" w:line="301" w:lineRule="auto"/>
        <w:rPr>
          <w:sz w:val="20"/>
          <w:szCs w:val="20"/>
          <w:color w:val="auto"/>
        </w:rPr>
      </w:pPr>
      <w:r>
        <w:rPr>
          <w:rFonts w:ascii="Arial" w:cs="Arial" w:eastAsia="Arial" w:hAnsi="Arial"/>
          <w:sz w:val="15"/>
          <w:szCs w:val="15"/>
          <w:u w:val="single" w:color="auto"/>
          <w:color w:val="auto"/>
        </w:rPr>
        <w:t>Section 5(a)</w:t>
      </w:r>
      <w:r>
        <w:rPr>
          <w:rFonts w:ascii="Arial" w:cs="Arial" w:eastAsia="Arial" w:hAnsi="Arial"/>
          <w:sz w:val="15"/>
          <w:szCs w:val="15"/>
          <w:color w:val="auto"/>
        </w:rPr>
        <w:t xml:space="preserve">. </w:t>
      </w:r>
      <w:r>
        <w:rPr>
          <w:rFonts w:ascii="Arial" w:cs="Arial" w:eastAsia="Arial" w:hAnsi="Arial"/>
          <w:sz w:val="15"/>
          <w:szCs w:val="15"/>
          <w:u w:val="single" w:color="auto"/>
          <w:color w:val="auto"/>
        </w:rPr>
        <w:t>Noncompetition</w:t>
      </w:r>
      <w:r>
        <w:rPr>
          <w:rFonts w:ascii="Arial" w:cs="Arial" w:eastAsia="Arial" w:hAnsi="Arial"/>
          <w:sz w:val="15"/>
          <w:szCs w:val="15"/>
          <w:color w:val="auto"/>
        </w:rPr>
        <w:t>. Section 5(a) of this Agreement is hereby amended and restated in its entirety to read as follows: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w:t>
      </w:r>
    </w:p>
    <w:p>
      <w:pPr>
        <w:spacing w:after="0" w:line="5" w:lineRule="exact"/>
        <w:rPr>
          <w:sz w:val="20"/>
          <w:szCs w:val="20"/>
          <w:color w:val="auto"/>
        </w:rPr>
      </w:pPr>
    </w:p>
    <w:p>
      <w:pPr>
        <w:ind w:firstLine="8"/>
        <w:spacing w:after="0" w:line="285" w:lineRule="auto"/>
        <w:tabs>
          <w:tab w:leader="none" w:pos="21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three months after the Date of Termination for any reason other than a termination by the Firm without Cause or by the Executive for Good Reason or (ii) one month after the Date of Termination by the Firm without Cause or by the Executive for Good Reason (such period, the “</w:t>
      </w:r>
      <w:r>
        <w:rPr>
          <w:rFonts w:ascii="Arial" w:cs="Arial" w:eastAsia="Arial" w:hAnsi="Arial"/>
          <w:sz w:val="16"/>
          <w:szCs w:val="16"/>
          <w:u w:val="single" w:color="auto"/>
          <w:color w:val="auto"/>
        </w:rPr>
        <w:t>Noncompete Restriction Period</w:t>
      </w:r>
      <w:r>
        <w:rPr>
          <w:rFonts w:ascii="Arial" w:cs="Arial" w:eastAsia="Arial" w:hAnsi="Arial"/>
          <w:sz w:val="16"/>
          <w:szCs w:val="16"/>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ectPr>
          <w:pgSz w:w="11900" w:h="16838" w:orient="portrait"/>
          <w:cols w:equalWidth="0" w:num="1">
            <w:col w:w="11420"/>
          </w:cols>
          <w:pgMar w:left="240" w:top="280" w:right="239" w:bottom="1440" w:gutter="0" w:footer="0" w:header="0"/>
        </w:sectPr>
      </w:pPr>
    </w:p>
    <w:bookmarkStart w:id="118" w:name="page119"/>
    <w:bookmarkEnd w:id="118"/>
    <w:p>
      <w:pPr>
        <w:ind w:right="180" w:firstLine="456"/>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Nonsolicitation of Clients</w:t>
      </w:r>
      <w:r>
        <w:rPr>
          <w:rFonts w:ascii="Arial" w:cs="Arial" w:eastAsia="Arial" w:hAnsi="Arial"/>
          <w:sz w:val="18"/>
          <w:szCs w:val="18"/>
          <w:color w:val="auto"/>
        </w:rPr>
        <w:t>. Section 6 of this Agreement is hereby amended to replace the definition of “Client” with the following definition: “Client” means any client or prospective client of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Nondisparagement</w:t>
      </w:r>
      <w:r>
        <w:rPr>
          <w:rFonts w:ascii="Arial" w:cs="Arial" w:eastAsia="Arial" w:hAnsi="Arial"/>
          <w:sz w:val="16"/>
          <w:szCs w:val="16"/>
          <w:color w:val="auto"/>
        </w:rPr>
        <w:t>. Section 8 of this Agreement is hereby amended to add the following sentences immediately following the first sentence of such section: The Firm (including, without limitation,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Arbitration</w:t>
      </w:r>
      <w:r>
        <w:rPr>
          <w:rFonts w:ascii="Arial" w:cs="Arial" w:eastAsia="Arial" w:hAnsi="Arial"/>
          <w:sz w:val="16"/>
          <w:szCs w:val="16"/>
          <w:color w:val="auto"/>
        </w:rPr>
        <w:t>. Section 12 of this Agreement is hereby amended (i) to replace all references to “the New York Stock Exchange, Inc.” and the “NYSE” with references to the “Financial Industry Regulatory Authority” and “FINRA”, as applicable, and (ii) to add the following sentences at the end of such section: Prior to a Change in Control (as defined in Schedule I attached hereto), each party shall bear its own costs and expenses of any such arbitration. Following a Change in Control, Lazard shall pay to the Executive, as incurred, all legal fees and expenses reasonably incurred by the Executive or with respect to the Executive during his lifetime or within ten years after his death in connection with any contest by Lazard,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Section 12 or 13 of this Agreement or otherwise), plus Interest (as defined in Schedule I attached hereto) determined as of the date such legal fees and expenses were incurred; provided that, the Executive shall promptly repay to Lazard all such amounts if the Executive fails to prevail on at least one material issue in dispute in any such contest.</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u w:val="single" w:color="auto"/>
          <w:color w:val="auto"/>
        </w:rPr>
        <w:t>Section 16(b)</w:t>
      </w:r>
      <w:r>
        <w:rPr>
          <w:rFonts w:ascii="Arial" w:cs="Arial" w:eastAsia="Arial" w:hAnsi="Arial"/>
          <w:sz w:val="18"/>
          <w:szCs w:val="18"/>
          <w:color w:val="auto"/>
        </w:rPr>
        <w:t>. Paragraphs 2, 3, 4, 5 and 6 of this Schedule I and Sections 16(i) and (j) of this Agreement are hereby added to the list of sections in Section 16(b) of this Agreement.</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ectPr>
          <w:pgSz w:w="11900" w:h="16838" w:orient="portrait"/>
          <w:cols w:equalWidth="0" w:num="1">
            <w:col w:w="11380"/>
          </w:cols>
          <w:pgMar w:left="240" w:top="280" w:right="2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16(i) and (j)</w:t>
      </w:r>
      <w:r>
        <w:rPr>
          <w:rFonts w:ascii="Arial" w:cs="Arial" w:eastAsia="Arial" w:hAnsi="Arial"/>
          <w:sz w:val="18"/>
          <w:szCs w:val="18"/>
          <w:color w:val="auto"/>
        </w:rPr>
        <w:t>. Section 16 of this Agreement is hereby amended to add the following new subsections:</w:t>
      </w:r>
    </w:p>
    <w:p>
      <w:pPr>
        <w:spacing w:after="0" w:line="90" w:lineRule="exact"/>
        <w:rPr>
          <w:sz w:val="20"/>
          <w:szCs w:val="20"/>
          <w:color w:val="auto"/>
        </w:rPr>
      </w:pPr>
    </w:p>
    <w:p>
      <w:pPr>
        <w:ind w:firstLine="443"/>
        <w:spacing w:after="0" w:line="294" w:lineRule="auto"/>
        <w:tabs>
          <w:tab w:leader="none" w:pos="64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provided that in no event shall the after-tax cost to the Executive of such benefits be greater than the cost applicable to similarly situated executives of the Firm who have not terminated employment or, following a Change in Control (as defined in Schedule I attached hereto), the cost applicable to the Executive immediately prior to the Change in Control, if more favorable to the Executive.</w:t>
      </w:r>
    </w:p>
    <w:p>
      <w:pPr>
        <w:spacing w:after="0" w:line="34" w:lineRule="exact"/>
        <w:rPr>
          <w:rFonts w:ascii="Arial" w:cs="Arial" w:eastAsia="Arial" w:hAnsi="Arial"/>
          <w:sz w:val="16"/>
          <w:szCs w:val="16"/>
          <w:color w:val="auto"/>
        </w:rPr>
      </w:pPr>
    </w:p>
    <w:p>
      <w:pPr>
        <w:ind w:right="660" w:firstLine="443"/>
        <w:spacing w:after="0" w:line="268" w:lineRule="auto"/>
        <w:tabs>
          <w:tab w:leader="none" w:pos="64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31" w:lineRule="exact"/>
        <w:rPr>
          <w:rFonts w:ascii="Arial" w:cs="Arial" w:eastAsia="Arial" w:hAnsi="Arial"/>
          <w:sz w:val="18"/>
          <w:szCs w:val="18"/>
          <w:color w:val="auto"/>
        </w:rPr>
      </w:pPr>
    </w:p>
    <w:p>
      <w:pPr>
        <w:ind w:left="-460" w:right="40" w:firstLine="464"/>
        <w:spacing w:after="0" w:line="306" w:lineRule="auto"/>
        <w:tabs>
          <w:tab w:leader="none" w:pos="172"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Second Amendment may be executed in any number of counterparts, each of which shall be an original and all of which, when taken together, will constitute one and the same instrument. Delivery of an executed counterpart of a signature page of this Second Amendment by facsimile transmission or electronic means (including by “pdf”) shall be effective as delivery of a manually executed counterpart of this Second Amendment.</w:t>
      </w:r>
    </w:p>
    <w:p>
      <w:pPr>
        <w:sectPr>
          <w:pgSz w:w="11900" w:h="16838" w:orient="portrait"/>
          <w:cols w:equalWidth="0" w:num="1">
            <w:col w:w="10920"/>
          </w:cols>
          <w:pgMar w:left="700" w:top="280" w:right="27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SDH</w:t>
            </w:r>
          </w:p>
        </w:tc>
        <w:tc>
          <w:tcPr>
            <w:tcW w:w="2180" w:type="dxa"/>
            <w:vAlign w:val="bottom"/>
          </w:tcPr>
          <w:p>
            <w:pPr>
              <w:ind w:left="360"/>
              <w:spacing w:after="0"/>
              <w:rPr>
                <w:sz w:val="20"/>
                <w:szCs w:val="20"/>
                <w:color w:val="auto"/>
              </w:rPr>
            </w:pPr>
            <w:r>
              <w:rPr>
                <w:rFonts w:ascii="Arial" w:cs="Arial" w:eastAsia="Arial" w:hAnsi="Arial"/>
                <w:sz w:val="18"/>
                <w:szCs w:val="18"/>
                <w:color w:val="auto"/>
                <w:w w:val="90"/>
              </w:rPr>
              <w:t>Initialed by the Executive</w:t>
            </w:r>
          </w:p>
        </w:tc>
      </w:tr>
      <w:tr>
        <w:trPr>
          <w:trHeight w:val="30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KMJ</w:t>
            </w:r>
          </w:p>
        </w:tc>
        <w:tc>
          <w:tcPr>
            <w:tcW w:w="2180" w:type="dxa"/>
            <w:vAlign w:val="bottom"/>
          </w:tcPr>
          <w:p>
            <w:pPr>
              <w:ind w:left="360"/>
              <w:spacing w:after="0"/>
              <w:rPr>
                <w:sz w:val="20"/>
                <w:szCs w:val="20"/>
                <w:color w:val="auto"/>
              </w:rPr>
            </w:pPr>
            <w:r>
              <w:rPr>
                <w:rFonts w:ascii="Arial" w:cs="Arial" w:eastAsia="Arial" w:hAnsi="Arial"/>
                <w:sz w:val="18"/>
                <w:szCs w:val="18"/>
                <w:color w:val="auto"/>
              </w:rPr>
              <w:t>Initialed by Lazard</w:t>
            </w:r>
          </w:p>
        </w:tc>
      </w:tr>
      <w:tr>
        <w:trPr>
          <w:trHeight w:val="30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KMJ</w:t>
            </w:r>
          </w:p>
        </w:tc>
        <w:tc>
          <w:tcPr>
            <w:tcW w:w="2180" w:type="dxa"/>
            <w:vAlign w:val="bottom"/>
          </w:tcPr>
          <w:p>
            <w:pPr>
              <w:ind w:left="360"/>
              <w:spacing w:after="0"/>
              <w:rPr>
                <w:sz w:val="20"/>
                <w:szCs w:val="20"/>
                <w:color w:val="auto"/>
              </w:rPr>
            </w:pPr>
            <w:r>
              <w:rPr>
                <w:rFonts w:ascii="Arial" w:cs="Arial" w:eastAsia="Arial" w:hAnsi="Arial"/>
                <w:sz w:val="18"/>
                <w:szCs w:val="18"/>
                <w:color w:val="auto"/>
              </w:rPr>
              <w:t>Initialed by PubliCo</w:t>
            </w:r>
          </w:p>
        </w:tc>
      </w:tr>
    </w:tbl>
    <w:p>
      <w:pPr>
        <w:ind w:left="36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10.53</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Second Amendment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March 14, 2013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Agreement Relating to Retention and Noncompetition and Other Covenants by and among Lazard Ltd, a company incorporated under the Laws of Bermuda (“</w:t>
      </w:r>
      <w:r>
        <w:rPr>
          <w:rFonts w:ascii="Arial" w:cs="Arial" w:eastAsia="Arial" w:hAnsi="Arial"/>
          <w:sz w:val="18"/>
          <w:szCs w:val="18"/>
          <w:u w:val="single" w:color="auto"/>
          <w:color w:val="auto"/>
        </w:rPr>
        <w:t>PubliCo</w:t>
      </w:r>
      <w:r>
        <w:rPr>
          <w:rFonts w:ascii="Arial" w:cs="Arial" w:eastAsia="Arial" w:hAnsi="Arial"/>
          <w:sz w:val="18"/>
          <w:szCs w:val="18"/>
          <w:color w:val="auto"/>
        </w:rPr>
        <w:t>”), Lazard Group LLC, a Delaware limited liability company and successor to Lazard LLC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their subsidiaries and affiliates (collectively with PubliCo,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Alexander F. Stern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October 4, 2004, and amended on March 23, 2010 (as amended, this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WHEREAS, the Firm and the Executive wish to amend this Agreement to modify Schedule I to such Agreement to extend the term of certain provisions of Schedule I of this Agreement beyond March 23, 2013, eliminate the golden parachute excise tax gross-up provision and revise certain other terms.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PubliCo and Lazard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the Effective Date, Schedule I of this Agreement shall hereby be amended and restated in its entirety in the form attached hereto.</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WITNESS WHEREOF, the Executive and the Board of Directors of each of Lazard and PubliCo have caused this Second Amendment to be executed and delivered on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26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379"/>
        </w:trPr>
        <w:tc>
          <w:tcPr>
            <w:tcW w:w="3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F. Stern</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Alexander F. Stern</w:t>
            </w:r>
          </w:p>
        </w:tc>
      </w:tr>
      <w:tr>
        <w:trPr>
          <w:trHeight w:val="419"/>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LAZARD LTD,</w:t>
            </w:r>
          </w:p>
        </w:tc>
      </w:tr>
      <w:tr>
        <w:trPr>
          <w:trHeight w:val="434"/>
        </w:trPr>
        <w:tc>
          <w:tcPr>
            <w:tcW w:w="3520" w:type="dxa"/>
            <w:vAlign w:val="bottom"/>
          </w:tcPr>
          <w:p>
            <w:pPr>
              <w:spacing w:after="0"/>
              <w:rPr>
                <w:sz w:val="24"/>
                <w:szCs w:val="24"/>
                <w:color w:val="auto"/>
              </w:rPr>
            </w:pPr>
          </w:p>
        </w:tc>
        <w:tc>
          <w:tcPr>
            <w:tcW w:w="2660" w:type="dxa"/>
            <w:vAlign w:val="bottom"/>
          </w:tcPr>
          <w:p>
            <w:pPr>
              <w:ind w:left="23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D. Hoffman</w:t>
            </w:r>
          </w:p>
        </w:tc>
      </w:tr>
      <w:tr>
        <w:trPr>
          <w:trHeight w:val="215"/>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Scott D. Hoffman</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Managing Director and General Counsel</w:t>
            </w:r>
          </w:p>
        </w:tc>
      </w:tr>
      <w:tr>
        <w:trPr>
          <w:trHeight w:val="412"/>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w w:val="93"/>
              </w:rPr>
              <w:t>LAZARD GROUP LLC (on its behalf, and on behalf of its subsidiaries and</w:t>
            </w:r>
          </w:p>
        </w:tc>
      </w:tr>
      <w:tr>
        <w:trPr>
          <w:trHeight w:val="222"/>
        </w:trPr>
        <w:tc>
          <w:tcPr>
            <w:tcW w:w="3520" w:type="dxa"/>
            <w:vAlign w:val="bottom"/>
          </w:tcPr>
          <w:p>
            <w:pPr>
              <w:spacing w:after="0"/>
              <w:rPr>
                <w:sz w:val="19"/>
                <w:szCs w:val="19"/>
                <w:color w:val="auto"/>
              </w:rPr>
            </w:pP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affiliates),</w:t>
            </w:r>
          </w:p>
        </w:tc>
      </w:tr>
      <w:tr>
        <w:trPr>
          <w:trHeight w:val="434"/>
        </w:trPr>
        <w:tc>
          <w:tcPr>
            <w:tcW w:w="3520" w:type="dxa"/>
            <w:vAlign w:val="bottom"/>
          </w:tcPr>
          <w:p>
            <w:pPr>
              <w:spacing w:after="0"/>
              <w:rPr>
                <w:sz w:val="24"/>
                <w:szCs w:val="24"/>
                <w:color w:val="auto"/>
              </w:rPr>
            </w:pPr>
          </w:p>
        </w:tc>
        <w:tc>
          <w:tcPr>
            <w:tcW w:w="2660" w:type="dxa"/>
            <w:vAlign w:val="bottom"/>
          </w:tcPr>
          <w:p>
            <w:pPr>
              <w:ind w:left="23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D. Hoffman</w:t>
            </w:r>
          </w:p>
        </w:tc>
      </w:tr>
      <w:tr>
        <w:trPr>
          <w:trHeight w:val="215"/>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Scott D. Hoffman</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Managing Director and General Counsel</w:t>
            </w:r>
          </w:p>
        </w:tc>
      </w:tr>
    </w:tbl>
    <w:p>
      <w:pPr>
        <w:sectPr>
          <w:pgSz w:w="11900" w:h="16838" w:orient="portrait"/>
          <w:cols w:equalWidth="0" w:num="1">
            <w:col w:w="11420"/>
          </w:cols>
          <w:pgMar w:left="240" w:top="125" w:right="23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Name (as per Preamble):</w:t>
      </w:r>
      <w:r>
        <w:rPr>
          <w:sz w:val="20"/>
          <w:szCs w:val="20"/>
          <w:color w:val="auto"/>
        </w:rPr>
        <w:tab/>
      </w:r>
      <w:r>
        <w:rPr>
          <w:rFonts w:ascii="Arial" w:cs="Arial" w:eastAsia="Arial" w:hAnsi="Arial"/>
          <w:sz w:val="15"/>
          <w:szCs w:val="15"/>
          <w:color w:val="auto"/>
        </w:rPr>
        <w:t>Mr. Alexander F. Stern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Effective upon the effective date of the Second Amendment to this Agreement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ind w:right="140" w:firstLine="464"/>
        <w:spacing w:after="0" w:line="306" w:lineRule="auto"/>
        <w:tabs>
          <w:tab w:leader="none" w:pos="63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Schedule Term</w:t>
      </w:r>
      <w:r>
        <w:rPr>
          <w:rFonts w:ascii="Arial" w:cs="Arial" w:eastAsia="Arial" w:hAnsi="Arial"/>
          <w:sz w:val="16"/>
          <w:szCs w:val="16"/>
          <w:color w:val="auto"/>
        </w:rPr>
        <w:t>. For purposes of this Schedule I, the “</w:t>
      </w:r>
      <w:r>
        <w:rPr>
          <w:rFonts w:ascii="Arial" w:cs="Arial" w:eastAsia="Arial" w:hAnsi="Arial"/>
          <w:sz w:val="16"/>
          <w:szCs w:val="16"/>
          <w:u w:val="single" w:color="auto"/>
          <w:color w:val="auto"/>
        </w:rPr>
        <w:t>Schedule Term</w:t>
      </w:r>
      <w:r>
        <w:rPr>
          <w:rFonts w:ascii="Arial" w:cs="Arial" w:eastAsia="Arial" w:hAnsi="Arial"/>
          <w:sz w:val="16"/>
          <w:szCs w:val="16"/>
          <w:color w:val="auto"/>
        </w:rPr>
        <w:t>” shall mean the period from the Second Amendment Effective Date through March 31, 2016, subject to earlier termination in accordance with this Agreement. Notwithstanding the foregoing, upon a Change in Control (as defined below), the Schedule Term shall automatically be renewed so that the Schedule Term is not less than two years from the effective date of such Change in Control.</w:t>
      </w:r>
    </w:p>
    <w:p>
      <w:pPr>
        <w:spacing w:after="0" w:line="106" w:lineRule="exact"/>
        <w:rPr>
          <w:rFonts w:ascii="Arial" w:cs="Arial" w:eastAsia="Arial" w:hAnsi="Arial"/>
          <w:sz w:val="16"/>
          <w:szCs w:val="16"/>
          <w:color w:val="auto"/>
        </w:rPr>
      </w:pPr>
    </w:p>
    <w:p>
      <w:pPr>
        <w:ind w:right="60" w:firstLine="464"/>
        <w:spacing w:after="0" w:line="286" w:lineRule="auto"/>
        <w:tabs>
          <w:tab w:leader="none" w:pos="63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Notwithstanding anything to the contrary contained in Sections 3(c)(i) and (ii) of this Agreement, subject to the Executive’s continued employment with the Firm, during the Schedule Term, the Executive shall be entitled to receive (i) an annual base salary of not less than $750,000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Salary</w:t>
      </w:r>
      <w:r>
        <w:rPr>
          <w:rFonts w:ascii="Arial" w:cs="Arial" w:eastAsia="Arial" w:hAnsi="Arial"/>
          <w:sz w:val="16"/>
          <w:szCs w:val="16"/>
          <w:color w:val="auto"/>
        </w:rPr>
        <w:t>”) and (ii) so long as the Executive remains employed by the Firm through the end of the applicable fiscal year of Lazard (except as otherwise provided below in this Schedule I), an annual bonus to be determined under the terms of the applicable annual bonus plan of Lazard on the same basis as annual bonuses are determined for other executive officers of PubliCo, with such annual bonus to be paid in the same ratio of cash to equity awards as is applicable to executives of the Firm receiving annual bonuses at a level comparable to the annual bonus of the Executive. For purposes hereof, the term Base Salary shall refer to Base Salary as in effect from time to time, including any increases thereto. Notwithstanding anything to the contrary contained in Section 3(c)(iv) of this Agreement, subject to the Executive’s continued employment with the Firm, the Executive shall continue to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w:t>
      </w:r>
    </w:p>
    <w:p>
      <w:pPr>
        <w:spacing w:after="0" w:line="127" w:lineRule="exact"/>
        <w:rPr>
          <w:rFonts w:ascii="Arial" w:cs="Arial" w:eastAsia="Arial" w:hAnsi="Arial"/>
          <w:sz w:val="16"/>
          <w:szCs w:val="16"/>
          <w:color w:val="auto"/>
        </w:rPr>
      </w:pPr>
    </w:p>
    <w:p>
      <w:pPr>
        <w:ind w:firstLine="464"/>
        <w:spacing w:after="0" w:line="289" w:lineRule="auto"/>
        <w:tabs>
          <w:tab w:leader="none" w:pos="63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under Certain Circumstances</w:t>
      </w:r>
      <w:r>
        <w:rPr>
          <w:rFonts w:ascii="Arial" w:cs="Arial" w:eastAsia="Arial" w:hAnsi="Arial"/>
          <w:sz w:val="16"/>
          <w:szCs w:val="16"/>
          <w:color w:val="auto"/>
        </w:rPr>
        <w:t>. Notwithstanding anything to the contrary contained in Section 3(d) of this Agreement, in the event that during the Schedule Term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shall pay the Executive (subject to the Executive delivering a waiver and release in accordance with this paragraph 3 of this Schedule I in the event such Qualifying Termination occurs prior to a Change in Control), in a lump sum in cash on the 61st day after the Date of Termination (as defined below), the aggregate of the following amounts: (i) any unpaid Base Salary through the Date of Termination; (ii) any earned and unpaid bonus amounts for fiscal years of Lazard completed prior to the Date of Termination (determined in accordance with paragraph 2 of this Schedule I and with any such bonus to be paid in full in cash); and (iii) the product of (1) the “</w:t>
      </w:r>
      <w:r>
        <w:rPr>
          <w:rFonts w:ascii="Arial" w:cs="Arial" w:eastAsia="Arial" w:hAnsi="Arial"/>
          <w:sz w:val="16"/>
          <w:szCs w:val="16"/>
          <w:u w:val="single" w:color="auto"/>
          <w:color w:val="auto"/>
        </w:rPr>
        <w:t>Severance Multiple</w:t>
      </w:r>
      <w:r>
        <w:rPr>
          <w:rFonts w:ascii="Arial" w:cs="Arial" w:eastAsia="Arial" w:hAnsi="Arial"/>
          <w:sz w:val="16"/>
          <w:szCs w:val="16"/>
          <w:color w:val="auto"/>
        </w:rPr>
        <w:t>” (as defined below) and (2) the sum of (x) the Base Salary and (y) the average annual bonus (or, to the extent applicable, cash distributions, and</w:t>
      </w:r>
    </w:p>
    <w:p>
      <w:pPr>
        <w:sectPr>
          <w:pgSz w:w="11900" w:h="16838" w:orient="portrait"/>
          <w:cols w:equalWidth="0" w:num="1">
            <w:col w:w="11400"/>
          </w:cols>
          <w:pgMar w:left="240" w:top="274" w:right="259" w:bottom="1440" w:gutter="0" w:footer="0" w:header="0"/>
        </w:sectPr>
      </w:pPr>
    </w:p>
    <w:bookmarkStart w:id="123" w:name="page124"/>
    <w:bookmarkEnd w:id="12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6"/>
          <w:szCs w:val="16"/>
          <w:u w:val="single" w:color="auto"/>
          <w:color w:val="auto"/>
        </w:rPr>
        <w:t>Average</w:t>
      </w:r>
      <w:r>
        <w:rPr>
          <w:rFonts w:ascii="Arial" w:cs="Arial" w:eastAsia="Arial" w:hAnsi="Arial"/>
          <w:sz w:val="16"/>
          <w:szCs w:val="16"/>
          <w:color w:val="auto"/>
        </w:rPr>
        <w:t xml:space="preserve"> </w:t>
      </w:r>
      <w:r>
        <w:rPr>
          <w:rFonts w:ascii="Arial" w:cs="Arial" w:eastAsia="Arial" w:hAnsi="Arial"/>
          <w:sz w:val="16"/>
          <w:szCs w:val="16"/>
          <w:u w:val="single" w:color="auto"/>
          <w:color w:val="auto"/>
        </w:rPr>
        <w:t>Bonus</w:t>
      </w:r>
      <w:r>
        <w:rPr>
          <w:rFonts w:ascii="Arial" w:cs="Arial" w:eastAsia="Arial" w:hAnsi="Arial"/>
          <w:sz w:val="16"/>
          <w:szCs w:val="16"/>
          <w:color w:val="auto"/>
        </w:rPr>
        <w:t>”). In addition, upon a Qualifying Termination, for a period of months equal to the product of (A) 12 and (B) the Severance Multiple (the “</w:t>
      </w:r>
      <w:r>
        <w:rPr>
          <w:rFonts w:ascii="Arial" w:cs="Arial" w:eastAsia="Arial" w:hAnsi="Arial"/>
          <w:sz w:val="16"/>
          <w:szCs w:val="16"/>
          <w:u w:val="single" w:color="auto"/>
          <w:color w:val="auto"/>
        </w:rPr>
        <w:t>Benefit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Continuation Period</w:t>
      </w:r>
      <w:r>
        <w:rPr>
          <w:rFonts w:ascii="Arial" w:cs="Arial" w:eastAsia="Arial" w:hAnsi="Arial"/>
          <w:sz w:val="16"/>
          <w:szCs w:val="16"/>
          <w:color w:val="auto"/>
        </w:rPr>
        <w:t>”), the Executive and his eligible dependents shall continue to be eligible to participate in the medical and dental benefit plans of Lazard on the same basis as the Executive participated in such plans immediately prior to the Date of Termination, to the extent that the applicable plan permits such continued participation for all or any portion of such period (it being agreed that Lazard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w:t>
      </w:r>
    </w:p>
    <w:p>
      <w:pPr>
        <w:spacing w:after="0" w:line="12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addition, in the case of (a) a Qualifying Termination during the Schedule Term or (b) the Executive’s death or termination due to Disability during the Schedule Term, with respect to the fiscal year of Lazard during which the Date of Termination occurs, the Executive or his estate, as applicable, shall receive a pro-rata annual bonus payable in cash determined as follows:</w:t>
      </w:r>
    </w:p>
    <w:p>
      <w:pPr>
        <w:spacing w:after="0" w:line="59" w:lineRule="exact"/>
        <w:rPr>
          <w:sz w:val="20"/>
          <w:szCs w:val="20"/>
          <w:color w:val="auto"/>
        </w:rPr>
      </w:pPr>
    </w:p>
    <w:p>
      <w:pPr>
        <w:ind w:left="1120" w:hanging="217"/>
        <w:spacing w:after="0"/>
        <w:tabs>
          <w:tab w:leader="none" w:pos="11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if, with respect to the fiscal year during which the Date of Termination occurs (other than (x) as a result of the Executive’s death or Disability or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following a Change in Control), (A) the Executive was reasonably expected by Lazard to be a “covered employee” (within the meaning of</w:t>
      </w:r>
    </w:p>
    <w:p>
      <w:pPr>
        <w:spacing w:after="0" w:line="32"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Section 162(m) of the Internal Revenue Code of 1986, as amended and the regulations promulgated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(1)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who received bonuses for such prior fiscal year in amounts within 5% of the Executive’s bonus for such prior fiscal year), and (2)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6"/>
          <w:szCs w:val="16"/>
          <w:u w:val="single" w:color="auto"/>
          <w:color w:val="auto"/>
        </w:rPr>
        <w:t>Pro-Ration Fraction</w:t>
      </w:r>
      <w:r>
        <w:rPr>
          <w:rFonts w:ascii="Arial" w:cs="Arial" w:eastAsia="Arial" w:hAnsi="Arial"/>
          <w:sz w:val="16"/>
          <w:szCs w:val="16"/>
          <w:color w:val="auto"/>
        </w:rPr>
        <w:t>”); or</w:t>
      </w:r>
    </w:p>
    <w:p>
      <w:pPr>
        <w:sectPr>
          <w:pgSz w:w="11900" w:h="16838" w:orient="portrait"/>
          <w:cols w:equalWidth="0" w:num="1">
            <w:col w:w="11400"/>
          </w:cols>
          <w:pgMar w:left="240" w:top="280" w:right="259" w:bottom="1440" w:gutter="0" w:footer="0" w:header="0"/>
        </w:sectPr>
      </w:pPr>
    </w:p>
    <w:bookmarkStart w:id="124" w:name="page125"/>
    <w:bookmarkEnd w:id="124"/>
    <w:p>
      <w:pPr>
        <w:ind w:left="460" w:right="60" w:firstLine="443"/>
        <w:spacing w:after="0" w:line="294" w:lineRule="auto"/>
        <w:tabs>
          <w:tab w:leader="none" w:pos="1157" w:val="left"/>
        </w:tabs>
        <w:numPr>
          <w:ilvl w:val="0"/>
          <w:numId w:val="1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 either (A) with respect to the fiscal year during which the Date of Termination occurs, (1) the Executive is not reasonably expected by Lazard to be a “covered employee” (within the meaning of Section 162(m) of the Code) prior to his Date of Termination or (2) such termination is a result of the Executive’s death or Disability or occurs following a Change in Control or (B)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(x) the Average Bonus and (y) the Pro-Ration Fraction.</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pro-rata annual bonus determined pursuant to clause (i) or (ii) above, as applicable, shall be paid at such time or times as Lazard otherwise makes incentive payments for such fiscal year (and in all events no earlier than January 1st, and no later than March 15th, of the year following the year in which the Date of Termination occurs).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Notwithstanding the foregoing, the payments and benefits (other than any earned and unpaid compensation described in clauses (i) and (ii) of the first paragraph of this paragraph 3 of this Schedule I) payable to the Executive pursuant to this paragraph 3 of this Schedule 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Exhibit A that has become effective and irrevocable in accordance with its terms (such requirement to execute a release, the “</w:t>
      </w:r>
      <w:r>
        <w:rPr>
          <w:rFonts w:ascii="Arial" w:cs="Arial" w:eastAsia="Arial" w:hAnsi="Arial"/>
          <w:sz w:val="18"/>
          <w:szCs w:val="18"/>
          <w:u w:val="single" w:color="auto"/>
          <w:color w:val="auto"/>
        </w:rPr>
        <w:t>Release Requirement</w:t>
      </w:r>
      <w:r>
        <w:rPr>
          <w:rFonts w:ascii="Arial" w:cs="Arial" w:eastAsia="Arial" w:hAnsi="Arial"/>
          <w:sz w:val="18"/>
          <w:szCs w:val="18"/>
          <w:color w:val="auto"/>
        </w:rPr>
        <w:t>”). Notwithstanding the foregoing, the Release Requirement shall lapse upon a Change in Control.</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all purposes of this Agreement, including without limitation, Sections 2(g)(ii) and 5(a), and for all purposes of the outstanding equity-based awards, fund interest awards and any similar awards held by the Executive as of the Date of Termination (as defined in this Schedule I) (collectively, the “</w:t>
      </w:r>
      <w:r>
        <w:rPr>
          <w:rFonts w:ascii="Arial" w:cs="Arial" w:eastAsia="Arial" w:hAnsi="Arial"/>
          <w:sz w:val="18"/>
          <w:szCs w:val="18"/>
          <w:u w:val="single" w:color="auto"/>
          <w:color w:val="auto"/>
        </w:rPr>
        <w:t>Awards</w:t>
      </w:r>
      <w:r>
        <w:rPr>
          <w:rFonts w:ascii="Arial" w:cs="Arial" w:eastAsia="Arial" w:hAnsi="Arial"/>
          <w:sz w:val="18"/>
          <w:szCs w:val="18"/>
          <w:color w:val="auto"/>
        </w:rPr>
        <w:t>”), a resignation by the Executive for Good Reason during the Term shall be treated as a termination of the Executive by the Firm without Cause or as a Termination of Employment by the Firm other than for Cause (as such phrase or similar phrases are defined in the Plan (as defined in paragraph 4 of this Schedule I) or the award agreements governing the Awards), as applicable.</w:t>
      </w:r>
    </w:p>
    <w:p>
      <w:pPr>
        <w:spacing w:after="0" w:line="14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paragraph 3 of this Schedule I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ectPr>
          <w:pgSz w:w="11900" w:h="16838" w:orient="portrait"/>
          <w:cols w:equalWidth="0" w:num="1">
            <w:col w:w="11420"/>
          </w:cols>
          <w:pgMar w:left="240" w:top="280" w:right="239" w:bottom="1440" w:gutter="0" w:footer="0" w:header="0"/>
        </w:sectPr>
      </w:pPr>
    </w:p>
    <w:bookmarkStart w:id="125" w:name="page126"/>
    <w:bookmarkEnd w:id="12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and this Schedule I, as applicable, the following terms shall have the following meanings:</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assigned to it in the Lazard 2008 Incentive Compensation Plan, as it may be amended from time to time, or any successor plan thereto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Notwithstanding the definition of “Date of Termination” set forth in Section 5 of this Agreement, for all purposes of this Agreement, including Section 5, and this Schedule I,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formally notifies the Executive in writing that it does not intend to cure, unless Lazard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including this Schedule I, constitutes a “separation from service” within the meaning of Section 409A of the Code, and notwithstanding anything contained herein (or in this Agreement) to the contrary, (x) to the extent that any amounts owed to the Executive under this Agreement (including this Schedule I)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without limitation, the default presumptions thereof and (y) the date on which such separation from service takes place shall be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w:t>
      </w:r>
    </w:p>
    <w:p>
      <w:pPr>
        <w:spacing w:after="0" w:line="13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Notwithstanding the definition of “Cause” set forth in Section 2(g)(iv) of this Agreement, for all purposes of this Agreement, including Section 2(g)(iv) and this Schedule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(other than any such failure resulting from incapacity due to physical or mental illness or following the Firm’s termination of the Executive other than for Cause or the Executive’s termination for Good Reason in accordance with this Schedule I) (i) to perform his employment duties in any material respect or (ii) to follow specific reasonable directions received from the Firm’s Chief Executive Officer, in each case following written notice to the Executive of such failure and, if such failure is curable, the Executive’s failing to cure such</w:t>
      </w:r>
    </w:p>
    <w:p>
      <w:pPr>
        <w:sectPr>
          <w:pgSz w:w="11900" w:h="16838" w:orient="portrait"/>
          <w:cols w:equalWidth="0" w:num="1">
            <w:col w:w="11420"/>
          </w:cols>
          <w:pgMar w:left="240" w:top="280" w:right="239" w:bottom="1440" w:gutter="0" w:footer="0" w:header="0"/>
        </w:sectPr>
      </w:pPr>
    </w:p>
    <w:bookmarkStart w:id="126" w:name="page127"/>
    <w:bookmarkEnd w:id="126"/>
    <w:p>
      <w:pPr>
        <w:ind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within a reasonable time (but in no event less than thirty (30) days after actual receipt by the Executive of such written notice); or (D) a breach of the Covenants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(B), (C)(i) and (D) hereof, the Executive’s acts or failure to act shall not constitute Cause to the extent taken (or not taken) based upon the direct instructions of the Firm’s Chief Executive Officer or upon the direct advice of counsel to the Firm. Except in the case of a termination of the Executive’s employment under clause</w:t>
      </w:r>
    </w:p>
    <w:p>
      <w:pPr>
        <w:spacing w:after="0" w:line="1" w:lineRule="exact"/>
        <w:rPr>
          <w:sz w:val="20"/>
          <w:szCs w:val="20"/>
          <w:color w:val="auto"/>
        </w:rPr>
      </w:pPr>
    </w:p>
    <w:p>
      <w:pPr>
        <w:ind w:firstLine="8"/>
        <w:spacing w:after="0" w:line="295" w:lineRule="auto"/>
        <w:tabs>
          <w:tab w:leader="none" w:pos="28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6"/>
          <w:szCs w:val="16"/>
          <w:u w:val="single" w:color="auto"/>
          <w:color w:val="auto"/>
        </w:rPr>
        <w:t>Applicable Board</w:t>
      </w:r>
      <w:r>
        <w:rPr>
          <w:rFonts w:ascii="Arial" w:cs="Arial" w:eastAsia="Arial" w:hAnsi="Arial"/>
          <w:sz w:val="16"/>
          <w:szCs w:val="16"/>
          <w:color w:val="auto"/>
        </w:rPr>
        <w:t>”) finding that, in the good faith opinion of the Applicable Board, circumstances constituting Cause exist.</w:t>
      </w:r>
    </w:p>
    <w:p>
      <w:pPr>
        <w:spacing w:after="0" w:line="11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 (including status, offices, titles and reporting requirements), authority, duties or responsibilities from those contemplated by Section 3(b) of this Agreement (without regard to the expiration of the Schedule Term), or any other action by the Firm which results in a material diminution in such position (including status, offices, titles and reporting requirements), authority, duties or responsibilities from those contemplated by Section 3(b) of this Agreement (without regard to the expiration of the Schedule Term), (ii) a material breach by the Firm of the terms of this Agreement, including, without limitation, any material failure by the Firm to comply with paragraph 2 of this Schedule I or the nondisparagement covenant in Section 8 of this Agreement, or (iii) without the Executive’s written consent, any requirement that the Executive’s principal place of employment be relocated to a location that increases the Executive’s commute from his primary residence by more than thirty (30) miles. In the event of a termination for Good Reason, the notice requirements of Section 1 of this Agreement shall not apply. Notwithstanding the foregoing, a termination for Good Reason shall not have occurred unless (i) the Executive gives written notice to Lazard of termination of employment within ninety (90) days after the Executive first becomes aware of the occurrence of the circumstances constituting Good Reason, specifying in reasonable detail the circumstances constituting Good Reason, and Lazard has failed within thirty (30) days after receipt of such notice to cure (if capable of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Multiple</w:t>
      </w:r>
      <w:r>
        <w:rPr>
          <w:rFonts w:ascii="Arial" w:cs="Arial" w:eastAsia="Arial" w:hAnsi="Arial"/>
          <w:sz w:val="18"/>
          <w:szCs w:val="18"/>
          <w:color w:val="auto"/>
        </w:rPr>
        <w:t>” shall equal two (2).</w:t>
      </w:r>
    </w:p>
    <w:p>
      <w:pPr>
        <w:spacing w:after="0" w:line="171" w:lineRule="exact"/>
        <w:rPr>
          <w:sz w:val="20"/>
          <w:szCs w:val="20"/>
          <w:color w:val="auto"/>
        </w:rPr>
      </w:pPr>
    </w:p>
    <w:p>
      <w:pPr>
        <w:jc w:val="both"/>
        <w:ind w:right="20" w:firstLine="464"/>
        <w:spacing w:after="0" w:line="306" w:lineRule="auto"/>
        <w:tabs>
          <w:tab w:leader="none" w:pos="63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Certain Limitations on Payments</w:t>
      </w:r>
      <w:r>
        <w:rPr>
          <w:rFonts w:ascii="Arial" w:cs="Arial" w:eastAsia="Arial" w:hAnsi="Arial"/>
          <w:sz w:val="16"/>
          <w:szCs w:val="16"/>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6"/>
          <w:szCs w:val="16"/>
          <w:u w:val="single" w:color="auto"/>
          <w:color w:val="auto"/>
        </w:rPr>
        <w:t>Accountant</w:t>
      </w:r>
      <w:r>
        <w:rPr>
          <w:rFonts w:ascii="Arial" w:cs="Arial" w:eastAsia="Arial" w:hAnsi="Arial"/>
          <w:sz w:val="16"/>
          <w:szCs w:val="16"/>
          <w:color w:val="auto"/>
        </w:rPr>
        <w:t>”), which determination</w:t>
      </w:r>
    </w:p>
    <w:p>
      <w:pPr>
        <w:sectPr>
          <w:pgSz w:w="11900" w:h="16838" w:orient="portrait"/>
          <w:cols w:equalWidth="0" w:num="1">
            <w:col w:w="11400"/>
          </w:cols>
          <w:pgMar w:left="240" w:top="280" w:right="25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certified by the Accountant and set forth in a certificate delivered to the Executive setting forth in reasonable detail the basis of the Accountant’s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determinations, that the aggregate amount of the payments, distributions, benefits and entitlements in the nature of compensation (within the meaning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280G(B)(2) of the Code) by the Firm or any affiliate to or for the Executive’s benefit (including any payment, distribution, benefit or entitlement made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person or entity effecting a change of control), in each case, that constitute “parachute payments” within the meaning of Section 280G of the Code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the “</w:t>
      </w:r>
      <w:r>
        <w:rPr>
          <w:rFonts w:ascii="Arial" w:cs="Arial" w:eastAsia="Arial" w:hAnsi="Arial"/>
          <w:sz w:val="16"/>
          <w:szCs w:val="16"/>
          <w:u w:val="single" w:color="auto"/>
          <w:color w:val="auto"/>
        </w:rPr>
        <w:t>Parachute Payments</w:t>
      </w:r>
      <w:r>
        <w:rPr>
          <w:rFonts w:ascii="Arial" w:cs="Arial" w:eastAsia="Arial" w:hAnsi="Arial"/>
          <w:sz w:val="16"/>
          <w:szCs w:val="16"/>
          <w:color w:val="auto"/>
        </w:rPr>
        <w:t>”) that, but for this paragraph 5 of this Schedule I, would be payable to the Executive, exceeds the greatest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Parachute Payments that could be paid to the Executive without giving rise to any liability for any excise tax imposed by Section 4999 of the Code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successor provision thereto) or any similar tax imposed by state or local law (such tax or taxes being hereafter collectively referred to as the “</w:t>
      </w:r>
      <w:r>
        <w:rPr>
          <w:rFonts w:ascii="Arial" w:cs="Arial" w:eastAsia="Arial" w:hAnsi="Arial"/>
          <w:sz w:val="16"/>
          <w:szCs w:val="16"/>
          <w:u w:val="single" w:color="auto"/>
          <w:color w:val="auto"/>
        </w:rPr>
        <w:t>Excise Tax</w:t>
      </w:r>
      <w:r>
        <w:rPr>
          <w:rFonts w:ascii="Arial" w:cs="Arial" w:eastAsia="Arial" w:hAnsi="Arial"/>
          <w:sz w:val="16"/>
          <w:szCs w:val="16"/>
          <w:color w:val="auto"/>
        </w:rPr>
        <w:t>”), then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Parachute Payments payable to the Executive shall equal the amount that produces the greatest after-tax benefit to the Executive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taking into account first any positions to mitigate such Excise Tax (including, without limitation, mitigation under a “reasonable compensation” analysis)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second any Excise Tax payable by the Executive. For the avoidance of doubt, this provision shall reduce the amount of Parachute Payments otherwise payable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Executive, only if doing so would place the Executive in a better net after-tax economic position as compared with not doing so (taking into account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Excise Tax payable in respect of such Parachute Payments). The Firm shall reduce or eliminate the Parachute Payments, as necessary, by first reducing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eliminating the portion of the Parachute Payments provided under this Agreement (the “</w:t>
      </w:r>
      <w:r>
        <w:rPr>
          <w:rFonts w:ascii="Arial" w:cs="Arial" w:eastAsia="Arial" w:hAnsi="Arial"/>
          <w:sz w:val="16"/>
          <w:szCs w:val="16"/>
          <w:u w:val="single" w:color="auto"/>
          <w:color w:val="auto"/>
        </w:rPr>
        <w:t>Agreement Payments</w:t>
      </w:r>
      <w:r>
        <w:rPr>
          <w:rFonts w:ascii="Arial" w:cs="Arial" w:eastAsia="Arial" w:hAnsi="Arial"/>
          <w:sz w:val="16"/>
          <w:szCs w:val="16"/>
          <w:color w:val="auto"/>
        </w:rPr>
        <w:t>”) that are payable in cash and then by reducing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eliminating the non-cash portion of the Agreement Payments, in each case, in reverse order beginning with payments or benefits that are to be paid the furthest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time from the Date of Termination. For purposes of reducing the Parachute Payments to the Executive, only the Agreement Payments (and no other Parachute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Payments) shall be reduced.</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making determinations under this paragraph 5 of this Schedule I and determining the Excise Tax (if any), the Accountant shall take into account the value of any reasonable compensation for services to be rendered by the Executive before or after the change of control, including, without limitation,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paragraph 3 of this Schedule I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paragraph 5 of this Schedule I shall be borne by the Firm, and the Firm shall reimburse the Executive for all reasonable legal fees incurred with respect to the calculations under this paragraph 5 of this Schedule I and any reasonable legal and accounting fees incurred with respect to disputes related thereto.</w:t>
      </w:r>
    </w:p>
    <w:p>
      <w:pPr>
        <w:spacing w:after="0" w:line="123" w:lineRule="exact"/>
        <w:rPr>
          <w:sz w:val="20"/>
          <w:szCs w:val="20"/>
          <w:color w:val="auto"/>
        </w:rPr>
      </w:pPr>
    </w:p>
    <w:p>
      <w:pPr>
        <w:ind w:right="20" w:firstLine="464"/>
        <w:spacing w:after="0" w:line="259" w:lineRule="auto"/>
        <w:tabs>
          <w:tab w:leader="none" w:pos="63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the intention of the parties that the payments and benefits to which the Executive could become entitled pursuant to this Agreement (including this Schedule I), as well as the termination of the Executive’s employment under this Agreement, comply with or are exempt from Section 409A of the Code. Any payments that qualify for the “short-term</w:t>
      </w:r>
    </w:p>
    <w:p>
      <w:pPr>
        <w:sectPr>
          <w:pgSz w:w="11900" w:h="16838" w:orient="portrait"/>
          <w:cols w:equalWidth="0" w:num="1">
            <w:col w:w="11400"/>
          </w:cols>
          <w:pgMar w:left="240" w:top="280" w:right="259" w:bottom="1440" w:gutter="0" w:footer="0" w:header="0"/>
        </w:sectPr>
      </w:pPr>
    </w:p>
    <w:bookmarkStart w:id="128" w:name="page129"/>
    <w:bookmarkEnd w:id="12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paragraph 3 of this Schedule I on account of the Executive’s termination of employment which is an “involuntary separation from service” (within the meaning of Treasury Regulation Section 1.409A-1(n)) shall be paid as provided under paragraph 3 of this Schedule I and in no event later than March 15 of the year following the year in which the Date of Termination occurs. In the event the parties determine that the terms of this Agreement, including this Schedule I, do not comply with Section 409A of the Code, they will negotiate reasonably and in good faith to amend the terms of this Agreement and/or Schedule I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(including this Schedule I)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Schedule I or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Arial" w:cs="Arial" w:eastAsia="Arial" w:hAnsi="Arial"/>
          <w:sz w:val="16"/>
          <w:szCs w:val="16"/>
          <w:u w:val="single" w:color="auto"/>
          <w:color w:val="auto"/>
        </w:rPr>
        <w:t>Interest</w:t>
      </w:r>
      <w:r>
        <w:rPr>
          <w:rFonts w:ascii="Arial" w:cs="Arial" w:eastAsia="Arial" w:hAnsi="Arial"/>
          <w:sz w:val="16"/>
          <w:szCs w:val="16"/>
          <w:color w:val="auto"/>
        </w:rPr>
        <w:t>”) determined as of the Date of Termination, as provided below in this paragraph 6 of this Schedule I.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or this Schedule I, as the case may be.</w:t>
      </w:r>
    </w:p>
    <w:p>
      <w:pPr>
        <w:sectPr>
          <w:pgSz w:w="11900" w:h="16838" w:orient="portrait"/>
          <w:cols w:equalWidth="0" w:num="1">
            <w:col w:w="11400"/>
          </w:cols>
          <w:pgMar w:left="240" w:top="280" w:right="259" w:bottom="1440" w:gutter="0" w:footer="0" w:header="0"/>
        </w:sectPr>
      </w:pPr>
    </w:p>
    <w:bookmarkStart w:id="129" w:name="page130"/>
    <w:bookmarkEnd w:id="129"/>
    <w:p>
      <w:pPr>
        <w:ind w:left="640" w:hanging="17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Section 3(b)</w:t>
      </w:r>
      <w:r>
        <w:rPr>
          <w:rFonts w:ascii="Arial" w:cs="Arial" w:eastAsia="Arial" w:hAnsi="Arial"/>
          <w:sz w:val="16"/>
          <w:szCs w:val="16"/>
          <w:color w:val="auto"/>
        </w:rPr>
        <w:t>. Section 3(b) of this Agreement is hereby amended to replace the first sentence thereof with the following: During the Schedule Term (as defined in Schedule I attached hereto), the Executive shall continue to (i) serve as the Chief Operating Officer of PubliCo and Lazard, with such authority, duties and responsibilities as are consistent with the authority, duties and responsibilities exercised by the Executive on the Second Amendment Effective Date (as defined in Schedule I attached hereto), (ii) report directly to the Firm’s Chief Executive Officer and (iii) 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w:t>
      </w:r>
    </w:p>
    <w:p>
      <w:pPr>
        <w:spacing w:after="0" w:line="120" w:lineRule="exact"/>
        <w:rPr>
          <w:sz w:val="20"/>
          <w:szCs w:val="20"/>
          <w:color w:val="auto"/>
        </w:rPr>
      </w:pPr>
    </w:p>
    <w:p>
      <w:pPr>
        <w:ind w:right="200" w:firstLine="456"/>
        <w:spacing w:after="0" w:line="301" w:lineRule="auto"/>
        <w:rPr>
          <w:sz w:val="20"/>
          <w:szCs w:val="20"/>
          <w:color w:val="auto"/>
        </w:rPr>
      </w:pPr>
      <w:r>
        <w:rPr>
          <w:rFonts w:ascii="Arial" w:cs="Arial" w:eastAsia="Arial" w:hAnsi="Arial"/>
          <w:sz w:val="15"/>
          <w:szCs w:val="15"/>
          <w:u w:val="single" w:color="auto"/>
          <w:color w:val="auto"/>
        </w:rPr>
        <w:t>Section 5(a)</w:t>
      </w:r>
      <w:r>
        <w:rPr>
          <w:rFonts w:ascii="Arial" w:cs="Arial" w:eastAsia="Arial" w:hAnsi="Arial"/>
          <w:sz w:val="15"/>
          <w:szCs w:val="15"/>
          <w:color w:val="auto"/>
        </w:rPr>
        <w:t xml:space="preserve">. </w:t>
      </w:r>
      <w:r>
        <w:rPr>
          <w:rFonts w:ascii="Arial" w:cs="Arial" w:eastAsia="Arial" w:hAnsi="Arial"/>
          <w:sz w:val="15"/>
          <w:szCs w:val="15"/>
          <w:u w:val="single" w:color="auto"/>
          <w:color w:val="auto"/>
        </w:rPr>
        <w:t>Noncompetition</w:t>
      </w:r>
      <w:r>
        <w:rPr>
          <w:rFonts w:ascii="Arial" w:cs="Arial" w:eastAsia="Arial" w:hAnsi="Arial"/>
          <w:sz w:val="15"/>
          <w:szCs w:val="15"/>
          <w:color w:val="auto"/>
        </w:rPr>
        <w:t>. Section 5(a) of this Agreement is hereby amended and restated in its entirety to read as follows: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w:t>
      </w:r>
    </w:p>
    <w:p>
      <w:pPr>
        <w:spacing w:after="0" w:line="5" w:lineRule="exact"/>
        <w:rPr>
          <w:sz w:val="20"/>
          <w:szCs w:val="20"/>
          <w:color w:val="auto"/>
        </w:rPr>
      </w:pPr>
    </w:p>
    <w:p>
      <w:pPr>
        <w:ind w:firstLine="8"/>
        <w:spacing w:after="0" w:line="285" w:lineRule="auto"/>
        <w:tabs>
          <w:tab w:leader="none" w:pos="21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three months after the Date of Termination for any reason other than a termination by the Firm without Cause or by the Executive for Good Reason or (ii) one month after the Date of Termination by the Firm without Cause or by the Executive for Good Reason (such period, the “</w:t>
      </w:r>
      <w:r>
        <w:rPr>
          <w:rFonts w:ascii="Arial" w:cs="Arial" w:eastAsia="Arial" w:hAnsi="Arial"/>
          <w:sz w:val="16"/>
          <w:szCs w:val="16"/>
          <w:u w:val="single" w:color="auto"/>
          <w:color w:val="auto"/>
        </w:rPr>
        <w:t>Noncompete Restriction Period</w:t>
      </w:r>
      <w:r>
        <w:rPr>
          <w:rFonts w:ascii="Arial" w:cs="Arial" w:eastAsia="Arial" w:hAnsi="Arial"/>
          <w:sz w:val="16"/>
          <w:szCs w:val="16"/>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ectPr>
          <w:pgSz w:w="11900" w:h="16838" w:orient="portrait"/>
          <w:cols w:equalWidth="0" w:num="1">
            <w:col w:w="11420"/>
          </w:cols>
          <w:pgMar w:left="240" w:top="280" w:right="239" w:bottom="1440" w:gutter="0" w:footer="0" w:header="0"/>
        </w:sectPr>
      </w:pPr>
    </w:p>
    <w:bookmarkStart w:id="130" w:name="page131"/>
    <w:bookmarkEnd w:id="130"/>
    <w:p>
      <w:pPr>
        <w:ind w:right="180" w:firstLine="456"/>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Nonsolicitation of Clients</w:t>
      </w:r>
      <w:r>
        <w:rPr>
          <w:rFonts w:ascii="Arial" w:cs="Arial" w:eastAsia="Arial" w:hAnsi="Arial"/>
          <w:sz w:val="18"/>
          <w:szCs w:val="18"/>
          <w:color w:val="auto"/>
        </w:rPr>
        <w:t>. Section 6 of this Agreement is hereby amended to replace the definition of “Client” with the following definition: “Client” means any client or prospective client of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Nondisparagement</w:t>
      </w:r>
      <w:r>
        <w:rPr>
          <w:rFonts w:ascii="Arial" w:cs="Arial" w:eastAsia="Arial" w:hAnsi="Arial"/>
          <w:sz w:val="16"/>
          <w:szCs w:val="16"/>
          <w:color w:val="auto"/>
        </w:rPr>
        <w:t>. Section 8 of this Agreement is hereby amended to add the following sentences immediately following the first sentence of such section: The Firm (including, without limitation,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Arbitration</w:t>
      </w:r>
      <w:r>
        <w:rPr>
          <w:rFonts w:ascii="Arial" w:cs="Arial" w:eastAsia="Arial" w:hAnsi="Arial"/>
          <w:sz w:val="16"/>
          <w:szCs w:val="16"/>
          <w:color w:val="auto"/>
        </w:rPr>
        <w:t>. Section 12 of this Agreement is hereby amended (i) to replace all references to “the New York Stock Exchange, Inc.” and the “NYSE” with references to the “Financial Industry Regulatory Authority” and “FINRA”, as applicable, and (ii) to add the following sentences at the end of such section: Prior to a Change in Control (as defined in Schedule I attached hereto), each party shall bear its own costs and expenses of any such arbitration. Following a Change in Control, Lazard shall pay to the Executive, as incurred, all legal fees and expenses reasonably incurred by the Executive or with respect to the Executive during his lifetime or within ten years after his death in connection with any contest by Lazard,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Section 12 or 13 of this Agreement or otherwise), plus Interest (as defined in Schedule I attached hereto) determined as of the date such legal fees and expenses were incurred; provided that, the Executive shall promptly repay to Lazard all such amounts if the Executive fails to prevail on at least one material issue in dispute in any such contest.</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u w:val="single" w:color="auto"/>
          <w:color w:val="auto"/>
        </w:rPr>
        <w:t>Section 16(b)</w:t>
      </w:r>
      <w:r>
        <w:rPr>
          <w:rFonts w:ascii="Arial" w:cs="Arial" w:eastAsia="Arial" w:hAnsi="Arial"/>
          <w:sz w:val="18"/>
          <w:szCs w:val="18"/>
          <w:color w:val="auto"/>
        </w:rPr>
        <w:t>. Paragraphs 2, 3, 4, 5 and 6 of this Schedule I and Sections 16(i) and (j) of this Agreement are hereby added to the list of sections in Section 16(b) of this Agreement.</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ectPr>
          <w:pgSz w:w="11900" w:h="16838" w:orient="portrait"/>
          <w:cols w:equalWidth="0" w:num="1">
            <w:col w:w="11380"/>
          </w:cols>
          <w:pgMar w:left="240" w:top="280" w:right="2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16(i) and (j)</w:t>
      </w:r>
      <w:r>
        <w:rPr>
          <w:rFonts w:ascii="Arial" w:cs="Arial" w:eastAsia="Arial" w:hAnsi="Arial"/>
          <w:sz w:val="18"/>
          <w:szCs w:val="18"/>
          <w:color w:val="auto"/>
        </w:rPr>
        <w:t>. Section 16 of this Agreement is hereby amended to add the following new subsections:</w:t>
      </w:r>
    </w:p>
    <w:p>
      <w:pPr>
        <w:spacing w:after="0" w:line="90" w:lineRule="exact"/>
        <w:rPr>
          <w:sz w:val="20"/>
          <w:szCs w:val="20"/>
          <w:color w:val="auto"/>
        </w:rPr>
      </w:pPr>
    </w:p>
    <w:p>
      <w:pPr>
        <w:ind w:firstLine="443"/>
        <w:spacing w:after="0" w:line="294" w:lineRule="auto"/>
        <w:tabs>
          <w:tab w:leader="none" w:pos="648"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after-tax cost to the Executive of such benefits be greater than the cost applicable to similarly situated executives of the Firm who have not terminated employment or, following a Change in Control (as defined in Schedule I attached hereto), the cost applicable to the Executive immediately prior to the Change in Control, if more favorable to the Executive.</w:t>
      </w:r>
    </w:p>
    <w:p>
      <w:pPr>
        <w:spacing w:after="0" w:line="34" w:lineRule="exact"/>
        <w:rPr>
          <w:rFonts w:ascii="Arial" w:cs="Arial" w:eastAsia="Arial" w:hAnsi="Arial"/>
          <w:sz w:val="16"/>
          <w:szCs w:val="16"/>
          <w:color w:val="auto"/>
        </w:rPr>
      </w:pPr>
    </w:p>
    <w:p>
      <w:pPr>
        <w:ind w:right="660" w:firstLine="443"/>
        <w:spacing w:after="0" w:line="268" w:lineRule="auto"/>
        <w:tabs>
          <w:tab w:leader="none" w:pos="64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31" w:lineRule="exact"/>
        <w:rPr>
          <w:rFonts w:ascii="Arial" w:cs="Arial" w:eastAsia="Arial" w:hAnsi="Arial"/>
          <w:sz w:val="18"/>
          <w:szCs w:val="18"/>
          <w:color w:val="auto"/>
        </w:rPr>
      </w:pPr>
    </w:p>
    <w:p>
      <w:pPr>
        <w:ind w:left="-460" w:right="40" w:firstLine="464"/>
        <w:spacing w:after="0" w:line="306" w:lineRule="auto"/>
        <w:tabs>
          <w:tab w:leader="none" w:pos="17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Second Amendment may be executed in any number of counterparts, each of which shall be an original and all of which, when taken together, will constitute one and the same instrument. Delivery of an executed counterpart of a signature page of this Second Amendment by facsimile transmission or electronic means (including by “pdf”) shall be effective as delivery of a manually executed counterpart of this Second Amendment.</w:t>
      </w:r>
    </w:p>
    <w:p>
      <w:pPr>
        <w:sectPr>
          <w:pgSz w:w="11900" w:h="16838" w:orient="portrait"/>
          <w:cols w:equalWidth="0" w:num="1">
            <w:col w:w="10920"/>
          </w:cols>
          <w:pgMar w:left="700" w:top="280" w:right="27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AFS</w:t>
            </w:r>
          </w:p>
        </w:tc>
        <w:tc>
          <w:tcPr>
            <w:tcW w:w="20" w:type="dxa"/>
            <w:vAlign w:val="bottom"/>
          </w:tcPr>
          <w:p>
            <w:pPr>
              <w:spacing w:after="0"/>
              <w:rPr>
                <w:sz w:val="17"/>
                <w:szCs w:val="17"/>
                <w:color w:val="auto"/>
              </w:rPr>
            </w:pPr>
          </w:p>
        </w:tc>
        <w:tc>
          <w:tcPr>
            <w:tcW w:w="2000" w:type="dxa"/>
            <w:vAlign w:val="bottom"/>
          </w:tcPr>
          <w:p>
            <w:pPr>
              <w:ind w:left="200"/>
              <w:spacing w:after="0"/>
              <w:rPr>
                <w:sz w:val="20"/>
                <w:szCs w:val="20"/>
                <w:color w:val="auto"/>
              </w:rPr>
            </w:pPr>
            <w:r>
              <w:rPr>
                <w:rFonts w:ascii="Arial" w:cs="Arial" w:eastAsia="Arial" w:hAnsi="Arial"/>
                <w:sz w:val="18"/>
                <w:szCs w:val="18"/>
                <w:color w:val="auto"/>
                <w:w w:val="89"/>
              </w:rPr>
              <w:t>Initialed by the Executive</w:t>
            </w:r>
          </w:p>
        </w:tc>
      </w:tr>
      <w:tr>
        <w:trPr>
          <w:trHeight w:val="304"/>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SDH</w:t>
            </w:r>
          </w:p>
        </w:tc>
        <w:tc>
          <w:tcPr>
            <w:tcW w:w="2000" w:type="dxa"/>
            <w:vAlign w:val="bottom"/>
          </w:tcPr>
          <w:p>
            <w:pPr>
              <w:ind w:left="200"/>
              <w:spacing w:after="0"/>
              <w:rPr>
                <w:sz w:val="20"/>
                <w:szCs w:val="20"/>
                <w:color w:val="auto"/>
              </w:rPr>
            </w:pPr>
            <w:r>
              <w:rPr>
                <w:rFonts w:ascii="Arial" w:cs="Arial" w:eastAsia="Arial" w:hAnsi="Arial"/>
                <w:sz w:val="18"/>
                <w:szCs w:val="18"/>
                <w:color w:val="auto"/>
              </w:rPr>
              <w:t>Initialed by Lazard</w:t>
            </w:r>
          </w:p>
        </w:tc>
      </w:tr>
      <w:tr>
        <w:trPr>
          <w:trHeight w:val="304"/>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SDH</w:t>
            </w:r>
          </w:p>
        </w:tc>
        <w:tc>
          <w:tcPr>
            <w:tcW w:w="2000" w:type="dxa"/>
            <w:vAlign w:val="bottom"/>
          </w:tcPr>
          <w:p>
            <w:pPr>
              <w:ind w:left="200"/>
              <w:spacing w:after="0"/>
              <w:rPr>
                <w:sz w:val="20"/>
                <w:szCs w:val="20"/>
                <w:color w:val="auto"/>
              </w:rPr>
            </w:pPr>
            <w:r>
              <w:rPr>
                <w:rFonts w:ascii="Arial" w:cs="Arial" w:eastAsia="Arial" w:hAnsi="Arial"/>
                <w:sz w:val="18"/>
                <w:szCs w:val="18"/>
                <w:color w:val="auto"/>
              </w:rPr>
              <w:t>Initialed by PubliCo</w:t>
            </w:r>
          </w:p>
        </w:tc>
      </w:tr>
    </w:tbl>
    <w:p>
      <w:pPr>
        <w:ind w:left="20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10.54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 that have been registered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STOCK UNIT AGREEMENT</w:t>
      </w:r>
    </w:p>
    <w:p>
      <w:pPr>
        <w:spacing w:after="0" w:line="177"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THIS AGREEMENT, dated as of [DATE], between Lazard Ltd, a Bermuda exempted company (the “Company”), on behalf of its applicable Affiliate (as defined under the definitional rules of Section 1(a) below), and [NAME] (the “Employee”).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40" w:lineRule="exact"/>
        <w:rPr>
          <w:sz w:val="20"/>
          <w:szCs w:val="20"/>
          <w:color w:val="auto"/>
        </w:rPr>
      </w:pPr>
    </w:p>
    <w:p>
      <w:pPr>
        <w:ind w:left="640" w:hanging="17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Grant and Vesting of Performance-Based Stock Units.</w:t>
      </w:r>
    </w:p>
    <w:p>
      <w:pPr>
        <w:spacing w:after="0" w:line="96" w:lineRule="exact"/>
        <w:rPr>
          <w:rFonts w:ascii="Arial" w:cs="Arial" w:eastAsia="Arial" w:hAnsi="Arial"/>
          <w:sz w:val="18"/>
          <w:szCs w:val="18"/>
          <w:b w:val="1"/>
          <w:bCs w:val="1"/>
          <w:color w:val="auto"/>
        </w:rPr>
      </w:pPr>
    </w:p>
    <w:p>
      <w:pPr>
        <w:ind w:right="240" w:firstLine="921"/>
        <w:spacing w:after="0" w:line="291" w:lineRule="auto"/>
        <w:tabs>
          <w:tab w:leader="none" w:pos="115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Subject to the provisions of this Agreement and to the provisions of the Company’s 2008 Incentive Compensation Plan (the “Plan”) (all capitalized terms used herein, to the extent not defined, shall have the meaning set forth in the Plan), the Company, on behalf of its applicable Affiliate, hereby grants to the Employee, as of the date set forth above (the “Grant Date”), a target number of [TARGET NUMBER OF UNITS] performance-based Stock Units (the “Stock Units”), each with respect to one Share. Subject to the terms and conditions set forth in this Agreement, the Employee will actually earn (or be deemed to earn) a number of Stock Units that is between 0% and 300% of the target number of Stock Units subject to this Agreement, such number of earned Stock Units to be determined based on achievement of the performance goals set forth on Appendix A (the “Performance Conditions”).</w:t>
      </w:r>
    </w:p>
    <w:p>
      <w:pPr>
        <w:spacing w:after="0" w:line="120" w:lineRule="exact"/>
        <w:rPr>
          <w:rFonts w:ascii="Arial" w:cs="Arial" w:eastAsia="Arial" w:hAnsi="Arial"/>
          <w:sz w:val="16"/>
          <w:szCs w:val="16"/>
          <w:color w:val="auto"/>
        </w:rPr>
      </w:pPr>
    </w:p>
    <w:p>
      <w:pPr>
        <w:ind w:right="40" w:firstLine="921"/>
        <w:spacing w:after="0" w:line="268" w:lineRule="auto"/>
        <w:tabs>
          <w:tab w:leader="none" w:pos="116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to the provisions of the Plan, the Stock Units shall vest and no longer be subject to any restriction if each of the following two conditions has been satisfied:</w:t>
      </w:r>
    </w:p>
    <w:p>
      <w:pPr>
        <w:spacing w:after="0" w:line="50" w:lineRule="exact"/>
        <w:rPr>
          <w:rFonts w:ascii="Arial" w:cs="Arial" w:eastAsia="Arial" w:hAnsi="Arial"/>
          <w:sz w:val="18"/>
          <w:szCs w:val="18"/>
          <w:color w:val="auto"/>
        </w:rPr>
      </w:pPr>
    </w:p>
    <w:p>
      <w:pPr>
        <w:ind w:left="1920" w:right="220" w:hanging="440"/>
        <w:spacing w:after="0" w:line="259" w:lineRule="auto"/>
        <w:tabs>
          <w:tab w:leader="none" w:pos="19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Employee has remained continuously employed by the Company or any of its Affiliates until, with respect to 1/3rd of the Stock Units, [DATE] and, with respect to 2/3rds of the Stock Units, [DATE] (such date, as applicable, the “Final Service Date”, and such condition, the “Service Condition”); and</w:t>
      </w:r>
    </w:p>
    <w:p>
      <w:pPr>
        <w:spacing w:after="0" w:line="59" w:lineRule="exact"/>
        <w:rPr>
          <w:rFonts w:ascii="Arial" w:cs="Arial" w:eastAsia="Arial" w:hAnsi="Arial"/>
          <w:sz w:val="18"/>
          <w:szCs w:val="18"/>
          <w:color w:val="auto"/>
        </w:rPr>
      </w:pPr>
    </w:p>
    <w:p>
      <w:pPr>
        <w:ind w:left="1920" w:right="20" w:hanging="440"/>
        <w:spacing w:after="0" w:line="253" w:lineRule="auto"/>
        <w:tabs>
          <w:tab w:leader="none" w:pos="19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 xml:space="preserve">The Committee concludes that during the period beginning on [DATE] and ending on [DATE] (the “Performance Period”), the Company has achieved the Performance Conditions and specifies the level at which the Stock Units shall vest, based on the scoring and weighting provisions set forth in Appendix 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Committee, in its sole discretion, may interpret the goals and scoring set forth in Appendix A as it deems necessary or appropriate (including, without limitation, to the extent necessary to address extraordinary events or circumstances). The score achieved based on Appendix A (which may range from 0.0 to 3.0) will be multiplied by the total target number of Stock Units in order to determine the number of Stock Units that may vest upon satisfaction of the</w:t>
      </w:r>
    </w:p>
    <w:p>
      <w:pPr>
        <w:sectPr>
          <w:pgSz w:w="11900" w:h="16838" w:orient="portrait"/>
          <w:cols w:equalWidth="0" w:num="1">
            <w:col w:w="11420"/>
          </w:cols>
          <w:pgMar w:left="240" w:top="125" w:right="239" w:bottom="1440" w:gutter="0" w:footer="0" w:header="0"/>
        </w:sectPr>
      </w:pPr>
    </w:p>
    <w:bookmarkStart w:id="134" w:name="page135"/>
    <w:bookmarkEnd w:id="134"/>
    <w:p>
      <w:pPr>
        <w:ind w:left="19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Condition. Furthermore, the Committee shall determine, following the end of each fiscal year during the Performance Period, the extent to which the Company has achieved the Performance Conditions with respect to such fiscal year and, in the event that the Performance Conditions in that year have been achieved at the target level (</w:t>
      </w:r>
      <w:r>
        <w:rPr>
          <w:rFonts w:ascii="Arial" w:cs="Arial" w:eastAsia="Arial" w:hAnsi="Arial"/>
          <w:sz w:val="16"/>
          <w:szCs w:val="16"/>
          <w:u w:val="single" w:color="auto"/>
          <w:color w:val="auto"/>
        </w:rPr>
        <w:t>i.e.</w:t>
      </w:r>
      <w:r>
        <w:rPr>
          <w:rFonts w:ascii="Arial" w:cs="Arial" w:eastAsia="Arial" w:hAnsi="Arial"/>
          <w:sz w:val="16"/>
          <w:szCs w:val="16"/>
          <w:color w:val="auto"/>
        </w:rPr>
        <w:t>, the 1.0x level) or above, then the Performance Condition will be deemed satisfied with respect to twenty-five percent (25%) of the total target number of Stock Units (any such Stock Units that are earned in accordance with this sentence, the “Fiscal Year Stock Units”). Any Fiscal Year Stock Units will vest upon satisfaction (or deemed satisfaction) of the applicable Service Condition in accordance with Section 1(b)(i) above or Section 1(d) or 1(f) below, and any such Fiscal Year Stock Units will be allocated on a pro rata basis to each Final Service Date in the same proportions as set forth in Section 1(b)(i). In the event that the Committee makes any conclusion regarding achievement of the Performance Conditions for the full Performance Period (or, in the case of Section 1(d)(i) or 1(f)(i), for a portion thereof), any Fiscal Year Stock Units will be applied to reduce the number of Stock Units that would otherwise be earned in accordance with this Agreement.</w:t>
      </w:r>
    </w:p>
    <w:p>
      <w:pPr>
        <w:spacing w:after="0" w:line="127" w:lineRule="exact"/>
        <w:rPr>
          <w:sz w:val="20"/>
          <w:szCs w:val="20"/>
          <w:color w:val="auto"/>
        </w:rPr>
      </w:pPr>
    </w:p>
    <w:p>
      <w:pPr>
        <w:ind w:left="-20" w:firstLine="921"/>
        <w:spacing w:after="0" w:line="291" w:lineRule="auto"/>
        <w:tabs>
          <w:tab w:leader="none" w:pos="113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Except as set forth in Section 1(f) below, in the event that the Employee incurs a Termination of Employment prior to the applicable Final Service Date for any reason not set forth in Section 1(d), all unvested Stock Units shall be forfeited by the Employee effective immediately upon such Termination of Employment. For purposes of this Section 1(c), the Employee will be deemed to have incurred a Termination of Employment on the date that the Employee provides notice of termination to the Company, and accordingly, all unvested Stock Units shall be forfeited by the Employee immediately upon delivery of any such notice. In addition, all unvested Stock Units shall be forfeited by the Employee to the extent that, following the last day of the Performance Period (or such earlier date as specified in Section 1(d) or 1(f)), the Performance Conditions with respect to such Stock Units have not been satisfied.</w:t>
      </w:r>
    </w:p>
    <w:p>
      <w:pPr>
        <w:spacing w:after="0" w:line="120" w:lineRule="exact"/>
        <w:rPr>
          <w:rFonts w:ascii="Arial" w:cs="Arial" w:eastAsia="Arial" w:hAnsi="Arial"/>
          <w:sz w:val="16"/>
          <w:szCs w:val="16"/>
          <w:color w:val="auto"/>
        </w:rPr>
      </w:pPr>
    </w:p>
    <w:p>
      <w:pPr>
        <w:ind w:left="-20" w:firstLine="921"/>
        <w:spacing w:after="0" w:line="287" w:lineRule="auto"/>
        <w:tabs>
          <w:tab w:leader="none" w:pos="114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(i) Except as set forth in Section 1(f) below, in the event that the Employee incurs a Termination of Employment prior to the applicable Final Service Date due to (A) the Employee’s Disability, (B) the Employee’s death or (C) a Termination of Employment by the Company other than for Cause, all Stock Units held by the Employee on the Date of Termination shall no longer be subject to the Performance Conditions and the Service Condition and shall be settled as set forth in Section 1(d)(iii) or Section 2 below but shall remain subject to forfeiture pursuant to Section 1(e) through the applicable Final Service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Termination of Employment due to an Employee’s death as described in clause (B) of this Section 1(d)(i) or in the case of the Employee’s death subsequent to a Termination of Employment described in this Section 1(d), the Stock Units will immediately vest upon the date of death (or, in the event the Employee’s death occurs during the final quarter of the Performance Period, as soon as practicable following the date that the Committee determines the extent to which the Performance Conditions have been satisfied). The Stock Units shall vest based on (1) the actual performance level achieved during the period beginning on the first day of the Performance Period and ending on the last day of the most recent fiscal quarter preceding the Date of Termination (or, if the Date of Termination occurs more than halfway through 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80" w:right="259" w:bottom="1440" w:gutter="0" w:footer="0" w:header="0"/>
        </w:sectPr>
      </w:pPr>
    </w:p>
    <w:bookmarkStart w:id="135" w:name="page136"/>
    <w:bookmarkEnd w:id="135"/>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quarter, the last day of such current fiscal quarter), as determined by the Committee, and (2) the target level for the period beginning on the first day of the following fiscal quarter through the last day of the Performance Period.</w:t>
      </w:r>
    </w:p>
    <w:p>
      <w:pPr>
        <w:spacing w:after="0" w:line="51" w:lineRule="exact"/>
        <w:rPr>
          <w:sz w:val="20"/>
          <w:szCs w:val="20"/>
          <w:color w:val="auto"/>
        </w:rPr>
      </w:pPr>
    </w:p>
    <w:p>
      <w:pPr>
        <w:ind w:left="1000" w:hanging="440"/>
        <w:spacing w:after="0" w:line="282" w:lineRule="auto"/>
        <w:tabs>
          <w:tab w:leader="none" w:pos="10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Except as set forth in Section 1(f) below, in the event that the Employee incurs a Termination of Employment prior to the applicable Final Service Date due to the Employee’s Retirement (as defined below), all Stock Units held by the Employee on the Date of Termination (and, in the event that any Stock Units have been settled prior to such date in accordance with Section 1(d)(iii) or Section 2 below, all Remaining Shares) shall no longer be subject to the Service Condition and, following satisfaction of the Performance Conditions, shall be settled as set forth in Section 1(d)(iii) below (unless already settled pursuant to such section prior to Termination of Employment) but shall remain subject to forfeiture pursuant to Section 1(e) through the applicable Final Service Date. Such Stock Units (or, if applicable, Remaining Shares) shall vest at the level determined by the Committee following the last day of the Performance Period, based on actual performance during the Performance Period. For purposes of this Agreement, “Retirement” shall mean that the Employee voluntarily incurs a Termination of Employment on or after the date on which the Employee meets all of the following retirement eligibility requirements (such date, the “Retirement Eligibility Date”): (A) minimum age fifty-six (56);</w:t>
      </w:r>
    </w:p>
    <w:p>
      <w:pPr>
        <w:spacing w:after="0" w:line="5" w:lineRule="exact"/>
        <w:rPr>
          <w:rFonts w:ascii="Arial" w:cs="Arial" w:eastAsia="Arial" w:hAnsi="Arial"/>
          <w:sz w:val="16"/>
          <w:szCs w:val="16"/>
          <w:color w:val="auto"/>
        </w:rPr>
      </w:pPr>
    </w:p>
    <w:p>
      <w:pPr>
        <w:ind w:left="1000" w:right="160"/>
        <w:spacing w:after="0" w:line="261" w:lineRule="auto"/>
        <w:rPr>
          <w:rFonts w:ascii="Arial" w:cs="Arial" w:eastAsia="Arial" w:hAnsi="Arial"/>
          <w:sz w:val="16"/>
          <w:szCs w:val="16"/>
          <w:color w:val="auto"/>
        </w:rPr>
      </w:pPr>
      <w:r>
        <w:rPr>
          <w:rFonts w:ascii="Arial" w:cs="Arial" w:eastAsia="Arial" w:hAnsi="Arial"/>
          <w:sz w:val="18"/>
          <w:szCs w:val="18"/>
          <w:color w:val="auto"/>
        </w:rPr>
        <w:t>(B) minimum of five (5) years service with the Company or its Affiliates; and (C) actual age plus years of service with the Company or any of its Affiliates at least seventy (70).</w:t>
      </w:r>
    </w:p>
    <w:p>
      <w:pPr>
        <w:spacing w:after="0" w:line="56" w:lineRule="exact"/>
        <w:rPr>
          <w:rFonts w:ascii="Arial" w:cs="Arial" w:eastAsia="Arial" w:hAnsi="Arial"/>
          <w:sz w:val="16"/>
          <w:szCs w:val="16"/>
          <w:color w:val="auto"/>
        </w:rPr>
      </w:pPr>
    </w:p>
    <w:p>
      <w:pPr>
        <w:ind w:left="1000" w:hanging="440"/>
        <w:spacing w:after="0" w:line="286" w:lineRule="auto"/>
        <w:tabs>
          <w:tab w:leader="none" w:pos="10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Subject to the final sentence of Section 2 below, all Shares underlying the Stock Units for which the Performance Conditions have been satisfied (or are deemed to be satisfied, in accordance with Section 1(d)(i) or Section 4) shall be delivered to the Employee within 30 days following the later of (A) the date that the Employee is no longer required to perform any additional services in order to retain such Stock Units (which shall occur upon the earlier of Retirement Eligibility Date and any Termination of Employment under the circumstances specified in Section 1(d)(i) above) and (B) the date that the Committee determines the extent to which the Performance Conditions have been satisfied (the date that Shares are delivered to the Employee is an “Initial Delivery Date”). For the avoidance of doubt, there may be multiple Initial Delivery Dates for purposes of this Agreement (including as a result of achievement of Performance Conditions applicable to the Fiscal Year Stock Units and as a result of the Dividend Equivalent Stock Units (as defined in Section 4)). Immediately following the Initial Delivery Date with respect to any Stock Units, the Employee will be permitted to dispose of the Applicable Percentage (as defined below) of the Shares (such Shares, the “Transferable Shares”) delivered to the Employee pursuant to the first sentence of this Section 1(d)(iii) immediately following the date that such Shares are delivered to the Employee. For purposes of this Agreement,</w:t>
      </w:r>
    </w:p>
    <w:p>
      <w:pPr>
        <w:spacing w:after="0" w:line="11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0"/>
          </w:cols>
          <w:pgMar w:left="1160" w:top="280" w:right="259" w:bottom="1440" w:gutter="0" w:footer="0" w:header="0"/>
        </w:sectPr>
      </w:pPr>
    </w:p>
    <w:bookmarkStart w:id="136" w:name="page137"/>
    <w:bookmarkEnd w:id="136"/>
    <w:p>
      <w:pPr>
        <w:ind w:left="1920"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“Applicable Percentage” is the percentage of the Shares delivered to the Employee that the Company determines, in its sole discretion, is necessary to satisfy the Employee’s tax liability incurred with respect to such Shares on the date that such Shares are delivered to the Employee. All Shares delivered to the Employee on the Initial Delivery Date that are not Transferable Shares (such Shares, the “Remaining Shares”) will remain subject to the restrictions set forth in this Agreement until the applicable date that such Remaining Shares otherwise would have been delivered to the Employee in accordance with this Agreement (each such date, a “Final Delivery Date”). Accordingly, prior to the applicable Final Delivery Date, neither the Employee nor any of the Employee’s creditors or beneficiaries will have the right to subject the Remaining Shares to any anticipation, alienation, sale, transfer, assignment, pledge, encumbrance, hedge, exchange, attachment or garnishment or any similar transaction. Furthermore, for the avoidance of doubt, the Remaining Shares shall continue to be subject to the forfeiture provisions set forth in this Agreement relating to violation of the restrictive covenants set forth in Appendix B, which are incorporated herein by reference (the “Restrictive Covenants”) until the applicable Final Delivery Date.</w:t>
      </w:r>
    </w:p>
    <w:p>
      <w:pPr>
        <w:spacing w:after="0" w:line="127" w:lineRule="exact"/>
        <w:rPr>
          <w:sz w:val="20"/>
          <w:szCs w:val="20"/>
          <w:color w:val="auto"/>
        </w:rPr>
      </w:pPr>
    </w:p>
    <w:p>
      <w:pPr>
        <w:ind w:left="-20" w:right="100" w:firstLine="921"/>
        <w:spacing w:after="0" w:line="294" w:lineRule="auto"/>
        <w:tabs>
          <w:tab w:leader="none" w:pos="113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the event that the Employee violates any of the provisions of the Restrictive Covenants, all outstanding vested or unvested Stock Units and, if applicable, prior to the relevant Final Delivery Date, all Remaining Shares, shall be forfeited and canceled. Notwithstanding that certain Restricted Covenants in Appendix B apply for only a limited period following Termination of Employment, in the event that the Employee’s employment with the Company or its Affiliate terminates by reason of Retirement, the Employee will forfeit any outstanding Stock Units (and, if applicable, any Remaining Shares) if the Employee does not comply with all of the Restrictive Covenants in Appendix B until the relevant Final Service Date or, as applicable, Final Delivery Date.</w:t>
      </w:r>
    </w:p>
    <w:p>
      <w:pPr>
        <w:spacing w:after="0" w:line="115" w:lineRule="exact"/>
        <w:rPr>
          <w:rFonts w:ascii="Arial" w:cs="Arial" w:eastAsia="Arial" w:hAnsi="Arial"/>
          <w:sz w:val="16"/>
          <w:szCs w:val="16"/>
          <w:color w:val="auto"/>
        </w:rPr>
      </w:pPr>
    </w:p>
    <w:p>
      <w:pPr>
        <w:ind w:left="-20" w:firstLine="921"/>
        <w:spacing w:after="0" w:line="294" w:lineRule="auto"/>
        <w:tabs>
          <w:tab w:leader="none" w:pos="111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 Notwithstanding any provision of this Agreement to the contrary, in the event of a Change in Control (as defined in the Plan) that occurs prior to the end of the Performance Period, the Performance Conditions shall no longer apply and, instead, shall be deemed to have been satisfied as of immediately prior to the Change in Control at the greater of (A) the target level and (B) the actual performance level achieved during the period beginning at the start of the Performance Period and ending on the date of such Change in Control, as confirmed by the Committee prior to the Change in Control with any necessary exercise of discretion determined by the Committee prior to the Change in Control.</w:t>
      </w:r>
    </w:p>
    <w:p>
      <w:pPr>
        <w:spacing w:after="0" w:line="156" w:lineRule="exact"/>
        <w:rPr>
          <w:rFonts w:ascii="Arial" w:cs="Arial" w:eastAsia="Arial" w:hAnsi="Arial"/>
          <w:sz w:val="16"/>
          <w:szCs w:val="16"/>
          <w:color w:val="auto"/>
        </w:rPr>
      </w:pPr>
    </w:p>
    <w:p>
      <w:pPr>
        <w:ind w:left="1900" w:right="40" w:hanging="440"/>
        <w:spacing w:after="0" w:line="255" w:lineRule="auto"/>
        <w:tabs>
          <w:tab w:leader="none" w:pos="19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Section 1(f)(ii) and 1(f)(iii) below, following a Change in Control, the unvested Stock Units (and, if applicable, any Remaining Shares) shall remain outstanding through the applicable Final Service Date or Final Delivery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Employee incurs a Termination of Employment upon or following a Change in Control but prior to the Final Service Date under any of the circumstances described in Section 1(d)(i) or 1(d)(ii) above, the date of such Termination of Employment shall be deemed to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37" w:name="page138"/>
    <w:bookmarkEnd w:id="137"/>
    <w:p>
      <w:pPr>
        <w:ind w:left="19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Final Delivery Date, and all Shares issued in settlement of such Stock Units shall be Transferable Shares. Furthermore, in the event that the Employee incurs a Termination of Employment under any of the circumstances described in Section 1(d)(i) or 1(d)(ii) above prior to the Final Delivery Date and prior to a Change in Control, upon a Change in Control, the date of the Change in Control shall be deemed to be the Final Service Date for purposes of any Stock Units (and the Final Delivery Date for any Remaining Shares) then held by the Employee and any dividends held by an escrow agent with respect thereto, as set forth in Section 4 below.</w:t>
      </w:r>
    </w:p>
    <w:p>
      <w:pPr>
        <w:spacing w:after="0" w:line="35" w:lineRule="exact"/>
        <w:rPr>
          <w:sz w:val="20"/>
          <w:szCs w:val="20"/>
          <w:color w:val="auto"/>
        </w:rPr>
      </w:pPr>
    </w:p>
    <w:p>
      <w:pPr>
        <w:ind w:left="1920" w:right="40" w:hanging="440"/>
        <w:spacing w:after="0" w:line="287" w:lineRule="auto"/>
        <w:tabs>
          <w:tab w:leader="none" w:pos="192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Notwithstanding the foregoing, in the event of a Change in Control prior to the applicable Final Service Date, unless (A) either (1) the unvested Stock Units remain outstanding following a Change in Control or (2) provision is made in connection with the Change in Control for assumption of such Stock Units or substitution of such Stock Units for new awards covering equity interests in a successor entity, with appropriate adjustments to the number of Stock Units, as determined by the Committee prior to the Change in Control pursuant to Section 3(b)(ii) of the Plan, and (B) the material terms and conditions of such Stock Units as in effect immediately prior to the Change in Control are preserved following the Change in Control (including, without limitation, with respect to the vesting schedules, the intrinsic value of the Stock Units and transferability of the Shares or other securities underlying the Stock Units prior to and following the Change in Control), the date of the Change in Control shall be deemed to be the Final Service Date for purposes of such Stock Units (and the Final Delivery Date for purposes of any Remaining Shares then outstanding) and such Stock Units shall be settled within 30 days following such date.</w:t>
      </w:r>
    </w:p>
    <w:p>
      <w:pPr>
        <w:spacing w:after="0" w:line="197" w:lineRule="exact"/>
        <w:rPr>
          <w:rFonts w:ascii="Arial" w:cs="Arial" w:eastAsia="Arial" w:hAnsi="Arial"/>
          <w:sz w:val="16"/>
          <w:szCs w:val="16"/>
          <w:color w:val="auto"/>
        </w:rPr>
      </w:pPr>
    </w:p>
    <w:p>
      <w:pPr>
        <w:ind w:left="640" w:hanging="176"/>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Units, Restrictions on Remaining Shares.</w:t>
      </w:r>
    </w:p>
    <w:p>
      <w:pPr>
        <w:spacing w:after="0" w:line="96" w:lineRule="exact"/>
        <w:rPr>
          <w:sz w:val="20"/>
          <w:szCs w:val="20"/>
          <w:color w:val="auto"/>
        </w:rPr>
      </w:pPr>
    </w:p>
    <w:p>
      <w:pPr>
        <w:ind w:right="60" w:firstLine="913"/>
        <w:spacing w:after="0" w:line="303" w:lineRule="auto"/>
        <w:rPr>
          <w:sz w:val="20"/>
          <w:szCs w:val="20"/>
          <w:color w:val="auto"/>
        </w:rPr>
      </w:pPr>
      <w:r>
        <w:rPr>
          <w:rFonts w:ascii="Arial" w:cs="Arial" w:eastAsia="Arial" w:hAnsi="Arial"/>
          <w:sz w:val="15"/>
          <w:szCs w:val="15"/>
          <w:color w:val="auto"/>
        </w:rPr>
        <w:t>As soon as practicable (but in no event more than 30 days) after any Stock Unit has vested and is no longer subject to the applicable Service Condition and Performance Conditions, the Company shall, subject to Section 1(d) and Section 6, cause its applicable Affiliate to deliver to the Employee one or more unlegended, freely-transferable stock certificates in respect of such Shares issued upon settlement of the vested Stock Units. Notwithstanding the foregoing,</w:t>
      </w:r>
    </w:p>
    <w:p>
      <w:pPr>
        <w:spacing w:after="0" w:line="1" w:lineRule="exact"/>
        <w:rPr>
          <w:sz w:val="20"/>
          <w:szCs w:val="20"/>
          <w:color w:val="auto"/>
        </w:rPr>
      </w:pPr>
    </w:p>
    <w:p>
      <w:pPr>
        <w:ind w:right="100" w:firstLine="8"/>
        <w:spacing w:after="0" w:line="254" w:lineRule="auto"/>
        <w:tabs>
          <w:tab w:leader="none" w:pos="23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shall be entitled to hold the Shares or cash issuable upon settlement of Stock Units that have vested until the Company shall have received from the Employee a duly executed Form W-9 or W-8, as applicable, and (b) any certificate or book entry credit issued or entered in respect of the Remaining Shares shall be registered in the Employee’s name and shall bear an appropriate legend referring to the terms, conditions and restrictions applicable to the Remaining Shares, substantially in the following form:</w:t>
      </w:r>
    </w:p>
    <w:p>
      <w:pPr>
        <w:spacing w:after="0" w:line="63" w:lineRule="exact"/>
        <w:rPr>
          <w:sz w:val="20"/>
          <w:szCs w:val="20"/>
          <w:color w:val="auto"/>
        </w:rPr>
      </w:pPr>
    </w:p>
    <w:p>
      <w:pPr>
        <w:ind w:left="920" w:right="240"/>
        <w:spacing w:after="0" w:line="268" w:lineRule="auto"/>
        <w:rPr>
          <w:sz w:val="20"/>
          <w:szCs w:val="20"/>
          <w:color w:val="auto"/>
        </w:rPr>
      </w:pPr>
      <w:r>
        <w:rPr>
          <w:rFonts w:ascii="Arial" w:cs="Arial" w:eastAsia="Arial" w:hAnsi="Arial"/>
          <w:sz w:val="18"/>
          <w:szCs w:val="18"/>
          <w:color w:val="auto"/>
        </w:rPr>
        <w:t>“The transferability of this certificate and the shares of stock represented hereby is subject to the terms and conditions (including forfeiture) of the Lazard Ltd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8" w:name="page139"/>
    <w:bookmarkEnd w:id="138"/>
    <w:p>
      <w:pPr>
        <w:ind w:left="92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Incentive Compensation Plan and an Award Agreement, as well as the terms and conditions of applicable law. Copies of such Plan and Agreement are on file at the offices of Lazard Ltd.”</w:t>
      </w:r>
    </w:p>
    <w:p>
      <w:pPr>
        <w:spacing w:after="0" w:line="132"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Company may require that the certificates or book entry credits evidencing title of the Remaining Shares be held in custody by the Company until the restrictions thereon shall have lapsed and that, as a condition of receiving the Remaining Shares, the Employee shall have delivered to the Company a stock power, endorsed in blank, relating to such Remaining Shares. If and when the applicable Final Delivery Date occurs (or is deemed to occur) with respect to the Remaining Shares, the legend set forth shall be removed from the certificates or book entry credits evidencing such Shares. Notwithstanding any provision of this Agreement to the contrary, Shares will be delivered to the Employee in settlement of any Stock Units no later than seventy (70) days following the date that such Stock Units are no longer subject to a substantial risk of forfeiture within the meaning of Treasury Regulation Section 1.409A-1(d).</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Nontransferability of the Stock Units.</w:t>
      </w:r>
    </w:p>
    <w:p>
      <w:pPr>
        <w:spacing w:after="0" w:line="96"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Until such time as the Stock Units are ultimately settled as provided in Section 1(d) or Section 2 above, the Stock Units shall not be transferable by the Employee by means of sale, assignment, exchange, encumbrance, pledge, hedge or otherwise.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Dividend Equivalents, Rights as a Shareholder.</w:t>
      </w:r>
    </w:p>
    <w:p>
      <w:pPr>
        <w:spacing w:after="0" w:line="9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If the Company declares and pays (or sets a record date with respect to) ordinary quarterly cash dividends on the Common Stock (a) during the Performance Period, the target number of Stock Units (such Stock Units, the “Target Stock Units”) shall be credited with additional Stock Units (determined by dividing the aggregate dividend amount that would have been paid with respect to the Target Stock Units if they had been actual Shares by the Fair Market Value of a Share on the dividend payment date) (such additional Stock Units, the “Dividend Equivalent Stock Units”), which Dividend Equivalent Stock Units (and any additional Dividend Equivalent Stock Units that are granted while the Dividend Equivalent Stock Units are outstanding) shall be subject to the Service Condition and all other terms of this Agreement but shall not be subject to the Performance Condition (</w:t>
      </w:r>
      <w:r>
        <w:rPr>
          <w:rFonts w:ascii="Arial" w:cs="Arial" w:eastAsia="Arial" w:hAnsi="Arial"/>
          <w:sz w:val="16"/>
          <w:szCs w:val="16"/>
          <w:u w:val="single" w:color="auto"/>
          <w:color w:val="auto"/>
        </w:rPr>
        <w:t>i.e.</w:t>
      </w:r>
      <w:r>
        <w:rPr>
          <w:rFonts w:ascii="Arial" w:cs="Arial" w:eastAsia="Arial" w:hAnsi="Arial"/>
          <w:sz w:val="16"/>
          <w:szCs w:val="16"/>
          <w:color w:val="auto"/>
        </w:rPr>
        <w:t>, the Dividend Equivalent Stock Units shall be treated as Stock Units for which the Performance Condition has already been satisfied), or (b) after the Performance Period but while any Stock Units remain outstanding, any then outstanding Stock Units shall be credited with additional Stock Units (determined by dividing the aggregate dividend amount that would have been paid with respect to the Stock Units if they had been actual Shares by the Fair Market Value of a Share on the dividend payment date), which additional Stock Units shall vest and be settled concurrently with the underlying Stock Units and be treated as Stock Units for all purposes of this Agreement. For the avoidance of doubt, the provisions of the immediately preceding sentence shall not apply to any extraordinary dividends or distributions, which are addressed in Section 3(b)(i) of the Plan.</w:t>
      </w:r>
    </w:p>
    <w:p>
      <w:pPr>
        <w:spacing w:after="0" w:line="124"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Notwithstanding the foregoing, subject to Section 1(d) and Section 2 and any other applicable law or agreement, from and after the Initial Delivery Date, the Employee will have all rights and privileges of a shareholder with respect to the Shares delivered on such Initial Delivery Date, including the right to vote the Shares and to receive dividends and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39" w:name="page140"/>
    <w:bookmarkEnd w:id="139"/>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distributions with respect thereto, provided that, any dividends that are paid on the Remaining Shares prior to the applicable Final Delivery Date (whether payable in cash or Shares) will be held until the applicable Final Delivery Date by Lazard Capital Markets LLC or any other escrow agent that is subsequently designated by the Company, and in the event that the Remaining Shares are forfeited in accordance with Section 1(e), such dividends will also be forfeited. For the avoidance of doubt, the determination of applicable dividends, and the calculation of amounts equivalent thereto, provided for in this Section 4 shall be made consistent with the Company’s past practice with respect to similar Awards.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Payment of Transfer Taxes, Fees and Other Expenses.</w:t>
      </w:r>
    </w:p>
    <w:p>
      <w:pPr>
        <w:spacing w:after="0" w:line="9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Company agrees, or will cause its applicable Affiliate, to pay any and all original issue taxes and stock transfer taxes that may be imposed on the issuance of Shares received by an Employee in connection with the Stock Units, together with any and all other fees and expenses necessarily incurred by the Company in connection therewith.</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Taxes and Withholding.</w:t>
      </w:r>
    </w:p>
    <w:p>
      <w:pPr>
        <w:spacing w:after="0" w:line="96"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No later than the date as of which an amount first becomes includible in the gross income of the Employee for federal, state, local or foreign income tax purposes with respect to any Stock Units,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 as otherwise required by applicable law, the Company will report that the Employee will be taxed on the full value of the Shares underlying the Employee’s Stock Units on the date that such Shares are issued to the Employee in accordance with this Agreement. The obligations of the Company under this Agreement shall be conditioned on compliance by the Employee with this Section 6, and the Company or its applicable Affiliate shall, to the extent permitted by law, have the right to deduct any such taxes from any payment otherwise due to the Employee, including deducting such amount from the delivery of Shares or cash issued upon settlement of the Stock Units that gives rise to the withholding requirement. Notwithstanding the foregoing, the Company or an Affiliate may, in the Company’s sole discretion and subject to such other terms and conditions as the Company may determine, if the Employee is not subject to withholding as a matter of applicable law as of the date that the Shares are delivered to the Employee (including if the Employee is a member of the Company who reports income from the Company and its Affiliates on Schedule K-1 to the Company’s Federal income tax return) and pursuant to the prior written approval of the Company, permit the Employee to surrender some or all of the Transferable Shares to the Company or an Affiliate and have the Company or such Affiliate remit the relevant taxes on the Employee’s behalf to the appropriate taxing authorities. Prior to an Initial Delivery Date, the Company will notify the Employee of (i) how many Shares will be delivered to the Employee on such Initial Delivery Date and (ii) the portion, if any, of the Transferable Shares that the Company or an Affiliate will retain pursuant to the immediately preceding sentence.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 Effect of Agreement.</w:t>
      </w:r>
    </w:p>
    <w:p>
      <w:pPr>
        <w:spacing w:after="0" w:line="96"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or the Plan shall confer upon the Employee any right to continue in the employ of the Company or any of its Affiliates or interfere in any way with the right of the Company or any such Affiliates to terminate the Employee’s employment at any time. Until Shares are actually delivered to the Employee upon settlement of the Stock Units, the Employee shall not have any rights as a shareholder with respect to the Stock Units, except as specifically provided herein.</w:t>
      </w:r>
    </w:p>
    <w:p>
      <w:pPr>
        <w:spacing w:after="0" w:line="219" w:lineRule="exact"/>
        <w:rPr>
          <w:sz w:val="20"/>
          <w:szCs w:val="20"/>
          <w:color w:val="auto"/>
        </w:rPr>
      </w:pPr>
    </w:p>
    <w:p>
      <w:pPr>
        <w:ind w:left="640" w:hanging="176"/>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96" w:lineRule="exact"/>
        <w:rPr>
          <w:rFonts w:ascii="Arial" w:cs="Arial" w:eastAsia="Arial" w:hAnsi="Arial"/>
          <w:sz w:val="18"/>
          <w:szCs w:val="18"/>
          <w:b w:val="1"/>
          <w:bCs w:val="1"/>
          <w:color w:val="auto"/>
        </w:rPr>
      </w:pPr>
    </w:p>
    <w:p>
      <w:pPr>
        <w:ind w:right="100" w:firstLine="921"/>
        <w:spacing w:after="0" w:line="298" w:lineRule="auto"/>
        <w:tabs>
          <w:tab w:leader="none" w:pos="1152"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(United States of America), without regard to principles of conflict of laws, which could cause the application of the law of any jurisdiction other than the State of New York. In addition to the terms and conditions set forth in this Agreement and the Restrictive Covenants, the Stock Units are subject to the terms and conditions of the Plan, which is hereby incorporated by reference. By accepting the Stock Units, the Employee agrees to and is bound by the Plan and the Restrictive Covenants.</w:t>
      </w:r>
    </w:p>
    <w:p>
      <w:pPr>
        <w:spacing w:after="0" w:line="31" w:lineRule="exact"/>
        <w:rPr>
          <w:rFonts w:ascii="Arial" w:cs="Arial" w:eastAsia="Arial" w:hAnsi="Arial"/>
          <w:sz w:val="16"/>
          <w:szCs w:val="16"/>
          <w:color w:val="auto"/>
        </w:rPr>
      </w:pPr>
    </w:p>
    <w:p>
      <w:pPr>
        <w:ind w:right="200" w:firstLine="921"/>
        <w:spacing w:after="0" w:line="256" w:lineRule="auto"/>
        <w:tabs>
          <w:tab w:leader="none" w:pos="116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Subject to the provisions of Section 8(c), any controversy or claim between the Employee and the Company or its Affiliates arising out of or relating to or concerning the provisions of this Agreement or the Plan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62" w:lineRule="exact"/>
        <w:rPr>
          <w:rFonts w:ascii="Arial" w:cs="Arial" w:eastAsia="Arial" w:hAnsi="Arial"/>
          <w:sz w:val="18"/>
          <w:szCs w:val="18"/>
          <w:color w:val="auto"/>
        </w:rPr>
      </w:pPr>
    </w:p>
    <w:p>
      <w:pPr>
        <w:ind w:right="140" w:firstLine="921"/>
        <w:spacing w:after="0" w:line="289" w:lineRule="auto"/>
        <w:tabs>
          <w:tab w:leader="none" w:pos="1152" w:val="left"/>
        </w:tabs>
        <w:numPr>
          <w:ilvl w:val="1"/>
          <w:numId w:val="120"/>
        </w:numPr>
        <w:rPr>
          <w:rFonts w:ascii="Arial" w:cs="Arial" w:eastAsia="Arial" w:hAnsi="Arial"/>
          <w:sz w:val="16"/>
          <w:szCs w:val="16"/>
          <w:color w:val="auto"/>
        </w:rPr>
      </w:pPr>
      <w:r>
        <w:rPr>
          <w:rFonts w:ascii="Arial" w:cs="Arial" w:eastAsia="Arial" w:hAnsi="Arial"/>
          <w:sz w:val="16"/>
          <w:szCs w:val="16"/>
          <w:color w:val="auto"/>
        </w:rPr>
        <w:t>Notwithstanding the provisions of Section 8(b), and in addition to its right to submit any dispute or controversy to arbitration, the Company or one of its Affiliates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Restrictive Covenants, or to enforce an arbitration award, and, for the purposes of this Section 8(c), the Employee (i) expressly consents to the application of Section 8(d) to any such action or proceeding, (ii) agrees that proof shall not be required that monetary damages for breach of the provisions of the Restrictive Covenants or this Agreement would be difficult to calculate and that remedies at law would be inadequate, and (iii) irrevocably appoints the General Counsel of the Company as the Employee’s agent for service of process in connection with any such action or proceeding, who shall promptly advise the Employee of any such service of process by notifying the Employee at the last address on file in the Company’s records.</w:t>
      </w:r>
    </w:p>
    <w:p>
      <w:pPr>
        <w:spacing w:after="0" w:line="37" w:lineRule="exact"/>
        <w:rPr>
          <w:rFonts w:ascii="Arial" w:cs="Arial" w:eastAsia="Arial" w:hAnsi="Arial"/>
          <w:sz w:val="16"/>
          <w:szCs w:val="16"/>
          <w:color w:val="auto"/>
        </w:rPr>
      </w:pPr>
    </w:p>
    <w:p>
      <w:pPr>
        <w:ind w:right="180" w:firstLine="921"/>
        <w:spacing w:after="0" w:line="259" w:lineRule="auto"/>
        <w:tabs>
          <w:tab w:leader="none" w:pos="116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Employee and the Company hereby irrevocably submit to the exclusive jurisdiction of any state or federal court located in the City of New York over any suit, action, or proceeding arising out of relating to or concerning this Agreement or the Plan that is not otherwise required to be arbitrated or resolved in accordance with the provisions of Section 8(b).</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41" w:name="page142"/>
    <w:bookmarkEnd w:id="14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includes any suit, action or proceeding to compel arbitration or to enforce an arbitration award. The Employee and the Company acknowledge that the forum designated by this Section 8(d)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8(a), 8(b), or this Section 8(d).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8(d). The Employee and the Company undertake not to commence any action arising out of or relating to or concerning this Agreement in any forum other than a forum described in this Section 8(d), or, to the extent applicable, Section 8(b).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Conflicts and Interpretation.</w:t>
      </w:r>
    </w:p>
    <w:p>
      <w:pPr>
        <w:spacing w:after="0" w:line="96"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(a) interpret the Plan, (b) prescribe, amend and rescind rules and regulations relating to the Plan, and (c) make all other determinations deemed necessary or advisable for the administration of the Plan.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Amendment.</w:t>
      </w:r>
    </w:p>
    <w:p>
      <w:pPr>
        <w:spacing w:after="0" w:line="96"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Any modification, amendment or waiver to this Agreement that shall materially impair the rights of the Employee with respect to the Stock Units shall require an instrument in writing to be signed (either in paper format or electronically) by both parties hereto, except such a modification, amendment or waiver made to cause the Plan or the Stock Units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Section 409A of the Code.</w:t>
      </w:r>
    </w:p>
    <w:p>
      <w:pPr>
        <w:spacing w:after="0" w:line="96"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It is intended that the Stock Units shall be exempt from Section 409A of the Code pursuant to the “short-term deferral” rule applicable to such section, as set forth in the regulations or other guidance published by the Internal Revenue Service thereunder.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Electronic Delivery.</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lieu of receiving documents in paper format, the Employee hereby agrees, to the fullest extent permitted by law, to accept electronic delivery of any documents that the Company or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42" w:name="page143"/>
    <w:bookmarkEnd w:id="14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 may be required to deliver (including, but not limited to, prospectuses, prospectus supplements, grant or Award notifications and agreements, account statements, annual and quarterly reports, and all other forms of communications) in connection with the Stock Units or any other prior or future Award (it being understood and agreed that the Company or its Affiliates may, in their sole discretion, elect to satisfy any delivery requirements electronically, in paper format, or a combination of both methods). Electronic delivery of a document to the Employee may be via a Company email system or by reference to a location on a Company intranet or secure internet site to which Employee has access.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Compensation Recovery Policy.</w:t>
      </w:r>
    </w:p>
    <w:p>
      <w:pPr>
        <w:spacing w:after="0" w:line="96" w:lineRule="exact"/>
        <w:rPr>
          <w:sz w:val="20"/>
          <w:szCs w:val="20"/>
          <w:color w:val="auto"/>
        </w:rPr>
      </w:pPr>
    </w:p>
    <w:p>
      <w:pPr>
        <w:ind w:right="480" w:firstLine="913"/>
        <w:spacing w:after="0" w:line="332" w:lineRule="auto"/>
        <w:rPr>
          <w:sz w:val="20"/>
          <w:szCs w:val="20"/>
          <w:color w:val="auto"/>
        </w:rPr>
      </w:pPr>
      <w:r>
        <w:rPr>
          <w:rFonts w:ascii="Arial" w:cs="Arial" w:eastAsia="Arial" w:hAnsi="Arial"/>
          <w:sz w:val="16"/>
          <w:szCs w:val="16"/>
          <w:color w:val="auto"/>
        </w:rPr>
        <w:t>The Employee acknowledges and agrees that the Employee and the Stock Units are subject to the Company’s Compensation Recovery Policy Applicable to Named Executive Officers, as in effect as of the date hereof (a copy of which has been provided to the Employee).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Headings.</w:t>
      </w:r>
    </w:p>
    <w:p>
      <w:pPr>
        <w:spacing w:after="0" w:line="96"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43" w:name="page144"/>
    <w:bookmarkEnd w:id="143"/>
    <w:p>
      <w:pPr>
        <w:ind w:firstLine="14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as of the date first above written, the Company has caused this Agreement to be executed on behalf of its applicable Affiliate by a duly authorized officer and the Employee has hereunto set the Employee’s hand.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273050</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00"/>
          </w:cols>
          <w:pgMar w:left="240" w:top="280" w:right="85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Criteria and Calculation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80" w:right="1440" w:bottom="1440" w:gutter="0" w:footer="0" w:header="0"/>
        </w:sectPr>
      </w:pPr>
    </w:p>
    <w:bookmarkStart w:id="145" w:name="page146"/>
    <w:bookmarkEnd w:id="145"/>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Employee acknowledges that the grant of the performance-based Stock Units pursuant to the Performance-Based Stock Unit Agreement (such Stock Units, the “Stock Units” and such Performance-Based Stock Unit Agreement, the “Agreement”) confers a substantial benefit upon the Employee, and agrees to the following covenants (the “Restrictive Covenants”), which are designed, among other things, to protect the interests of the Lazard Group LLC, a Delaware limited liability company (the “Company”), and its Affiliates (collectively, the “Firm”) in its confidential and proprietary information, trade secrets, customer and employee relationships, orderly transition of responsibilities, and other legitimate business interests. All capitalized terms used herein, to the extent not defined, shall have the meaning set forth in the Lazard Ltd 2008 Incentive Compensation Plan. The Employee acknowledges that the Stock Units will be forfeited upon a violation by the Employee of the Restrictive Covenants, and that, pursuant to the Agreement, the Firm may seek injunctive relief in order to enforce the Restrictive Covenants:</w:t>
      </w:r>
    </w:p>
    <w:p>
      <w:pPr>
        <w:spacing w:after="0" w:line="145" w:lineRule="exact"/>
        <w:rPr>
          <w:sz w:val="20"/>
          <w:szCs w:val="20"/>
          <w:color w:val="auto"/>
        </w:rPr>
      </w:pPr>
    </w:p>
    <w:p>
      <w:pPr>
        <w:ind w:firstLine="921"/>
        <w:spacing w:after="0" w:line="286" w:lineRule="auto"/>
        <w:tabs>
          <w:tab w:leader="none" w:pos="1152"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information that is not unique to the Firm or that is generally known to the industry or the public other than as a result of the Employee’s breach of this Restrictive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24" w:lineRule="exact"/>
        <w:rPr>
          <w:rFonts w:ascii="Arial" w:cs="Arial" w:eastAsia="Arial" w:hAnsi="Arial"/>
          <w:sz w:val="16"/>
          <w:szCs w:val="16"/>
          <w:color w:val="auto"/>
        </w:rPr>
      </w:pPr>
    </w:p>
    <w:p>
      <w:pPr>
        <w:ind w:right="40" w:firstLine="921"/>
        <w:spacing w:after="0" w:line="291" w:lineRule="auto"/>
        <w:tabs>
          <w:tab w:leader="none" w:pos="1161"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(i) (A) three months after the Employee’s date of Termination of Employment for 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80" w:right="259" w:bottom="1440" w:gutter="0" w:footer="0" w:header="0"/>
        </w:sectPr>
      </w:pPr>
    </w:p>
    <w:bookmarkStart w:id="146" w:name="page147"/>
    <w:bookmarkEnd w:id="14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 other than a termination by the Firm without Cause or (B) one month after the date of the Employee’s Termination of Employment by the Firm without Cause (in either case, the date of such Termination of Employment, the “Date of Termination”) or (ii) the end of any longer period during which any similar covenants would be applicable to the Employee pursuant to any other agreement (other than an award agreement evidencing previously granted equity-based, fund interest, deferred cash or similar awards (collectively, the “Prior Awards”))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the Agreement, including this Appendix A, “Competitive Enterprise” shall mean a business (or business unit) that</w:t>
      </w:r>
    </w:p>
    <w:p>
      <w:pPr>
        <w:ind w:right="100" w:firstLine="8"/>
        <w:spacing w:after="0" w:line="287" w:lineRule="auto"/>
        <w:tabs>
          <w:tab w:leader="none" w:pos="24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A, the Employee shall not be considered to be in violation of the Restrictive Covenants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24" w:lineRule="exact"/>
        <w:rPr>
          <w:rFonts w:ascii="Arial" w:cs="Arial" w:eastAsia="Arial" w:hAnsi="Arial"/>
          <w:sz w:val="16"/>
          <w:szCs w:val="16"/>
          <w:color w:val="auto"/>
        </w:rPr>
      </w:pPr>
    </w:p>
    <w:p>
      <w:pPr>
        <w:ind w:right="60" w:firstLine="921"/>
        <w:spacing w:after="0" w:line="286" w:lineRule="auto"/>
        <w:tabs>
          <w:tab w:leader="none" w:pos="1152"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xml:space="preserve">.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the Agreement, including this Appendix A,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80" w:right="239" w:bottom="1440" w:gutter="0" w:footer="0" w:header="0"/>
        </w:sectPr>
      </w:pPr>
    </w:p>
    <w:bookmarkStart w:id="147" w:name="page148"/>
    <w:bookmarkEnd w:id="147"/>
    <w:p>
      <w:pPr>
        <w:ind w:left="-20" w:right="20" w:firstLine="921"/>
        <w:spacing w:after="0" w:line="290" w:lineRule="auto"/>
        <w:tabs>
          <w:tab w:leader="none" w:pos="1141"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Hire of Employees</w:t>
      </w:r>
      <w:r>
        <w:rPr>
          <w:rFonts w:ascii="Arial" w:cs="Arial" w:eastAsia="Arial" w:hAnsi="Arial"/>
          <w:sz w:val="16"/>
          <w:szCs w:val="16"/>
          <w:color w:val="auto"/>
        </w:rPr>
        <w:t>. The Employee hereby agrees that while employed by the Firm and thereafter until (i) six months after the Date of Termination for any reason or (ii) the end of any longer period during which any similar covenants would be applicable to the Employee pursuant to any other agreement (other than an award agreement evidencing any Prior Awards) between the Employee and the Firm (such period, the “No Hire Restriction Period”), the Employee shall not, directly or indirectly, for 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18" w:lineRule="exact"/>
        <w:rPr>
          <w:rFonts w:ascii="Arial" w:cs="Arial" w:eastAsia="Arial" w:hAnsi="Arial"/>
          <w:sz w:val="16"/>
          <w:szCs w:val="16"/>
          <w:color w:val="auto"/>
        </w:rPr>
      </w:pPr>
    </w:p>
    <w:p>
      <w:pPr>
        <w:ind w:left="-20" w:right="120" w:firstLine="921"/>
        <w:spacing w:after="0" w:line="291" w:lineRule="auto"/>
        <w:tabs>
          <w:tab w:leader="none" w:pos="113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Employee shall not at any time (whether prior to or following the Employee’s Termination of Employment), and shall instruct the Employee’s spouse or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20" w:lineRule="exact"/>
        <w:rPr>
          <w:rFonts w:ascii="Arial" w:cs="Arial" w:eastAsia="Arial" w:hAnsi="Arial"/>
          <w:sz w:val="16"/>
          <w:szCs w:val="16"/>
          <w:color w:val="auto"/>
        </w:rPr>
      </w:pPr>
    </w:p>
    <w:p>
      <w:pPr>
        <w:ind w:left="-20" w:right="60" w:firstLine="921"/>
        <w:spacing w:after="0" w:line="254" w:lineRule="auto"/>
        <w:tabs>
          <w:tab w:leader="none" w:pos="111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Notice of Termination Required</w:t>
      </w:r>
      <w:r>
        <w:rPr>
          <w:rFonts w:ascii="Arial" w:cs="Arial" w:eastAsia="Arial" w:hAnsi="Arial"/>
          <w:sz w:val="18"/>
          <w:szCs w:val="18"/>
          <w:color w:val="auto"/>
        </w:rPr>
        <w:t>. The Employee agrees to provide a period of advance written notice to the Firm prior to the Employee’s Termination of Employment equal to (i) three months or (ii) any longer notice period required pursuant to any other agreement (other than an award agreement evidencing any Prior Awards) between the Employee and the Firm. The Employee hereby agrees that, if, during the applicable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44" w:lineRule="exact"/>
        <w:rPr>
          <w:rFonts w:ascii="Arial" w:cs="Arial" w:eastAsia="Arial" w:hAnsi="Arial"/>
          <w:sz w:val="18"/>
          <w:szCs w:val="18"/>
          <w:color w:val="auto"/>
        </w:rPr>
      </w:pPr>
    </w:p>
    <w:p>
      <w:pPr>
        <w:ind w:left="-20" w:firstLine="921"/>
        <w:spacing w:after="0" w:line="289" w:lineRule="auto"/>
        <w:tabs>
          <w:tab w:leader="none" w:pos="1141"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Restrictive Covenants Generally</w:t>
      </w:r>
      <w:r>
        <w:rPr>
          <w:rFonts w:ascii="Arial" w:cs="Arial" w:eastAsia="Arial" w:hAnsi="Arial"/>
          <w:sz w:val="16"/>
          <w:szCs w:val="16"/>
          <w:color w:val="auto"/>
        </w:rPr>
        <w:t>. If any of the Restrictive Covenants is finally held to be invalid, illegal or unenforceable (whether in whole or in part), such Restrictive Covenant shall be deemed modified to the extent, but only to the extent, of such invalidity, illegality or unenforceability and the remaining such Restrictive Covenants shall not be affected thereby; provided, however, that if any of such Restrictive Covenants is finally held to be invalid, illegal or unenforceable because it exceeds the maximum scope determined to be acceptable to permit such provision to be enforceable, such Restrictive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A, with a copy of such notice delivered no later than the date of the Employee’s commencement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60" w:top="280" w:right="239" w:bottom="1440" w:gutter="0" w:footer="0" w:header="0"/>
        </w:sectPr>
      </w:pPr>
    </w:p>
    <w:bookmarkStart w:id="148" w:name="page149"/>
    <w:bookmarkEnd w:id="14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employment with such prospective employer, to the General Counsel of the Company. The Employee acknowledges and agrees that the terms of the Restrictive Covenants: (i) are reasonable in light of all of the circumstances, (ii) are sufficiently limited to protect the legitimate interests of the Firm, (iii) impose no undue hardship on the Employee and (iv) are not injurious to the public. The Employee acknowledges and agrees that the Employee’s breach of the Restrictive Covenants will cause the Firm irreparable harm, which cannot be adequately compensated by money damages. The Employee also agrees that the Firm shall be entitled to injunctive relief for any actual or threatened violation of any of the Restrictive Covenants in addition to any other remedies it may have, including, without limitation, money damages and forfeiture of the Stock Units. The Employee further acknowledges that, except as provided in Paragraph (h), the Restrictive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18" w:lineRule="exact"/>
        <w:rPr>
          <w:sz w:val="20"/>
          <w:szCs w:val="20"/>
          <w:color w:val="auto"/>
        </w:rPr>
      </w:pPr>
    </w:p>
    <w:p>
      <w:pPr>
        <w:ind w:right="20" w:firstLine="921"/>
        <w:spacing w:after="0" w:line="294" w:lineRule="auto"/>
        <w:tabs>
          <w:tab w:leader="none" w:pos="1161"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Other Restrictive Covenants</w:t>
      </w:r>
      <w:r>
        <w:rPr>
          <w:rFonts w:ascii="Arial" w:cs="Arial" w:eastAsia="Arial" w:hAnsi="Arial"/>
          <w:sz w:val="16"/>
          <w:szCs w:val="16"/>
          <w:color w:val="auto"/>
        </w:rPr>
        <w:t>. The Employee acknowledges that, in the event that the Employee is subject to an employment contract, the Restrictive Covenants set forth in this Appendix A constitute a supplement to such employment contract and will be entirely governed by the distinct and specific provisions of this Appendix A. The Employee acknowledges that the Restrictive Covenants set forth in this Appendix A shall supersede and are in full substitution for any and all prior restrictive covenants included in any award agreement evidencing any Prior Awards by which the Employee is bound, and this Paragraph (h) shall constitute a valid amendment to such award agreements.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280" w:right="2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10.55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LAZARD FUND INTEREST AGREEMENT</w:t>
      </w:r>
    </w:p>
    <w:p>
      <w:pPr>
        <w:spacing w:after="0" w:line="17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THIS AGREEMENT, dated as of [DATE], between Lazard Group LLC, a Delaware limited liability company (the “Company”), on its behalf and on behalf of its applicable Affiliate (as defined under the definitional rules of Section 1(a) below), and [NAME] (the “Employee”).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0"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Grant and Investment Elections.</w:t>
      </w:r>
    </w:p>
    <w:p>
      <w:pPr>
        <w:spacing w:after="0" w:line="96" w:lineRule="exact"/>
        <w:rPr>
          <w:rFonts w:ascii="Arial" w:cs="Arial" w:eastAsia="Arial" w:hAnsi="Arial"/>
          <w:sz w:val="18"/>
          <w:szCs w:val="18"/>
          <w:b w:val="1"/>
          <w:bCs w:val="1"/>
          <w:color w:val="auto"/>
        </w:rPr>
      </w:pPr>
    </w:p>
    <w:p>
      <w:pPr>
        <w:ind w:firstLine="921"/>
        <w:spacing w:after="0" w:line="291" w:lineRule="auto"/>
        <w:tabs>
          <w:tab w:leader="none" w:pos="115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Subject to the provisions of this Agreement, the Company, on its behalf and on behalf of its applicable Affiliate, hereby grants to the Employee, as of the date set forth above (the “Grant Date”), $[AMOUNT] (the “Fund Interest Amount”), which shall be invested in one or more of the specified portfolios of The Lazard Funds Inc., as may be offered by the Company for this purpose from time to time (the “Company Funds”), in the manner specified by the Employee, subject to minimum allocations as established by the Administrator (as defined below) from time to time. The Employee’s initial allocation shall be specified on a form or by other means (including electronically) as established by the Administrator (the “Investment Election Form”). All capitalized terms used herein, to the extent not defined, shall have the meaning set forth in the Lazard Ltd 2008 Incentive Compensation Plan (the “Plan”).</w:t>
      </w:r>
    </w:p>
    <w:p>
      <w:pPr>
        <w:spacing w:after="0" w:line="120" w:lineRule="exact"/>
        <w:rPr>
          <w:rFonts w:ascii="Arial" w:cs="Arial" w:eastAsia="Arial" w:hAnsi="Arial"/>
          <w:sz w:val="16"/>
          <w:szCs w:val="16"/>
          <w:color w:val="auto"/>
        </w:rPr>
      </w:pPr>
    </w:p>
    <w:p>
      <w:pPr>
        <w:ind w:right="60" w:firstLine="921"/>
        <w:spacing w:after="0" w:line="289" w:lineRule="auto"/>
        <w:tabs>
          <w:tab w:leader="none" w:pos="116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As of [DATE] or, if earlier and only if permitted by the Administrator, the business day following the date on which the Employee submits the Investment Election Form in accordance with Section 1(c) below (the “Effective Date”), the Company, or one of its Affiliates, shall purchase on the Employee’s behalf interests from the applicable Company Funds (the “Lazard Fund Interests”) using the Fund Interest Amount, in accordance with the allocations specified by the Employee in the Investment Election Form. The Lazard Fund Interests will be held in a restricted brokerage account established at Lazard Capital Markets LLC (“LCM”) or such other location as may be determined by the Administrator, for which Lazard Asset Management LLC will be the owner of record, as custodian, for the benefit of the Employee (the “Fund Account”). The Lazard Fund Interests will be beneficially owned by the Employee, subject to forfeiture in accordance with Section 2. For the avoidance of doubt, the Lazard Fund Interests constitute property that will be transferred to the Employee on the Effective Date for purposes of Section 83 of the Internal Revenue Code of 1986, as amended (the “Code”).</w:t>
      </w:r>
    </w:p>
    <w:p>
      <w:pPr>
        <w:spacing w:after="0" w:line="118" w:lineRule="exact"/>
        <w:rPr>
          <w:rFonts w:ascii="Arial" w:cs="Arial" w:eastAsia="Arial" w:hAnsi="Arial"/>
          <w:sz w:val="16"/>
          <w:szCs w:val="16"/>
          <w:color w:val="auto"/>
        </w:rPr>
      </w:pPr>
    </w:p>
    <w:p>
      <w:pPr>
        <w:ind w:right="60" w:firstLine="921"/>
        <w:spacing w:after="0" w:line="289" w:lineRule="auto"/>
        <w:tabs>
          <w:tab w:leader="none" w:pos="115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The Employee shall submit, in accordance with procedures established from time to time by the Company (the “Administrator”), the Investment Election Form with respect to the Fund Interest Amount during the period established by the Administrator in its sole discretion, which period shall end no later than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once the Employee has submitted the Investment Election Form, such election shall be irrevocable until a Reallocation Date, if any. Such Investment Election Form shall designate the percentage of the Fund Interest Amount that shall be invested in each Company Fund. Without limiting the generality of Sections 11 and 12 below, the Administrator, in its sole discretion, may (i) establish rules governing the Employee’s ability to reallocate investments in the Fund Account among the various Company Funds, (ii) establish any minimum and maximum percentages of the Fund Interest Amount that may be invested in each Company Fund, (iii) determine the Company investment funds that may be offered as Company Funds from time to time, (iv) determine the consequences of eliminating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investment fund from the list of Company Funds and (v) establish rules or procedures governing such other matters as it determines are necessary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advisable for the proper administration of this Agreement. If the Employee fails to properly complete and submit the Investment Election Form by [DATE],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 Interest Amount will be invested pro rata in each Company Fund as of such date. Unless otherwise directed by the Employee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1(d) below, subject to the Administrator’s authority pursuant to this Section 1(c), the allocation of the Fund Interest Amount among the Company Funds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not be changed from the initial allocation.</w:t>
      </w:r>
    </w:p>
    <w:p>
      <w:pPr>
        <w:spacing w:after="0" w:line="165" w:lineRule="exact"/>
        <w:rPr>
          <w:sz w:val="20"/>
          <w:szCs w:val="20"/>
          <w:color w:val="auto"/>
        </w:rPr>
      </w:pPr>
    </w:p>
    <w:p>
      <w:pPr>
        <w:ind w:firstLine="921"/>
        <w:spacing w:after="0" w:line="259" w:lineRule="auto"/>
        <w:tabs>
          <w:tab w:leader="none" w:pos="116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Unless the Administrator determines otherwise, the Employee will be permitted to reallocate the investments in the Company Funds at least once annually (each such date, a “Reallocation Date”) by completing a new Investment Election Form, as may be updated by the Administrator from time to time, which shall be submitted in accordance with procedures established from time to time by the Administrator.</w:t>
      </w:r>
    </w:p>
    <w:p>
      <w:pPr>
        <w:spacing w:after="0" w:line="140" w:lineRule="exact"/>
        <w:rPr>
          <w:rFonts w:ascii="Arial" w:cs="Arial" w:eastAsia="Arial" w:hAnsi="Arial"/>
          <w:sz w:val="18"/>
          <w:szCs w:val="18"/>
          <w:color w:val="auto"/>
        </w:rPr>
      </w:pPr>
    </w:p>
    <w:p>
      <w:pPr>
        <w:ind w:firstLine="921"/>
        <w:spacing w:after="0" w:line="332" w:lineRule="auto"/>
        <w:tabs>
          <w:tab w:leader="none" w:pos="1152"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Employee shall receive statements from LCM (or such other broker-dealer, as applicable) with respect to the Lazard Fund Interests and Fund Account in such a manner and at such times as are consistent with LCM’s (or such other broker-dealer’s, as applicable) standard procedures.</w:t>
      </w:r>
    </w:p>
    <w:p>
      <w:pPr>
        <w:spacing w:after="0" w:line="200" w:lineRule="exact"/>
        <w:rPr>
          <w:rFonts w:ascii="Arial" w:cs="Arial" w:eastAsia="Arial" w:hAnsi="Arial"/>
          <w:sz w:val="16"/>
          <w:szCs w:val="16"/>
          <w:color w:val="auto"/>
        </w:rPr>
      </w:pPr>
    </w:p>
    <w:p>
      <w:pPr>
        <w:ind w:left="900" w:hanging="446"/>
        <w:spacing w:after="0"/>
        <w:tabs>
          <w:tab w:leader="none" w:pos="9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Lazard Fund Interests.</w:t>
      </w:r>
    </w:p>
    <w:p>
      <w:pPr>
        <w:spacing w:after="0" w:line="96" w:lineRule="exact"/>
        <w:rPr>
          <w:rFonts w:ascii="Arial" w:cs="Arial" w:eastAsia="Arial" w:hAnsi="Arial"/>
          <w:sz w:val="18"/>
          <w:szCs w:val="18"/>
          <w:b w:val="1"/>
          <w:bCs w:val="1"/>
          <w:color w:val="auto"/>
        </w:rPr>
      </w:pPr>
    </w:p>
    <w:p>
      <w:pPr>
        <w:ind w:right="160" w:firstLine="921"/>
        <w:spacing w:after="0" w:line="254" w:lineRule="auto"/>
        <w:tabs>
          <w:tab w:leader="none" w:pos="115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Lazard Fund Interests shall vest and no longer be subject to any restriction (such period during which restrictions apply to the Lazard Fund Interests is the “Restriction Period”) in accordance with the following schedule: 1/3rd of the Lazard Fund Interests shall vest on [DATE] and 2/3rds of the Lazard Fund Interests shall vest on [DATE]. Each of [DATE] and [DATE] is referred to herein, as applicable, as the “Vesting Date”. Unless the Administrator determines otherwise, on each Vesting Date, the percentage of Lazard Fund Interests that shall have vested shall be applied pro rata to all Lazard Fund Interests in the Employee’s Fund Account regardless of the Company Fund in which such Lazard Fund Interests are invested on such Vesting Date.</w:t>
      </w:r>
    </w:p>
    <w:p>
      <w:pPr>
        <w:spacing w:after="0" w:line="144" w:lineRule="exact"/>
        <w:rPr>
          <w:rFonts w:ascii="Arial" w:cs="Arial" w:eastAsia="Arial" w:hAnsi="Arial"/>
          <w:sz w:val="18"/>
          <w:szCs w:val="18"/>
          <w:color w:val="auto"/>
        </w:rPr>
      </w:pPr>
    </w:p>
    <w:p>
      <w:pPr>
        <w:ind w:right="60" w:firstLine="921"/>
        <w:spacing w:after="0" w:line="255" w:lineRule="auto"/>
        <w:tabs>
          <w:tab w:leader="none" w:pos="116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Except as set forth in Section 2(f) below, in the event that the Employee incurs a Termination of Employment during the applicable Restriction Period for any reason not set forth in Section 2(c) or 2(e), all unvested Lazard Fund Interests shall be forfeited by the Employee effective immediately upon such Termination of Employment. For purposes of this Section 2(b), the Employee will be deemed to have incurred a Termination of Employment on the date that the Employee provides notice of termination to the Company, and accordingly, all unvested Lazard Fund Interests shall be forfeited by the Employee immediately upon delivery of any such notice.</w:t>
      </w:r>
    </w:p>
    <w:p>
      <w:pPr>
        <w:spacing w:after="0" w:line="142" w:lineRule="exact"/>
        <w:rPr>
          <w:rFonts w:ascii="Arial" w:cs="Arial" w:eastAsia="Arial" w:hAnsi="Arial"/>
          <w:sz w:val="18"/>
          <w:szCs w:val="18"/>
          <w:color w:val="auto"/>
        </w:rPr>
      </w:pPr>
    </w:p>
    <w:p>
      <w:pPr>
        <w:ind w:firstLine="921"/>
        <w:spacing w:after="0" w:line="253" w:lineRule="auto"/>
        <w:tabs>
          <w:tab w:leader="none" w:pos="115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 Except as set forth in Section 2(f) below, in the event that the Employee (A) incurs a Termination of Employment during the applicable Restriction Period due to the Employee’s Disability or due to a Termination of Employment by the Company other than for Cause or (B) at any time during the applicable Restriction Period, meets the requirements of the retirement policy applicable to equity awards granted under the Plan, as in effect from time to time (such Employee, a “Retirement Eligible Employee”), then, in each case, subject to Sections 2(d) and 3, the Lazard Fund Interests shall vest immediately following the date that the Employee is no longer required to perform any additional services in order to retain such Lazard Fund Interests (the date that such Lazard Fund Interests vest is the “Initial Vesting Date”). Within 30 days following the Initial Vesting Date, the percentage of the Lazard Fund Interests that vested pursuant to the preceding sentence equal to the amount that the Administrator determines, in its sole discretion, is necessary to satisfy the Employee’s tax liability incurred as a result of</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51" w:name="page152"/>
    <w:bookmarkEnd w:id="15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vesting will be transferred to an unrestricted brokerage account at LCM (or such other broker-dealer as is selected by the Administrator from time to time, as applicable) in the Employee’s name (such Lazard Fund Interests, the “Transferable Interests”), and the Employee shall be permitted to dispose of such Transferable Interests. All vested Lazard Fund Interests following the Initial Vesting Date that are not Transferable Interests (such Lazard Fund Interests, the “Remaining Interests”) will remain subject to the restrictions set forth in this Agreement until the applicable date that such Remaining Interests otherwise would have vested in accordance with this Agreement (each such date, a “Final Vesting Date”). Accordingly, prior to the applicable Final Vesting Date, neither the Employee nor any of the Employee’s creditors or beneficiaries will have the right to subject the Remaining Interests to any anticipation, alienation, sale, transfer, assignment, pledge, encumbrance, hedge, exchange, attachment or garnishment or any similar transaction. Furthermore, for the avoidance of doubt, the Remaining Interests shall continue to be subject to the forfeiture provisions set forth in this Agreement (including, without limitation, those relating to violation of the restrictive covenants set forth in Appendix A, which are incorporated herein by reference (the “Restrictive Covenants”)) until the applicable Final Vesting Date.</w:t>
      </w:r>
    </w:p>
    <w:p>
      <w:pPr>
        <w:spacing w:after="0" w:line="255" w:lineRule="exact"/>
        <w:rPr>
          <w:sz w:val="20"/>
          <w:szCs w:val="20"/>
          <w:color w:val="auto"/>
        </w:rPr>
      </w:pPr>
    </w:p>
    <w:p>
      <w:pPr>
        <w:ind w:left="920" w:right="120" w:firstLine="1"/>
        <w:spacing w:after="0" w:line="256" w:lineRule="auto"/>
        <w:tabs>
          <w:tab w:leader="none" w:pos="117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event that the Employee incurs a Termination of Employment during the applicable Restriction Period due to the Employee’s death or, subject to Section 2(d), dies during the applicable Restriction Period subsequent to a Termination of Employment as described in Section 2(c)(i) or 2(e), all Lazard Fund Interests, including any Remaining Interests, if applicable, shall automatically vest, and all forfeiture provisions shall lapse, as applicable, on the date of death.</w:t>
      </w:r>
    </w:p>
    <w:p>
      <w:pPr>
        <w:spacing w:after="0" w:line="143" w:lineRule="exact"/>
        <w:rPr>
          <w:sz w:val="20"/>
          <w:szCs w:val="20"/>
          <w:color w:val="auto"/>
        </w:rPr>
      </w:pPr>
    </w:p>
    <w:p>
      <w:pPr>
        <w:ind w:firstLine="921"/>
        <w:spacing w:after="0" w:line="291" w:lineRule="auto"/>
        <w:tabs>
          <w:tab w:leader="none" w:pos="1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 the event that the Employee violates any of the provisions of the Restrictive Covenants, all outstanding vested or unvested Lazard Fund Interests and, if applicable, prior to the relevant Final Vesting Date, all Remaining Interests, shall be forfeited and canceled. Notwithstanding that certain Restrictive Covenants apply for only a limited period following Termination of Employment, in the event that the Employee’s employment with the Company terminates by reason of retirement in accordance with Section 2(e) below, the Employee will forfeit any outstanding Remaining Interests if the Employee does not comply with all Restrictive Covenants until the applicable Final Vesting Date. Furthermore, in the event that the Employee incurs a Termination of Employment for Cause, the Employee will forfeit all outstanding Remaining Interests.</w:t>
      </w:r>
    </w:p>
    <w:p>
      <w:pPr>
        <w:spacing w:after="0" w:line="120" w:lineRule="exact"/>
        <w:rPr>
          <w:rFonts w:ascii="Arial" w:cs="Arial" w:eastAsia="Arial" w:hAnsi="Arial"/>
          <w:sz w:val="16"/>
          <w:szCs w:val="16"/>
          <w:color w:val="auto"/>
        </w:rPr>
      </w:pPr>
    </w:p>
    <w:p>
      <w:pPr>
        <w:ind w:right="80" w:firstLine="921"/>
        <w:spacing w:after="0" w:line="259" w:lineRule="auto"/>
        <w:tabs>
          <w:tab w:leader="none" w:pos="11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and after the date an Employee becomes a Retirement Eligible Employee, the Employee will be permitted to retire from the Company and its Subsidiaries and Affiliates and, subject to the restrictions set forth in this Agreement, the forfeiture provisions on the Remaining Interests will continue to lapse following retirement.</w:t>
      </w:r>
    </w:p>
    <w:p>
      <w:pPr>
        <w:spacing w:after="0" w:line="140" w:lineRule="exact"/>
        <w:rPr>
          <w:rFonts w:ascii="Arial" w:cs="Arial" w:eastAsia="Arial" w:hAnsi="Arial"/>
          <w:sz w:val="18"/>
          <w:szCs w:val="18"/>
          <w:color w:val="auto"/>
        </w:rPr>
      </w:pPr>
    </w:p>
    <w:p>
      <w:pPr>
        <w:ind w:right="80" w:firstLine="921"/>
        <w:spacing w:after="0" w:line="289" w:lineRule="auto"/>
        <w:tabs>
          <w:tab w:leader="none" w:pos="113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(i) Except as otherwise provided in this Section 2(f)(i) and Section 2(f)(ii) below, following a Change in Control, the unvested but outstanding Lazard Fund Interests, including any Remaining Interests, shall remain outstanding through the applicable Vesting Date (or, as applicable, Final Vesting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Employee incurs a Termination of Employment upon or following a Change in Control but prior to the applicable Vesting Date under any of the circumstances described in Section 2(c) or Section 2(e) above, the date of such Termination of Employment shall be deemed to be the Vesting Date, and all Lazard Fund Interests then outstanding shall be Transferable Interests. Furthermore, in the event that the Employee incurs a Termination of Employment under any of the circumstances described in Section 2(c) or Section 2(e) above prior to the applicable Vesting Date and prior to a Change in Control, upon a Change in Control, the date of the Change in Control shall be deemed to be the Vesting Date for purposes of the unvested Lazard Fund Interests (and the Final Vesting Date for any Remaining Interests) then held by the Employee.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152" w:name="page153"/>
    <w:bookmarkEnd w:id="152"/>
    <w:p>
      <w:pPr>
        <w:ind w:left="920" w:right="20" w:firstLine="1"/>
        <w:spacing w:after="0" w:line="288" w:lineRule="auto"/>
        <w:tabs>
          <w:tab w:leader="none" w:pos="1178" w:val="left"/>
        </w:tabs>
        <w:numPr>
          <w:ilvl w:val="1"/>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in the event of a Change in Control prior to the applicable Vesting Date, unless (A) the unvested but outstanding Lazard Fund Interests, including any Remaining Interests, remain outstanding following a Change in Control, (B) the material terms and conditions of such Lazard Fund Interests (and, if applicable, Remaining Interests) as in effect immediately prior to the Change in Control are preserved following the Change in Control (including, without limitation, with respect to the vesting schedules, the intrinsic value of the Lazard Fund Interests (and, if applicable, Remaining Interests), and the reallocation provisions) and (C) the investment funds that are offered following the Change in Control are the same as, or substantially similar to, the investment funds in which the Employee has invested as of the Change in Control, the date of the Change in Control shall be deemed to be the Vesting Date for purposes of such Lazard Fund Interests (and the Final Vesting Date for purposes of any Remaining Interests then outstanding) and such Lazard Fund Interests (and, if applicable, Remaining Interests) shall automatically vest and all forfeiture provisions shall lapse, as applicable, as of such date.</w:t>
      </w:r>
    </w:p>
    <w:p>
      <w:pPr>
        <w:spacing w:after="0" w:line="235" w:lineRule="exact"/>
        <w:rPr>
          <w:rFonts w:ascii="Arial" w:cs="Arial" w:eastAsia="Arial" w:hAnsi="Arial"/>
          <w:sz w:val="16"/>
          <w:szCs w:val="16"/>
          <w:color w:val="auto"/>
        </w:rPr>
      </w:pPr>
    </w:p>
    <w:p>
      <w:pPr>
        <w:ind w:left="900" w:hanging="446"/>
        <w:spacing w:after="0"/>
        <w:tabs>
          <w:tab w:leader="none" w:pos="9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Unrestricted Lazard Fund Interests.</w:t>
      </w:r>
    </w:p>
    <w:p>
      <w:pPr>
        <w:spacing w:after="0" w:line="96"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As soon as practicable (but in no event more than 30 days) after any Lazard Fund Interest has vested and is no longer subject to the applicable Restriction Period or after any Remaining Interest is no longer subject to any restrictions, the Company shall, subject to Section 6, deliver to the Employee an unrestricted, freely-transferable Lazard Fund Interest, which shall be transferred to an unrestricted brokerage account at LCM (or such other broker-dealer, as applicable) in the Employee’s name. Notwithstanding the foregoing, the Company shall be entitled to hold the unrestricted Lazard Fund Interests to be transferred upon vesting and lapse of all restrictions until the Company shall have received from the Employee a duly executed Form W-9 or W-8, as applicable.</w:t>
      </w:r>
    </w:p>
    <w:p>
      <w:pPr>
        <w:spacing w:after="0" w:line="231"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the Lazard Fund Interests.</w:t>
      </w:r>
    </w:p>
    <w:p>
      <w:pPr>
        <w:spacing w:after="0" w:line="9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During the applicable Restriction Period and until such time as the Lazard Fund Interests, including, if applicable, any Remaining Interests, have ultimately vested and the unrestricted Lazard Fund Interests have been transferred to the unrestricted brokerage account as provided in Section 3 above, unless the Administrator determines otherwise, the Lazard Fund Interests, including, if applicable, any Remaining Interests, but excluding the Transferable Interests (if any), shall not be transferable by the Employee by means of sale, assignment, exchange, encumbrance, pledge, hedge or otherwise.</w:t>
      </w:r>
    </w:p>
    <w:p>
      <w:pPr>
        <w:spacing w:after="0" w:line="228"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Rights as a Holder of Interests in Company Funds.</w:t>
      </w:r>
    </w:p>
    <w:p>
      <w:pPr>
        <w:spacing w:after="0" w:line="9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If any Company Fund in which the Employee holds an interest distributes earnings with respect to an unvested Lazard Fund Interest, or with respect to any Remaining Interests, in each case, prior to the date on which the unrestricted Lazard Fund Interests are transferred to the unrestricted brokerage account as provided in Section 3 above, the Fund Account shall be credited as follows. In the event distributions are made in cash, such cash distributions shall be automatically reinvested in the applicable Company Fund, and the additional Lazard Fund Interests shall be held in the Fund Account. In the event any Company Fund in which the Employee holds an interest makes an in-kind distribution, extraordinary distribution (whether distributed in other securities or other property) or adjustment with respect to the Lazard Fund Interests or Remaining Interests, such distributions shall be held in the Fund Account and such adjustments shall be reflected in the Fund Account. In the event of distributions made in cash, in-kind or in other securities or other property, additional Lazard Fund Interests and any other securities or property held in the Fund Account shall vest concurrently with the underlying Lazard Fund Interests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53" w:name="page154"/>
    <w:bookmarkEnd w:id="153"/>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Remaining Interests, as applicable, and be treated as Lazard Fund Interests or Remaining Interests, as applicable, for all purposes of this Agreement. For the avoidance of doubt, in the event that any Lazard Fund Interests and Remaining Interests are forfeited in accordance with this Agreement, the distributions with respect to any such interests will also be forfeited. Notwithstanding the foregoing, subject to Sections 2(c)(i) and 3 and any other applicable law or agreement, from and after the Effective Date, the Employee will be entitled to exercise voting rights with respect to the Remaining Interests.</w:t>
      </w:r>
    </w:p>
    <w:p>
      <w:pPr>
        <w:spacing w:after="0" w:line="228"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Transfer Taxes, Fees and Other Expenses.</w:t>
      </w:r>
    </w:p>
    <w:p>
      <w:pPr>
        <w:spacing w:after="0" w:line="96"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Company agrees to pay any and all original issue taxes and transfer taxes that may be imposed in connection with the purchase of any Lazard Fund Interest or the transfer of an unrestricted Lazard Fund Interest to an unrestricted brokerage account as provided in Section 3 above, together with any and all other fees and expenses necessarily incurred by the Company in connection therewith.</w:t>
      </w:r>
    </w:p>
    <w:p>
      <w:pPr>
        <w:spacing w:after="0" w:line="256"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Withholding.</w:t>
      </w:r>
    </w:p>
    <w:p>
      <w:pPr>
        <w:spacing w:after="0" w:line="96" w:lineRule="exact"/>
        <w:rPr>
          <w:sz w:val="20"/>
          <w:szCs w:val="20"/>
          <w:color w:val="auto"/>
        </w:rPr>
      </w:pPr>
    </w:p>
    <w:p>
      <w:pPr>
        <w:ind w:right="20" w:firstLine="913"/>
        <w:spacing w:after="0" w:line="282" w:lineRule="auto"/>
        <w:rPr>
          <w:sz w:val="20"/>
          <w:szCs w:val="20"/>
          <w:color w:val="auto"/>
        </w:rPr>
      </w:pPr>
      <w:r>
        <w:rPr>
          <w:rFonts w:ascii="Arial" w:cs="Arial" w:eastAsia="Arial" w:hAnsi="Arial"/>
          <w:sz w:val="16"/>
          <w:szCs w:val="16"/>
          <w:color w:val="auto"/>
        </w:rPr>
        <w:t>No later than the date as of which an amount first becomes includible in the gross income of the Employee for federal, state, local or foreign income tax purposes with respect to any Lazard Fund Interests,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 as otherwise required by applicable law, the Company will report that the Employee will be taxed on the full value of the Lazard Fund Interests on the date that the Employee is no longer required to perform any additional services in order to retain such Lazard Fund Interests. The obligations of the Company under this Agreement shall be conditioned on compliance by the Employee with this Section 7, and the Company or its applicable Affiliate shall, to the extent permitted by law, have the right to deduct any such taxes from any payment otherwise due to the Employee, including deducting such amount from the delivery of Lazard Fund Interests that gives rise to the withholding requirement. Notwithstanding the foregoing, the Company or an Affiliate may, in the Company’s sole discretion and subject to such other terms and conditions as the Company may determine, (a) if the Employee is subject to withholding as a matter of applicable law as of the applicable vesting date, retain that portion of the Transferable Interests (which may be all of the Transferable Interests) that the Company determines has a value that the Company or an Affiliate is required by applicable law to remit to the appropriate taxing authorities on the Employee’s behalf in connection with the vesting of the Lazard Fund Interests and (b) if the Employee is not subject to withholding as a matter of applicable law as of the applicable vesting date (including if the Employee is a member of the Company who reports income from the Company and its Affiliates on Schedule K-1 to the Company’s Federal income tax return) and pursuant to the prior written approval of the Company, retain some or all of the Transferable Interests and have the Company or such Affiliate either (i) remit the relevant taxes on the Employee’s behalf to the appropriate taxing authorities or</w:t>
      </w:r>
    </w:p>
    <w:p>
      <w:pPr>
        <w:spacing w:after="0" w:line="5" w:lineRule="exact"/>
        <w:rPr>
          <w:sz w:val="20"/>
          <w:szCs w:val="20"/>
          <w:color w:val="auto"/>
        </w:rPr>
      </w:pPr>
    </w:p>
    <w:p>
      <w:pPr>
        <w:ind w:firstLine="8"/>
        <w:spacing w:after="0" w:line="254" w:lineRule="auto"/>
        <w:tabs>
          <w:tab w:leader="none" w:pos="25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deposit cash equal to the value of the Transferable Interests retained by the Company or an Affiliate (as reasonably determined by the Company) into the Employee’s tax advance account (if any). Prior to an Initial Vesting Date, the Company will notify the Employee of (A) how many Lazard Fund Interests will vest on such Initial Vesting Date and (B) the portion, if any, of the Transferable Interests that the Company or an Affiliate will retain pursuant to clause (a) or (b), as applicable, of the immediately preceding sentence.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54" w:name="page155"/>
    <w:bookmarkEnd w:id="154"/>
    <w:p>
      <w:pPr>
        <w:ind w:left="900" w:hanging="446"/>
        <w:spacing w:after="0"/>
        <w:tabs>
          <w:tab w:leader="none" w:pos="9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Disgorgement of Tax Benefits.</w:t>
      </w:r>
    </w:p>
    <w:p>
      <w:pPr>
        <w:spacing w:after="0" w:line="96"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In the event that the Employee retires from the Company in accordance with Section 2(e) above and, after the Employee’s retirement, the Employee forfeits the Remaining Interests and any distributions thereon, the Employee shall disgorge to the Company any current or future tax benefit the Employee may derive from the forfeiture of any Lazard Fund Interests and distributions thereon at the time the Employee derives such tax benefit. The Employee agrees to use reasonable best efforts to claim any tax benefit from such forfeiture that the Company reasonably determines is available to the Employee on all relevant tax returns. Notwithstanding the foregoing, this Section 8 shall not apply in the event of a Change in Control or a Termination of Employment other than for Cause or due to death or Disability.</w:t>
      </w:r>
    </w:p>
    <w:p>
      <w:pPr>
        <w:spacing w:after="0" w:line="260"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Agreement.</w:t>
      </w:r>
    </w:p>
    <w:p>
      <w:pPr>
        <w:spacing w:after="0" w:line="9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shall confer upon the Employee any right to continue in the employ of the Company or any of its Affiliates or interfere in any way with the right of the Company or any such Affiliates to terminate the Employee’s employment at any time. Until the Lazard Fund Interests vest and all restrictions lapse, the Employee shall not have any rights as an interest holder with respect to the Lazard Fund Interests or any underlying Company Funds, except as specifically provided herein (including, for the avoidance of doubt, pursuant to Section 1(b) above).</w:t>
      </w:r>
    </w:p>
    <w:p>
      <w:pPr>
        <w:spacing w:after="0" w:line="236"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96" w:lineRule="exact"/>
        <w:rPr>
          <w:rFonts w:ascii="Arial" w:cs="Arial" w:eastAsia="Arial" w:hAnsi="Arial"/>
          <w:sz w:val="18"/>
          <w:szCs w:val="18"/>
          <w:b w:val="1"/>
          <w:bCs w:val="1"/>
          <w:color w:val="auto"/>
        </w:rPr>
      </w:pPr>
    </w:p>
    <w:p>
      <w:pPr>
        <w:ind w:right="20" w:firstLine="921"/>
        <w:spacing w:after="0" w:line="259" w:lineRule="auto"/>
        <w:tabs>
          <w:tab w:leader="none" w:pos="115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(United States of America), without regard to principles of conflict of laws, which could cause the application of the law of any jurisdiction other than the State of New York. By accepting the Lazard Fund Interests, the Employee agrees to and is bound by the Restrictive Covenants.</w:t>
      </w:r>
    </w:p>
    <w:p>
      <w:pPr>
        <w:spacing w:after="0" w:line="140" w:lineRule="exact"/>
        <w:rPr>
          <w:rFonts w:ascii="Arial" w:cs="Arial" w:eastAsia="Arial" w:hAnsi="Arial"/>
          <w:sz w:val="18"/>
          <w:szCs w:val="18"/>
          <w:color w:val="auto"/>
        </w:rPr>
      </w:pPr>
    </w:p>
    <w:p>
      <w:pPr>
        <w:jc w:val="both"/>
        <w:ind w:right="260" w:firstLine="921"/>
        <w:spacing w:after="0" w:line="256" w:lineRule="auto"/>
        <w:tabs>
          <w:tab w:leader="none" w:pos="116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Subject to the provisions of Section 10(c), any controversy or claim between the Employee and the Company or its Affiliates arising out of or relating to or concerning the provisions of this Agreement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43" w:lineRule="exact"/>
        <w:rPr>
          <w:rFonts w:ascii="Arial" w:cs="Arial" w:eastAsia="Arial" w:hAnsi="Arial"/>
          <w:sz w:val="18"/>
          <w:szCs w:val="18"/>
          <w:color w:val="auto"/>
        </w:rPr>
      </w:pPr>
    </w:p>
    <w:p>
      <w:pPr>
        <w:ind w:right="20" w:firstLine="921"/>
        <w:spacing w:after="0" w:line="289" w:lineRule="auto"/>
        <w:tabs>
          <w:tab w:leader="none" w:pos="115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Notwithstanding the provisions of Section 10(b), and in addition to its right to submit any dispute or controversy to arbitration, the Company or one of its Affiliates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Restrictive Covenants, or to enforce an arbitration award, and, for the purposes of this Section 10(c), the Employee (i) expressly consents to the application of Section 10(d) to any such action or proceeding, (ii) agrees that proof shall not be required that monetary damages for breach of the provisions of the Restrictive Covenants or this Agreement would be difficult to calculate and that remedies at law would be inadequate, and (iii) irrevocably appoints the General Counsel of Lazard Ltd as the Employee’s agent for service of process in connection with any such action or proceeding, who shall promptly advise the Employee of any such service of process by notifying the Employee at the last address on file in the Company’s records.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55" w:name="page156"/>
    <w:bookmarkEnd w:id="155"/>
    <w:p>
      <w:pPr>
        <w:ind w:firstLine="921"/>
        <w:spacing w:after="0" w:line="286" w:lineRule="auto"/>
        <w:tabs>
          <w:tab w:leader="none" w:pos="1162" w:val="left"/>
        </w:tabs>
        <w:numPr>
          <w:ilvl w:val="1"/>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Employee and the Company hereby irrevocably submit to the exclusive jurisdiction of any state or federal court located in the City of New York over any suit, action, or proceeding arising out of relating to or concerning this Agreement that is not otherwise required to be arbitrated or resolved in accordance with the provisions of Section 10(b). This includes any suit, action or proceeding to compel arbitration or to enforce an arbitration award. The Employee and the Company acknowledge that the forum designated by this Section 10(d)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10(a), 10(b) or this Section 10(d).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10(d). The Employee and the Company undertake not to commence any action arising out of or relating to or concerning this Agreement in any forum other than a forum described in this Section 10(d), or, to the extent applicable, Section 10(b).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236" w:lineRule="exact"/>
        <w:rPr>
          <w:rFonts w:ascii="Arial" w:cs="Arial" w:eastAsia="Arial" w:hAnsi="Arial"/>
          <w:sz w:val="16"/>
          <w:szCs w:val="16"/>
          <w:color w:val="auto"/>
        </w:rPr>
      </w:pPr>
    </w:p>
    <w:p>
      <w:pPr>
        <w:ind w:left="900" w:hanging="446"/>
        <w:spacing w:after="0"/>
        <w:tabs>
          <w:tab w:leader="none" w:pos="9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Authority of the Administrator.</w:t>
      </w:r>
    </w:p>
    <w:p>
      <w:pPr>
        <w:spacing w:after="0" w:line="96"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The Administrator has the power, among others, to (a) interpret this Agreement, (b) prescribe, amend and rescind rules and regulations relating to this Agreement, and (c) make all other determinations deemed necessary or advisable for the administration of this Agreement.</w:t>
      </w:r>
    </w:p>
    <w:p>
      <w:pPr>
        <w:spacing w:after="0" w:line="201" w:lineRule="exact"/>
        <w:rPr>
          <w:sz w:val="20"/>
          <w:szCs w:val="20"/>
          <w:color w:val="auto"/>
        </w:rPr>
      </w:pPr>
    </w:p>
    <w:p>
      <w:pPr>
        <w:ind w:left="900" w:hanging="446"/>
        <w:spacing w:after="0"/>
        <w:tabs>
          <w:tab w:leader="none" w:pos="90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96"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Any modification, amendment or waiver to this Agreement that shall materially impair the rights of the Employee with respect to the Lazard Fund Interests shall require an instrument in writing to be signed (either in paper format or electronically) by both parties hereto, except such a modification, amendment or waiver made to cause the Lazard Fund Interests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 For the avoidance of doubt, the Administrator shall have the authority to make immaterial modifications and amendments to this Agreement without obtaining the Employee’s consent, provided that such modifications and amendments do not materially impair the rights of the Employee with respect to the Fund Interest Amount.</w:t>
      </w:r>
    </w:p>
    <w:p>
      <w:pPr>
        <w:spacing w:after="0" w:line="234"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9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This Agreement shall not be assignable by the Employee. The parties agree that any attempt by the Employee to delegate the Employee’s rights and duties hereunder shall be null and void. The Company and its Affiliates shall be permitted to assign the Company’s rights and obligations hereunder among one another. In such case, this Agreement shall be binding upon and shall inure to the benefit of any Affiliate or successor of the Company to which it is assigned. As used in this Agreement, the term “Company” shall mean the Company as hereinbefore defined in this Agreement and any permitted assignee to which this Agreement is assigned.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56" w:name="page157"/>
    <w:bookmarkEnd w:id="156"/>
    <w:p>
      <w:pPr>
        <w:ind w:left="900" w:hanging="446"/>
        <w:spacing w:after="0"/>
        <w:tabs>
          <w:tab w:leader="none" w:pos="9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Delivery.</w:t>
      </w:r>
    </w:p>
    <w:p>
      <w:pPr>
        <w:spacing w:after="0" w:line="9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lieu of receiving documents in paper format, the Employee hereby agrees, to the fullest extent permitted by law, to accept electronic delivery of any documents that the Company or any Affiliate may be required to deliver (including, but not limited to, prospectuses, prospectus supplements, grant or Award notifications and agreements, account statements, annual and quarterly reports, and all other forms of communications) in connection with the Lazard Fund Interests or any other prior or future Award (it being understood and agreed that the Company or its Affiliates may, in their sole discretion, elect to satisfy any delivery requirements electronically, in paper format, or a combination of both methods). Electronic delivery of a document to the Employee may be via a Company email system or by reference to a location on a Company intranet or secure internet site to which the Employee has access.</w:t>
      </w:r>
    </w:p>
    <w:p>
      <w:pPr>
        <w:spacing w:after="0" w:line="236" w:lineRule="exact"/>
        <w:rPr>
          <w:sz w:val="20"/>
          <w:szCs w:val="20"/>
          <w:color w:val="auto"/>
        </w:rPr>
      </w:pPr>
    </w:p>
    <w:p>
      <w:pPr>
        <w:ind w:left="900" w:hanging="446"/>
        <w:spacing w:after="0"/>
        <w:tabs>
          <w:tab w:leader="none" w:pos="90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Recovery Policy.</w:t>
      </w:r>
    </w:p>
    <w:p>
      <w:pPr>
        <w:spacing w:after="0" w:line="96"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The Employee acknowledges and agrees that the Employee and the Lazard Fund Interests are subject to the Company’s Compensation Recovery Policy Applicable to Named Executive Officers, as in effect as of the date hereof (a copy of which has been provided to the Employee).</w:t>
      </w:r>
    </w:p>
    <w:p>
      <w:pPr>
        <w:spacing w:after="0" w:line="201"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96"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248" w:lineRule="exact"/>
        <w:rPr>
          <w:sz w:val="20"/>
          <w:szCs w:val="20"/>
          <w:color w:val="auto"/>
        </w:rPr>
      </w:pPr>
    </w:p>
    <w:p>
      <w:pPr>
        <w:ind w:left="900" w:hanging="446"/>
        <w:spacing w:after="0"/>
        <w:tabs>
          <w:tab w:leader="none" w:pos="9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96" w:lineRule="exact"/>
        <w:rPr>
          <w:sz w:val="20"/>
          <w:szCs w:val="20"/>
          <w:color w:val="auto"/>
        </w:rPr>
      </w:pPr>
    </w:p>
    <w:p>
      <w:pPr>
        <w:jc w:val="center"/>
        <w:ind w:right="2840"/>
        <w:spacing w:after="0" w:line="506" w:lineRule="auto"/>
        <w:rPr>
          <w:sz w:val="20"/>
          <w:szCs w:val="20"/>
          <w:color w:val="auto"/>
        </w:rPr>
      </w:pPr>
      <w:r>
        <w:rPr>
          <w:rFonts w:ascii="Arial" w:cs="Arial" w:eastAsia="Arial" w:hAnsi="Arial"/>
          <w:sz w:val="18"/>
          <w:szCs w:val="18"/>
          <w:color w:val="auto"/>
        </w:rPr>
        <w:t>This Agreement may be executed in counterparts, which together shall constitute one and the same original. [REMAINDER OF PAGE LEFT INTENTIONALLY BLANK] 8</w:t>
      </w:r>
    </w:p>
    <w:p>
      <w:pPr>
        <w:sectPr>
          <w:pgSz w:w="11900" w:h="16838" w:orient="portrait"/>
          <w:cols w:equalWidth="0" w:num="1">
            <w:col w:w="11340"/>
          </w:cols>
          <w:pgMar w:left="240" w:top="274" w:right="319" w:bottom="1440" w:gutter="0" w:footer="0" w:header="0"/>
        </w:sectPr>
      </w:pPr>
    </w:p>
    <w:bookmarkStart w:id="157" w:name="page158"/>
    <w:bookmarkEnd w:id="15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as of the date first above written, the Company has caused this Agreement to be executed on behalf of itself or its applicable Affiliate by a duly authorized officer and the Employee has hereunto set the Employee’s hand.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281305</wp:posOffset>
            </wp:positionV>
            <wp:extent cx="26587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240" w:top="280" w:right="519" w:bottom="1440" w:gutter="0" w:footer="0" w:header="0"/>
        </w:sectPr>
      </w:pPr>
    </w:p>
    <w:bookmarkStart w:id="158" w:name="page159"/>
    <w:bookmarkEnd w:id="158"/>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Employee acknowledges that the grant of the Fund Interest Amount (and Lazard Fund Interests related thereto) (as defined in the Agreement, and hereinafter in this Appendix A, collectively, the “Award”) pursuant to the Restricted Lazard Fund Interest Agreement (such agreement, the “Agreement”) confers a substantial benefit upon the Employee, and agrees to the following covenants (the “Restrictive Covenants”), which are designed, among other things, to protect the interests of the Lazard Group LLC, a Delaware limited liability company (the “Company”), and its Affiliates (collectively, the “Firm”) in its confidential and proprietary information, trade secrets, customer and employee relationships, orderly transition of responsibilities, and other legitimate business interests. All capitalized terms used herein, to the extent not defined, shall have the meaning set forth in the Lazard Ltd 2008 Incentive Compensation Plan. The Employee acknowledges that the Award will be forfeited upon a violation by the Employee of the Restrictive Covenants, and that, pursuant to the Agreement, the Firm may seek injunctive relief in order to enforce the Restrictive Covenants:</w:t>
      </w:r>
    </w:p>
    <w:p>
      <w:pPr>
        <w:spacing w:after="0" w:line="118" w:lineRule="exact"/>
        <w:rPr>
          <w:sz w:val="20"/>
          <w:szCs w:val="20"/>
          <w:color w:val="auto"/>
        </w:rPr>
      </w:pPr>
    </w:p>
    <w:p>
      <w:pPr>
        <w:ind w:firstLine="921"/>
        <w:spacing w:after="0" w:line="286" w:lineRule="auto"/>
        <w:tabs>
          <w:tab w:leader="none" w:pos="1152"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information that is not unique to the Firm or that is generally known to the industry or the public other than as a result of the Employee’s breach of this Restrictive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24" w:lineRule="exact"/>
        <w:rPr>
          <w:rFonts w:ascii="Arial" w:cs="Arial" w:eastAsia="Arial" w:hAnsi="Arial"/>
          <w:sz w:val="16"/>
          <w:szCs w:val="16"/>
          <w:color w:val="auto"/>
        </w:rPr>
      </w:pPr>
    </w:p>
    <w:p>
      <w:pPr>
        <w:ind w:right="40" w:firstLine="921"/>
        <w:spacing w:after="0" w:line="290" w:lineRule="auto"/>
        <w:tabs>
          <w:tab w:leader="none" w:pos="1161"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(i) (A) three months after the Employee’s date of Termination of Employment for any reason other than a termination by the Firm without Cause or (B) one month after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80" w:right="259" w:bottom="1440" w:gutter="0" w:footer="0" w:header="0"/>
        </w:sectPr>
      </w:pPr>
    </w:p>
    <w:bookmarkStart w:id="159" w:name="page160"/>
    <w:bookmarkEnd w:id="15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of the Employee’s Termination of Employment by the Firm without Cause (in either case, the date of such Termination of Employment, the “Date of Termination”) or (ii) the end of any longer period during which any similar covenants would be applicable to the Employee pursuant to any other agreement (other than an award agreement evidencing previously granted equity-based, fund interest, deferred cash or similar awards (collectively, the “Prior Awards”))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the Agreement, including this Appendix A, “Competitive Enterprise” shall mean a business (or business unit) that (x) 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A, the Employee shall not be considered to be in violation of the Restrictive Covenants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26" w:lineRule="exact"/>
        <w:rPr>
          <w:sz w:val="20"/>
          <w:szCs w:val="20"/>
          <w:color w:val="auto"/>
        </w:rPr>
      </w:pPr>
    </w:p>
    <w:p>
      <w:pPr>
        <w:ind w:right="60" w:firstLine="921"/>
        <w:spacing w:after="0" w:line="286" w:lineRule="auto"/>
        <w:tabs>
          <w:tab w:leader="none" w:pos="1152"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xml:space="preserve">.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the Agreement, including this Appendix A,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27" w:lineRule="exact"/>
        <w:rPr>
          <w:rFonts w:ascii="Arial" w:cs="Arial" w:eastAsia="Arial" w:hAnsi="Arial"/>
          <w:sz w:val="16"/>
          <w:szCs w:val="16"/>
          <w:color w:val="auto"/>
        </w:rPr>
      </w:pPr>
    </w:p>
    <w:p>
      <w:pPr>
        <w:ind w:right="20" w:firstLine="921"/>
        <w:spacing w:after="0" w:line="298" w:lineRule="auto"/>
        <w:tabs>
          <w:tab w:leader="none" w:pos="1161"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No Hire of Employees</w:t>
      </w:r>
      <w:r>
        <w:rPr>
          <w:rFonts w:ascii="Arial" w:cs="Arial" w:eastAsia="Arial" w:hAnsi="Arial"/>
          <w:sz w:val="16"/>
          <w:szCs w:val="16"/>
          <w:color w:val="auto"/>
        </w:rPr>
        <w:t>. The Employee hereby agrees that while employed by the Firm and thereafter until (i) six months after the Date of Termination for any reason or (ii) the end of any longer period during which any similar covenants would be applicable to the Employee pursuant to any other agreement (other than an award agreement evidencing any Prior Awards) between the Employee and the Firm (such period, the “No Hire Restriction Period”), the Employee shall not, directly or indirectly, for himself or on behalf of any third party at any time in any manner, Solicit, hire, or otherwise cause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160" w:name="page161"/>
    <w:bookmarkEnd w:id="160"/>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07" w:lineRule="exact"/>
        <w:rPr>
          <w:sz w:val="20"/>
          <w:szCs w:val="20"/>
          <w:color w:val="auto"/>
        </w:rPr>
      </w:pPr>
    </w:p>
    <w:p>
      <w:pPr>
        <w:ind w:right="120" w:firstLine="921"/>
        <w:spacing w:after="0" w:line="291" w:lineRule="auto"/>
        <w:tabs>
          <w:tab w:leader="none" w:pos="1152"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Employee shall not at any time (whether prior to or following the Employee’s Termination of Employment), and shall instruct the Employee’s spouse or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20" w:lineRule="exact"/>
        <w:rPr>
          <w:rFonts w:ascii="Arial" w:cs="Arial" w:eastAsia="Arial" w:hAnsi="Arial"/>
          <w:sz w:val="16"/>
          <w:szCs w:val="16"/>
          <w:color w:val="auto"/>
        </w:rPr>
      </w:pPr>
    </w:p>
    <w:p>
      <w:pPr>
        <w:ind w:right="60" w:firstLine="921"/>
        <w:spacing w:after="0" w:line="254" w:lineRule="auto"/>
        <w:tabs>
          <w:tab w:leader="none" w:pos="1132"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Notice of Termination Required</w:t>
      </w:r>
      <w:r>
        <w:rPr>
          <w:rFonts w:ascii="Arial" w:cs="Arial" w:eastAsia="Arial" w:hAnsi="Arial"/>
          <w:sz w:val="18"/>
          <w:szCs w:val="18"/>
          <w:color w:val="auto"/>
        </w:rPr>
        <w:t>. The Employee agrees to provide a period of advance written notice to the Firm prior to the Employee’s Termination of Employment equal to (i) three months or (ii) any longer notice period required pursuant to any other agreement (other than an award agreement evidencing any Prior Awards) between the Employee and the Firm. The Employee hereby agrees that, if, during the applicable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44" w:lineRule="exact"/>
        <w:rPr>
          <w:rFonts w:ascii="Arial" w:cs="Arial" w:eastAsia="Arial" w:hAnsi="Arial"/>
          <w:sz w:val="18"/>
          <w:szCs w:val="18"/>
          <w:color w:val="auto"/>
        </w:rPr>
      </w:pPr>
    </w:p>
    <w:p>
      <w:pPr>
        <w:ind w:firstLine="921"/>
        <w:spacing w:after="0" w:line="285" w:lineRule="auto"/>
        <w:tabs>
          <w:tab w:leader="none" w:pos="1161"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Restrictive Covenants Generally</w:t>
      </w:r>
      <w:r>
        <w:rPr>
          <w:rFonts w:ascii="Arial" w:cs="Arial" w:eastAsia="Arial" w:hAnsi="Arial"/>
          <w:sz w:val="16"/>
          <w:szCs w:val="16"/>
          <w:color w:val="auto"/>
        </w:rPr>
        <w:t xml:space="preserve">. If any of the Restrictive Covenants is finally held to be invalid, illegal or unenforceable (whether in whole or in part), such Restrictive Covenant shall be deemed modified to the extent, but only to the extent, of such invalidity, illegality or unenforceability and the remaining such Restrictive Covenants shall not be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of such Restrictive Covenants is finally held to be invalid, illegal or unenforceable because it exceeds the maximum scope determined to be acceptable to permit such provision to be enforceable, such Restrictive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A, with a copy of such notice delivered no later than the date of the Employee’s commencement of such employment with such prospective employer, to the General Counsel of the Company. The Employee acknowledges and agrees that the terms of the Restrictive Covenants: (i) are reasonable in light of all of the circumstances, (ii) are sufficiently limited to protect the legitimate interests of the Firm, (iii) impose no undue hardship on the Employee and (iv) are not injurious to the public. The Employee acknowledges and agrees that the Employee’s breach of the Restrictive Covenants will cause the Firm irreparable harm, which cannot be adequately compensated by money damages. The Employee also agrees that the Firm shall be entitled to injunctive relief for any actual or threatened violation of any of the Restrictive Covenants in addition to any other remedies it may have, including, without limitation, money damages and forfeiture of the Award. The Employee further acknowledges that, except as provided in Paragraph (h), the Restrictive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161" w:name="page162"/>
    <w:bookmarkEnd w:id="161"/>
    <w:p>
      <w:pPr>
        <w:ind w:left="-60" w:firstLine="921"/>
        <w:spacing w:after="0" w:line="294" w:lineRule="auto"/>
        <w:tabs>
          <w:tab w:leader="none" w:pos="1101"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Restrictive Covenants.</w:t>
      </w:r>
      <w:r>
        <w:rPr>
          <w:rFonts w:ascii="Arial" w:cs="Arial" w:eastAsia="Arial" w:hAnsi="Arial"/>
          <w:sz w:val="16"/>
          <w:szCs w:val="16"/>
          <w:color w:val="auto"/>
        </w:rPr>
        <w:t xml:space="preserve"> The Employee acknowledges that, in the event that the Employee is subject to an employment contract, the Restrictive Covenants set forth in this Appendix A constitute a supplement to such employment contract and will be entirely governed by the distinct and specific provisions of this Appendix A. The Employee acknowledges that the Restrictive Covenants set forth in this Appendix A shall supersede and are in full substitution for any and all prior restrictive covenants included in any award agreement evidencing any Prior Awards by which the Employee is bound, and this Paragraph (h) shall constitute a valid amendment to such award agreements.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20"/>
          </w:cols>
          <w:pgMar w:left="300" w:top="280" w:right="27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10.56</w:t>
      </w:r>
    </w:p>
    <w:p>
      <w:pPr>
        <w:spacing w:after="0" w:line="171" w:lineRule="exact"/>
        <w:rPr>
          <w:sz w:val="20"/>
          <w:szCs w:val="20"/>
          <w:color w:val="auto"/>
        </w:rPr>
      </w:pPr>
    </w:p>
    <w:p>
      <w:pPr>
        <w:jc w:val="center"/>
        <w:spacing w:after="0" w:line="441" w:lineRule="auto"/>
        <w:rPr>
          <w:sz w:val="20"/>
          <w:szCs w:val="20"/>
          <w:color w:val="auto"/>
        </w:rPr>
      </w:pPr>
      <w:r>
        <w:rPr>
          <w:rFonts w:ascii="Arial" w:cs="Arial" w:eastAsia="Arial" w:hAnsi="Arial"/>
          <w:sz w:val="18"/>
          <w:szCs w:val="18"/>
          <w:b w:val="1"/>
          <w:bCs w:val="1"/>
          <w:color w:val="auto"/>
        </w:rPr>
        <w:t>This document constitutes part of a prospectus covering securities that have been registered under the Securities Act of 1933. STOCK UNIT AGREEMENT</w:t>
      </w:r>
    </w:p>
    <w:p>
      <w:pPr>
        <w:spacing w:after="0" w:line="2"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THIS AGREEMENT, dated as of [DATE], between Lazard Ltd, a Bermuda exempted company (the “Company”), on behalf of its applicable Affiliate (as defined under the definitional rules of Section 1(a) below), and [NAME] (the “Employee”).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9"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Grant and Vesting of Stock Units.</w:t>
      </w:r>
    </w:p>
    <w:p>
      <w:pPr>
        <w:spacing w:after="0" w:line="96" w:lineRule="exact"/>
        <w:rPr>
          <w:rFonts w:ascii="Arial" w:cs="Arial" w:eastAsia="Arial" w:hAnsi="Arial"/>
          <w:sz w:val="18"/>
          <w:szCs w:val="18"/>
          <w:b w:val="1"/>
          <w:bCs w:val="1"/>
          <w:color w:val="auto"/>
        </w:rPr>
      </w:pPr>
    </w:p>
    <w:p>
      <w:pPr>
        <w:ind w:right="260" w:firstLine="921"/>
        <w:spacing w:after="0" w:line="306" w:lineRule="auto"/>
        <w:tabs>
          <w:tab w:leader="none" w:pos="1152" w:val="left"/>
        </w:tabs>
        <w:numPr>
          <w:ilvl w:val="1"/>
          <w:numId w:val="152"/>
        </w:numPr>
        <w:rPr>
          <w:rFonts w:ascii="Arial" w:cs="Arial" w:eastAsia="Arial" w:hAnsi="Arial"/>
          <w:sz w:val="16"/>
          <w:szCs w:val="16"/>
          <w:color w:val="auto"/>
        </w:rPr>
      </w:pPr>
      <w:r>
        <w:rPr>
          <w:rFonts w:ascii="Arial" w:cs="Arial" w:eastAsia="Arial" w:hAnsi="Arial"/>
          <w:sz w:val="16"/>
          <w:szCs w:val="16"/>
          <w:color w:val="auto"/>
        </w:rPr>
        <w:t>Subject to the provisions of this Agreement and to the provisions of the Company’s 2008 Incentive Compensation Plan (the “Plan”) (all capitalized terms used herein, to the extent not defined, shall have the meaning set forth in the Plan), the Company, on behalf of its applicable Affiliate, hereby grants to the Employee, as of the date set forth above (the “Grant Date”), «UNITS» Stock Units (the “Stock Units”), each with respect to one Share.</w:t>
      </w:r>
    </w:p>
    <w:p>
      <w:pPr>
        <w:spacing w:after="0" w:line="106" w:lineRule="exact"/>
        <w:rPr>
          <w:rFonts w:ascii="Arial" w:cs="Arial" w:eastAsia="Arial" w:hAnsi="Arial"/>
          <w:sz w:val="16"/>
          <w:szCs w:val="16"/>
          <w:color w:val="auto"/>
        </w:rPr>
      </w:pPr>
    </w:p>
    <w:p>
      <w:pPr>
        <w:ind w:right="40" w:firstLine="921"/>
        <w:spacing w:after="0" w:line="256" w:lineRule="auto"/>
        <w:tabs>
          <w:tab w:leader="none" w:pos="116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to the provisions of the Plan, the Stock Units shall vest and no longer be subject to any restriction (such period during which restrictions apply to the Stock Units is the “Restriction Period”) in accordance with the following schedule: 1/3rd of the Stock Units shall vest on [DATE] and 2/3rds of the Stock Units shall vest on [DATE]. Each of [DATE] and [DATE] is referred to herein, as applicable, as the “Vesting Date”.</w:t>
      </w:r>
    </w:p>
    <w:p>
      <w:pPr>
        <w:spacing w:after="0" w:line="143" w:lineRule="exact"/>
        <w:rPr>
          <w:rFonts w:ascii="Arial" w:cs="Arial" w:eastAsia="Arial" w:hAnsi="Arial"/>
          <w:sz w:val="18"/>
          <w:szCs w:val="18"/>
          <w:color w:val="auto"/>
        </w:rPr>
      </w:pPr>
    </w:p>
    <w:p>
      <w:pPr>
        <w:ind w:right="240" w:firstLine="921"/>
        <w:spacing w:after="0" w:line="255" w:lineRule="auto"/>
        <w:tabs>
          <w:tab w:leader="none" w:pos="115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Except as set forth in Section 1(f) below, in the event that the Employee incurs a Termination of Employment during the applicable Restriction Period for any reason not set forth in Section 1(d), all unvested Stock Units shall be forfeited by the Employee effective immediately upon such Termination of Employment. For purposes of this Section 1(c), the Employee will be deemed to have incurred a Termination of Employment on the date that the Employee provides notice of termination to the Company, and accordingly, all unvested Stock Units shall be forfeited by the Employee immediately upon delivery of any such notice.</w:t>
      </w:r>
    </w:p>
    <w:p>
      <w:pPr>
        <w:spacing w:after="0" w:line="142" w:lineRule="exact"/>
        <w:rPr>
          <w:rFonts w:ascii="Arial" w:cs="Arial" w:eastAsia="Arial" w:hAnsi="Arial"/>
          <w:sz w:val="18"/>
          <w:szCs w:val="18"/>
          <w:color w:val="auto"/>
        </w:rPr>
      </w:pPr>
    </w:p>
    <w:p>
      <w:pPr>
        <w:ind w:right="20" w:firstLine="921"/>
        <w:spacing w:after="0" w:line="290" w:lineRule="auto"/>
        <w:tabs>
          <w:tab w:leader="none" w:pos="1162"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 Except as set forth in Section 1(f) below, in the event that the Employee incurs a Termination of Employment during the applicable Restriction Period due to the Employee’s Disability or due to a Termination of Employment by the Company other than for Cause, subject to Section 1(e) and Section 2, all Shares underlying the Employee’s Stock Units shall be delivered to the Employee within 30 days following the date that the Employee is no longer required to perform any additional services in order to retain such Stock Units (the date that such Shares are delivered to the Employee is the “Initial Delivery Date”). The Employee will be permitted to dispose of the Applicable Percentage (as defined below) of the Shares (such Shares, the “Transferable Shares”) delivered to the Employee pursuant to the preceding sentence immediately following the date that such Shares are delivered to the Employee. For purposes of this Agreement, the “Applicable Percentage” is the percentage of Shares delivered to the</w:t>
      </w:r>
    </w:p>
    <w:p>
      <w:pPr>
        <w:sectPr>
          <w:pgSz w:w="11900" w:h="16838" w:orient="portrait"/>
          <w:cols w:equalWidth="0" w:num="1">
            <w:col w:w="11420"/>
          </w:cols>
          <w:pgMar w:left="240" w:top="125" w:right="239" w:bottom="1440" w:gutter="0" w:footer="0" w:header="0"/>
        </w:sectPr>
      </w:pPr>
    </w:p>
    <w:bookmarkStart w:id="163" w:name="page164"/>
    <w:bookmarkEnd w:id="163"/>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that the Company determines, in its sole discretion, is necessary to satisfy the Employee’s tax liability incurred with respect to such Shares on the date that such Shares are delivered to the Employee. All Shares delivered to the Employee on the Initial Delivery Date that are not Transferable Shares (such Shares, the “Remaining Shares”) will remain subject to the restrictions set forth in this Agreement until the applicable date that such Remaining Shares otherwise would have been delivered to the Employee in accordance with this Agreement (each such date, a “Final Delivery Date”). Accordingly, prior to the applicable Final Delivery Date, neither the Employee nor any of the Employee’s creditors or beneficiaries will have the right to subject the Remaining Shares to any anticipation, alienation, sale, transfer, assignment, pledge, encumbrance, hedge, exchange, attachment or garnishment or any similar transaction. Furthermore, for the avoidance of doubt, the Remaining Shares shall continue to be subject to the forfeiture provisions set forth in this Agreement relating to violation of the restrictive covenants set forth in Appendix A, which are incorporated herein by reference (the “Restrictive Covenants”) until the applicable Final Delivery Date.</w:t>
      </w:r>
    </w:p>
    <w:p>
      <w:pPr>
        <w:spacing w:after="0" w:line="118" w:lineRule="exact"/>
        <w:rPr>
          <w:sz w:val="20"/>
          <w:szCs w:val="20"/>
          <w:color w:val="auto"/>
        </w:rPr>
      </w:pPr>
    </w:p>
    <w:p>
      <w:pPr>
        <w:ind w:firstLine="1492"/>
        <w:spacing w:after="0" w:line="256" w:lineRule="auto"/>
        <w:tabs>
          <w:tab w:leader="none" w:pos="174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 the event that the Employee incurs a Termination of Employment during the applicable Restriction Period due to the Employee’s death or, subject to Section 1(e), dies during the applicable Restriction Period subsequent to a Termination of Employment described in the preceding sentence, all Stock Units shall remain outstanding and vest and be settled within 30 days following the first to occur of (x) the applicable Vesting Date and (y) the date of death.</w:t>
      </w:r>
    </w:p>
    <w:p>
      <w:pPr>
        <w:spacing w:after="0" w:line="143" w:lineRule="exact"/>
        <w:rPr>
          <w:rFonts w:ascii="Arial" w:cs="Arial" w:eastAsia="Arial" w:hAnsi="Arial"/>
          <w:sz w:val="18"/>
          <w:szCs w:val="18"/>
          <w:color w:val="auto"/>
        </w:rPr>
      </w:pPr>
    </w:p>
    <w:p>
      <w:pPr>
        <w:ind w:right="120" w:firstLine="921"/>
        <w:spacing w:after="0" w:line="268" w:lineRule="auto"/>
        <w:tabs>
          <w:tab w:leader="none" w:pos="11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the event that the Employee violates any of the provisions of the Restrictive Covenants, all outstanding vested or unvested Stock Units and, if applicable, prior to the relevant Final Delivery Date, all Remaining Shares, shall be forfeited and canceled.</w:t>
      </w:r>
    </w:p>
    <w:p>
      <w:pPr>
        <w:spacing w:after="0" w:line="131" w:lineRule="exact"/>
        <w:rPr>
          <w:rFonts w:ascii="Arial" w:cs="Arial" w:eastAsia="Arial" w:hAnsi="Arial"/>
          <w:sz w:val="18"/>
          <w:szCs w:val="18"/>
          <w:color w:val="auto"/>
        </w:rPr>
      </w:pPr>
    </w:p>
    <w:p>
      <w:pPr>
        <w:ind w:firstLine="921"/>
        <w:spacing w:after="0" w:line="289" w:lineRule="auto"/>
        <w:tabs>
          <w:tab w:leader="none" w:pos="113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(i) Except as otherwise provided in this Section 1(f)(i) and Section 1(f)(ii) below, following a Change in Control, the unvested Stock Units (and, if applicable, any Remaining Shares) shall remain outstanding through the applicable Vesting Date or Final Delivery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Employee incurs a Termination of Employment upon or following a Change in Control but prior to the applicable Vesting Date under any of the circumstances described in Section 1(d) above, the date of such Termination of Employment shall be deemed to be the Vesting Date, and all Shares issued in settlement of such Stock Units shall be Transferable Shares. Furthermore, in the event that the Employee incurs a Termination of Employment under any of the circumstances described in Section 1(d) above prior to the applicable Vesting Date and prior to a Change in Control, upon a Change in Control, the date of the Change in Control shall be deemed to be the Vesting Date for purposes of the unvested Stock Units (and the Final Delivery Date for any Remaining Shares) then held by the Employee and any dividends held by an escrow agent with respect thereto, as set forth in Section 4 below.</w:t>
      </w:r>
    </w:p>
    <w:p>
      <w:pPr>
        <w:spacing w:after="0" w:line="118" w:lineRule="exact"/>
        <w:rPr>
          <w:rFonts w:ascii="Arial" w:cs="Arial" w:eastAsia="Arial" w:hAnsi="Arial"/>
          <w:sz w:val="16"/>
          <w:szCs w:val="16"/>
          <w:color w:val="auto"/>
        </w:rPr>
      </w:pPr>
    </w:p>
    <w:p>
      <w:pPr>
        <w:ind w:firstLine="1492"/>
        <w:spacing w:after="0" w:line="294" w:lineRule="auto"/>
        <w:tabs>
          <w:tab w:leader="none" w:pos="1742" w:val="left"/>
        </w:tabs>
        <w:numPr>
          <w:ilvl w:val="1"/>
          <w:numId w:val="154"/>
        </w:numPr>
        <w:rPr>
          <w:rFonts w:ascii="Arial" w:cs="Arial" w:eastAsia="Arial" w:hAnsi="Arial"/>
          <w:sz w:val="16"/>
          <w:szCs w:val="16"/>
          <w:color w:val="auto"/>
        </w:rPr>
      </w:pPr>
      <w:r>
        <w:rPr>
          <w:rFonts w:ascii="Arial" w:cs="Arial" w:eastAsia="Arial" w:hAnsi="Arial"/>
          <w:sz w:val="16"/>
          <w:szCs w:val="16"/>
          <w:color w:val="auto"/>
        </w:rPr>
        <w:t>Notwithstanding the foregoing, in the event of a Change in Control prior to the applicable Vesting Date, unless (A) either (1) the unvested Stock Units remain outstanding following a Change in Control or (2) provision is made in connection with the Change in Control for assumption of such Stock Units or substitution of such Stock Units for new awards covering equity interests in a successor entity, with appropriate adjustments to the number of Stock Units, as determined by the Committee prior to the Change in Control pursuant to Section 3(b)(ii) of the Plan, and (B) the material terms and conditions of such Stock Units as in effect immediately prior to the Change in Control are preserved following the Change in Control (including, without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64" w:name="page165"/>
    <w:bookmarkEnd w:id="164"/>
    <w:p>
      <w:pPr>
        <w:ind w:right="2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with respect to the vesting schedules, the intrinsic value of the Stock Units and transferability of the Shares or other securities underlying the Stock Units prior to and following the Change in Control), the date of the Change in Control shall be deemed to be the Vesting Date for purposes of such Stock Units (and the Final Delivery Date for purposes of any Remaining Shares then outstanding) and such Stock Units shall be settled within 30 days following such date.</w:t>
      </w:r>
    </w:p>
    <w:p>
      <w:pPr>
        <w:spacing w:after="0" w:line="204"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Units, Restrictions on Remaining Shares.</w:t>
      </w:r>
    </w:p>
    <w:p>
      <w:pPr>
        <w:spacing w:after="0" w:line="96"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As soon as practicable (but in no event more than 30 days) after any Stock Unit has vested and is no longer subject to the applicable Restriction Period, the Company shall, subject to Section 1(d) and Section 6, cause its applicable Affiliate to deliver to the Employee one or more unlegended, freely-transferable stock certificates in respect of such Shares issued upon settlement of the vested Stock Units. Notwithstanding the foregoing, (a) the Company shall be entitled to hold the Shares or cash issuable upon settlement of Stock Units that have vested until the Company shall have received from the Employee a duly executed Form W-9 or W-8, as applicable, and (b) any certificate or book entry credit issued or entered in respect of the Remaining Shares shall be registered in the Employee’s name and shall bear an appropriate legend referring to the terms, conditions and restrictions applicable to the Remaining Shares, substantially in the following form:</w:t>
      </w:r>
    </w:p>
    <w:p>
      <w:pPr>
        <w:spacing w:after="0" w:line="6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“The transferability of this certificate and the shares of stock represented hereby is subject to the terms and conditions (including forfeiture) of the Lazard Ltd 2008 Incentive Compensation Plan and an Award Agreement, as well as the terms and conditions of applicable law. Copies of such Plan and Agreement are on file at the offices of Lazard Ltd.”</w:t>
      </w:r>
    </w:p>
    <w:p>
      <w:pPr>
        <w:spacing w:after="0" w:line="140"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The Company may require that the certificates or book entry credits evidencing title of the Remaining Shares be held in custody by the Company until the restrictions thereon shall have lapsed and that, as a condition of receiving the Remaining Shares, the Employee shall have delivered to the Company a stock power, endorsed in blank, relating to such Remaining Shares. If and when the applicable Final Delivery Date occurs (or is deemed to occur) with respect to the Remaining Shares, the legend set forth shall be removed from the certificates or book entry credits evidencing such Shares.</w:t>
      </w:r>
    </w:p>
    <w:p>
      <w:pPr>
        <w:spacing w:after="0" w:line="228" w:lineRule="exact"/>
        <w:rPr>
          <w:sz w:val="20"/>
          <w:szCs w:val="20"/>
          <w:color w:val="auto"/>
        </w:rPr>
      </w:pPr>
    </w:p>
    <w:p>
      <w:pPr>
        <w:ind w:left="900" w:hanging="446"/>
        <w:spacing w:after="0"/>
        <w:tabs>
          <w:tab w:leader="none" w:pos="9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the Stock Units.</w:t>
      </w:r>
    </w:p>
    <w:p>
      <w:pPr>
        <w:spacing w:after="0" w:line="96"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During the applicable Restriction Period and until such time as the Stock Units are ultimately settled as provided in Section 2 above, the Stock Units shall not be transferable by the Employee by means of sale, assignment, exchange, encumbrance, pledge, hedge or otherwise.</w:t>
      </w:r>
    </w:p>
    <w:p>
      <w:pPr>
        <w:spacing w:after="0" w:line="201" w:lineRule="exact"/>
        <w:rPr>
          <w:sz w:val="20"/>
          <w:szCs w:val="20"/>
          <w:color w:val="auto"/>
        </w:rPr>
      </w:pPr>
    </w:p>
    <w:p>
      <w:pPr>
        <w:ind w:left="900" w:hanging="446"/>
        <w:spacing w:after="0"/>
        <w:tabs>
          <w:tab w:leader="none" w:pos="9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Equivalents, Rights as a Shareholder.</w:t>
      </w:r>
    </w:p>
    <w:p>
      <w:pPr>
        <w:spacing w:after="0" w:line="96" w:lineRule="exact"/>
        <w:rPr>
          <w:sz w:val="20"/>
          <w:szCs w:val="20"/>
          <w:color w:val="auto"/>
        </w:rPr>
      </w:pPr>
    </w:p>
    <w:p>
      <w:pPr>
        <w:ind w:right="560" w:firstLine="913"/>
        <w:spacing w:after="0" w:line="259" w:lineRule="auto"/>
        <w:rPr>
          <w:sz w:val="20"/>
          <w:szCs w:val="20"/>
          <w:color w:val="auto"/>
        </w:rPr>
      </w:pPr>
      <w:r>
        <w:rPr>
          <w:rFonts w:ascii="Arial" w:cs="Arial" w:eastAsia="Arial" w:hAnsi="Arial"/>
          <w:sz w:val="18"/>
          <w:szCs w:val="18"/>
          <w:color w:val="auto"/>
        </w:rPr>
        <w:t>If the Company declares and pays (or sets a record date with respect to) ordinary quarterly cash dividends on the Common Stock during the applicable Restriction Period, the Employee’s outstanding Stock Units shall be credited with additional Stock Units (determined by dividing the aggregate dividend amount that would have been paid with respect to the Stock Units if they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65" w:name="page166"/>
    <w:bookmarkEnd w:id="165"/>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had been actual Shares by the Fair Market Value of a Share on the dividend payment date), which additional Stock Units shall vest and be settled concurrently with the underlying Stock Units and be treated as Stock Units for all purposes of this Agreement (it being understood that the provisions of this sentence shall not apply to any extraordinary dividends or distributions). Notwithstanding the foregoing, subject to Section 1(d) and Section 2 and any other applicable law or agreement, from and after the Initial Delivery Date, the Employee will have all rights and privileges of a shareholder with respect to the Shares, including the right to vote the Shares and to receive dividends and other distributions with respect thereto, provided that, any dividends that are paid on the Remaining Shares prior to the applicable Final Delivery Date (whether payable in cash or Shares) will be held until the applicable Final Delivery Date by Lazard Capital Markets LLC or any other escrow agent that is subsequently designated by the Company, and in the event that the Remaining Shares are forfeited in accordance with Section 1(e), such dividends will also be forfeited. For the avoidance of doubt, the determination of applicable dividends, and the calculation of amounts equivalent thereto, provided for in this Section 4 shall be made consistent with the Company’s past practice with respect to similar Awards.</w:t>
      </w:r>
    </w:p>
    <w:p>
      <w:pPr>
        <w:spacing w:after="0" w:line="235" w:lineRule="exact"/>
        <w:rPr>
          <w:sz w:val="20"/>
          <w:szCs w:val="20"/>
          <w:color w:val="auto"/>
        </w:rPr>
      </w:pPr>
    </w:p>
    <w:p>
      <w:pPr>
        <w:ind w:left="900" w:hanging="446"/>
        <w:spacing w:after="0"/>
        <w:tabs>
          <w:tab w:leader="none" w:pos="9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Transfer Taxes, Fees and Other Expenses.</w:t>
      </w:r>
    </w:p>
    <w:p>
      <w:pPr>
        <w:spacing w:after="0" w:line="9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Company agrees, or will cause its applicable Affiliate, to pay any and all original issue taxes and stock transfer taxes that may be imposed on the issuance of Shares received by an Employee in connection with the Stock Units, together with any and all other fees and expenses necessarily incurred by the Company in connection therewith.</w:t>
      </w:r>
    </w:p>
    <w:p>
      <w:pPr>
        <w:spacing w:after="0" w:line="256" w:lineRule="exact"/>
        <w:rPr>
          <w:sz w:val="20"/>
          <w:szCs w:val="20"/>
          <w:color w:val="auto"/>
        </w:rPr>
      </w:pPr>
    </w:p>
    <w:p>
      <w:pPr>
        <w:ind w:left="900" w:hanging="446"/>
        <w:spacing w:after="0"/>
        <w:tabs>
          <w:tab w:leader="none" w:pos="90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Withholding.</w:t>
      </w:r>
    </w:p>
    <w:p>
      <w:pPr>
        <w:spacing w:after="0" w:line="96"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No later than the date as of which an amount first becomes includible in the gross income of the Employee for federal, state, local or foreign income tax purposes with respect to any Stock Units,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 as otherwise required by applicable law, the Company will report that the Employee will be taxed on the full value of the Shares underlying the Employee’s Stock Units on the date that the Employee is no longer required to perform any additional services in order to retain such Stock Units. The obligations of the Company under this Agreement shall be conditioned on compliance by the Employee with this Section 6, and the Company or its applicable Affiliate shall, to the extent permitted by law, have the right to deduct any such taxes from any payment otherwise due to the Employee, including deducting such amount from the delivery of Shares or cash issued upon settlement of the Stock Units that gives rise to the withholding requirement. Notwithstanding the foregoing, the Company or an Affiliate may, in the Company’s sole discretion and subject to such other terms and conditions as the Company may determine, if the Employee is not subject to withholding as a matter of applicable law as of the date that the Shares are delivered to the Employee (including if the Employee is a member of the Company who reports income from the Company and its Affiliates on Schedule K-1 to the Company’s Federal income tax return) and pursuant to the prior written approval of the Company, permit the Employee to surrender some or all of the Transferable Shares to the Company or an Affiliate and have the Company or such Affiliate remit the relevant taxes on the Employee’s behalf to the appropriate taxing authorities. Prior to an Initial Delivery Date,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66" w:name="page167"/>
    <w:bookmarkEnd w:id="166"/>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will notify the Employee of (i) how many Shares will be delivered to the Employee on such Initial Delivery Date and (ii) the portion, if any, of the Transferable Shares that the Company or an Affiliate will retain pursuant to the immediately preceding sentence.</w:t>
      </w:r>
    </w:p>
    <w:p>
      <w:pPr>
        <w:spacing w:after="0" w:line="248" w:lineRule="exact"/>
        <w:rPr>
          <w:sz w:val="20"/>
          <w:szCs w:val="20"/>
          <w:color w:val="auto"/>
        </w:rPr>
      </w:pPr>
    </w:p>
    <w:p>
      <w:pPr>
        <w:ind w:left="900" w:hanging="446"/>
        <w:spacing w:after="0"/>
        <w:tabs>
          <w:tab w:leader="none" w:pos="9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Agreement.</w:t>
      </w:r>
    </w:p>
    <w:p>
      <w:pPr>
        <w:spacing w:after="0" w:line="96"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or the Plan shall confer upon the Employee any right to continue in the employ of the Company or any of its Affiliates or interfere in any way with the right of the Company or any such Affiliates to terminate the Employee’s employment at any time. Until Shares are actually delivered to the Employee upon settlement of the Stock Units, the Employee shall not have any rights as a shareholder with respect to the Stock Units, except as specifically provided herein.</w:t>
      </w:r>
    </w:p>
    <w:p>
      <w:pPr>
        <w:spacing w:after="0" w:line="260" w:lineRule="exact"/>
        <w:rPr>
          <w:sz w:val="20"/>
          <w:szCs w:val="20"/>
          <w:color w:val="auto"/>
        </w:rPr>
      </w:pPr>
    </w:p>
    <w:p>
      <w:pPr>
        <w:ind w:left="900" w:hanging="446"/>
        <w:spacing w:after="0"/>
        <w:tabs>
          <w:tab w:leader="none" w:pos="9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96" w:lineRule="exact"/>
        <w:rPr>
          <w:rFonts w:ascii="Arial" w:cs="Arial" w:eastAsia="Arial" w:hAnsi="Arial"/>
          <w:sz w:val="18"/>
          <w:szCs w:val="18"/>
          <w:b w:val="1"/>
          <w:bCs w:val="1"/>
          <w:color w:val="auto"/>
        </w:rPr>
      </w:pPr>
    </w:p>
    <w:p>
      <w:pPr>
        <w:ind w:right="100" w:firstLine="921"/>
        <w:spacing w:after="0" w:line="298" w:lineRule="auto"/>
        <w:tabs>
          <w:tab w:leader="none" w:pos="1152"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(United States of America), without regard to principles of conflict of laws, which could cause the application of the law of any jurisdiction other than the State of New York. In addition to the terms and conditions set forth in this Agreement and the Restrictive Covenants, the Stock Units are subject to the terms and conditions of the Plan, which is hereby incorporated by reference. By accepting the Stock Units, the Employee agrees to and is bound by the Plan and the Restrictive Covenants.</w:t>
      </w:r>
    </w:p>
    <w:p>
      <w:pPr>
        <w:spacing w:after="0" w:line="112" w:lineRule="exact"/>
        <w:rPr>
          <w:rFonts w:ascii="Arial" w:cs="Arial" w:eastAsia="Arial" w:hAnsi="Arial"/>
          <w:sz w:val="16"/>
          <w:szCs w:val="16"/>
          <w:color w:val="auto"/>
        </w:rPr>
      </w:pPr>
    </w:p>
    <w:p>
      <w:pPr>
        <w:ind w:right="200" w:firstLine="921"/>
        <w:spacing w:after="0" w:line="256" w:lineRule="auto"/>
        <w:tabs>
          <w:tab w:leader="none" w:pos="116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Subject to the provisions of Section 8(c), any controversy or claim between the Employee and the Company or its Affiliates arising out of or relating to or concerning the provisions of this Agreement or the Plan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43" w:lineRule="exact"/>
        <w:rPr>
          <w:rFonts w:ascii="Arial" w:cs="Arial" w:eastAsia="Arial" w:hAnsi="Arial"/>
          <w:sz w:val="18"/>
          <w:szCs w:val="18"/>
          <w:color w:val="auto"/>
        </w:rPr>
      </w:pPr>
    </w:p>
    <w:p>
      <w:pPr>
        <w:ind w:right="140" w:firstLine="921"/>
        <w:spacing w:after="0" w:line="289" w:lineRule="auto"/>
        <w:tabs>
          <w:tab w:leader="none" w:pos="1152" w:val="left"/>
        </w:tabs>
        <w:numPr>
          <w:ilvl w:val="1"/>
          <w:numId w:val="161"/>
        </w:numPr>
        <w:rPr>
          <w:rFonts w:ascii="Arial" w:cs="Arial" w:eastAsia="Arial" w:hAnsi="Arial"/>
          <w:sz w:val="16"/>
          <w:szCs w:val="16"/>
          <w:color w:val="auto"/>
        </w:rPr>
      </w:pPr>
      <w:r>
        <w:rPr>
          <w:rFonts w:ascii="Arial" w:cs="Arial" w:eastAsia="Arial" w:hAnsi="Arial"/>
          <w:sz w:val="16"/>
          <w:szCs w:val="16"/>
          <w:color w:val="auto"/>
        </w:rPr>
        <w:t>Notwithstanding the provisions of Section 8(b), and in addition to its right to submit any dispute or controversy to arbitration, the Company or one of its Affiliates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Restrictive Covenants, or to enforce an arbitration award, and, for the purposes of this Section 8(c), the Employee (i) expressly consents to the application of Section 8(d) to any such action or proceeding, (ii) agrees that proof shall not be required that monetary damages for breach of the provisions of the Restrictive Covenants or this Agreement would be difficult to calculate and that remedies at law would be inadequate, and (iii) irrevocably appoints the General Counsel of the Company as the Employee’s agent for service of process in connection with any such action or proceeding, who shall promptly advise the Employee of any such service of process by notifying the Employee at the last address on file in the Company’s records.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67" w:name="page168"/>
    <w:bookmarkEnd w:id="167"/>
    <w:p>
      <w:pPr>
        <w:ind w:firstLine="921"/>
        <w:spacing w:after="0" w:line="286" w:lineRule="auto"/>
        <w:tabs>
          <w:tab w:leader="none" w:pos="1162" w:val="left"/>
        </w:tabs>
        <w:numPr>
          <w:ilvl w:val="1"/>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Employee and the Company hereby irrevocably submit to the exclusive jurisdiction of any state or federal court located in the City of New York over any suit, action, or proceeding arising out of relating to or concerning this Agreement or the Plan that is not otherwise required to be arbitrated or resolved in accordance with the provisions of Section 8(b). This includes any suit, action or proceeding to compel arbitration or to enforce an arbitration award. The Employee and the Company acknowledge that the forum designated by this Section 8(d)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8(a), 8(b), or this Section 8(d).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8(d). The Employee and the Company undertake not to commence any action arising out of or relating to or concerning this Agreement in any forum other than a forum described in this Section 8(d), or, to the extent applicable, Section 8(b).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236" w:lineRule="exact"/>
        <w:rPr>
          <w:rFonts w:ascii="Arial" w:cs="Arial" w:eastAsia="Arial" w:hAnsi="Arial"/>
          <w:sz w:val="16"/>
          <w:szCs w:val="16"/>
          <w:color w:val="auto"/>
        </w:rPr>
      </w:pPr>
    </w:p>
    <w:p>
      <w:pPr>
        <w:ind w:left="900" w:hanging="446"/>
        <w:spacing w:after="0"/>
        <w:tabs>
          <w:tab w:leader="none" w:pos="90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and Interpretation.</w:t>
      </w:r>
    </w:p>
    <w:p>
      <w:pPr>
        <w:spacing w:after="0" w:line="96"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(a) interpret the Plan, (b) prescribe, amend and rescind rules and regulations relating to the Plan, and (c) make all other determinations deemed necessary or advisable for the administration of the Plan.</w:t>
      </w:r>
    </w:p>
    <w:p>
      <w:pPr>
        <w:spacing w:after="0" w:line="259" w:lineRule="exact"/>
        <w:rPr>
          <w:sz w:val="20"/>
          <w:szCs w:val="20"/>
          <w:color w:val="auto"/>
        </w:rPr>
      </w:pPr>
    </w:p>
    <w:p>
      <w:pPr>
        <w:ind w:left="900" w:hanging="446"/>
        <w:spacing w:after="0"/>
        <w:tabs>
          <w:tab w:leader="none" w:pos="9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96"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Any modification, amendment or waiver to this Agreement that shall materially impair the rights of the Employee with respect to the Stock Units shall require an instrument in writing to be signed (either in paper format or electronically) by both parties hereto, except such a modification, amendment or waiver made to cause the Plan or the Stock Units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231" w:lineRule="exact"/>
        <w:rPr>
          <w:sz w:val="20"/>
          <w:szCs w:val="20"/>
          <w:color w:val="auto"/>
        </w:rPr>
      </w:pPr>
    </w:p>
    <w:p>
      <w:pPr>
        <w:ind w:left="900" w:hanging="446"/>
        <w:spacing w:after="0"/>
        <w:tabs>
          <w:tab w:leader="none" w:pos="90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 of the Code.</w:t>
      </w:r>
    </w:p>
    <w:p>
      <w:pPr>
        <w:spacing w:after="0" w:line="96"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It is intended that the Stock Units shall be exempt from Section 409A of the Code pursuant to the “short-term deferral” rule applicable to such section, as set forth in the regulations or other guidance published by the Internal Revenue Service thereunder.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68" w:name="page169"/>
    <w:bookmarkEnd w:id="168"/>
    <w:p>
      <w:pPr>
        <w:ind w:left="900" w:hanging="446"/>
        <w:spacing w:after="0"/>
        <w:tabs>
          <w:tab w:leader="none" w:pos="9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Delivery.</w:t>
      </w:r>
    </w:p>
    <w:p>
      <w:pPr>
        <w:spacing w:after="0" w:line="9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lieu of receiving documents in paper format, the Employee hereby agrees, to the fullest extent permitted by law, to accept electronic delivery of any documents that the Company or any Affiliate may be required to deliver (including, but not limited to, prospectuses, prospectus supplements, grant or Award notifications and agreements, account statements, annual and quarterly reports, and all other forms of communications) in connection with the Stock Units or any other prior or future Award (it being understood and agreed that the Company or its Affiliates may, in their sole discretion, elect to satisfy any delivery requirements electronically, in paper format, or a combination of both methods). Electronic delivery of a document to the Employee may be via a Company email system or by reference to a location on a Company intranet or secure internet site to which Employee has access.</w:t>
      </w:r>
    </w:p>
    <w:p>
      <w:pPr>
        <w:spacing w:after="0" w:line="236" w:lineRule="exact"/>
        <w:rPr>
          <w:sz w:val="20"/>
          <w:szCs w:val="20"/>
          <w:color w:val="auto"/>
        </w:rPr>
      </w:pPr>
    </w:p>
    <w:p>
      <w:pPr>
        <w:ind w:left="900" w:hanging="446"/>
        <w:spacing w:after="0"/>
        <w:tabs>
          <w:tab w:leader="none" w:pos="90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Recovery Policy.</w:t>
      </w:r>
    </w:p>
    <w:p>
      <w:pPr>
        <w:spacing w:after="0" w:line="96" w:lineRule="exact"/>
        <w:rPr>
          <w:sz w:val="20"/>
          <w:szCs w:val="20"/>
          <w:color w:val="auto"/>
        </w:rPr>
      </w:pPr>
    </w:p>
    <w:p>
      <w:pPr>
        <w:ind w:right="500" w:firstLine="913"/>
        <w:spacing w:after="0" w:line="332" w:lineRule="auto"/>
        <w:rPr>
          <w:sz w:val="20"/>
          <w:szCs w:val="20"/>
          <w:color w:val="auto"/>
        </w:rPr>
      </w:pPr>
      <w:r>
        <w:rPr>
          <w:rFonts w:ascii="Arial" w:cs="Arial" w:eastAsia="Arial" w:hAnsi="Arial"/>
          <w:sz w:val="16"/>
          <w:szCs w:val="16"/>
          <w:color w:val="auto"/>
        </w:rPr>
        <w:t>The Employee acknowledges and agrees that the Employee and the Stock Units are subject to the Company’s Compensation Recovery Policy Applicable to Named Executive Officers, as in effect as of the date hereof (a copy of which has been provided to the Employee).</w:t>
      </w:r>
    </w:p>
    <w:p>
      <w:pPr>
        <w:spacing w:after="0" w:line="201" w:lineRule="exact"/>
        <w:rPr>
          <w:sz w:val="20"/>
          <w:szCs w:val="20"/>
          <w:color w:val="auto"/>
        </w:rPr>
      </w:pPr>
    </w:p>
    <w:p>
      <w:pPr>
        <w:ind w:left="900" w:hanging="446"/>
        <w:spacing w:after="0"/>
        <w:tabs>
          <w:tab w:leader="none" w:pos="90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96"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248" w:lineRule="exact"/>
        <w:rPr>
          <w:sz w:val="20"/>
          <w:szCs w:val="20"/>
          <w:color w:val="auto"/>
        </w:rPr>
      </w:pPr>
    </w:p>
    <w:p>
      <w:pPr>
        <w:ind w:left="900" w:hanging="446"/>
        <w:spacing w:after="0"/>
        <w:tabs>
          <w:tab w:leader="none" w:pos="9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96" w:lineRule="exact"/>
        <w:rPr>
          <w:sz w:val="20"/>
          <w:szCs w:val="20"/>
          <w:color w:val="auto"/>
        </w:rPr>
      </w:pPr>
    </w:p>
    <w:p>
      <w:pPr>
        <w:jc w:val="center"/>
        <w:ind w:right="820"/>
        <w:spacing w:after="0" w:line="506" w:lineRule="auto"/>
        <w:rPr>
          <w:sz w:val="20"/>
          <w:szCs w:val="20"/>
          <w:color w:val="auto"/>
        </w:rPr>
      </w:pPr>
      <w:r>
        <w:rPr>
          <w:rFonts w:ascii="Arial" w:cs="Arial" w:eastAsia="Arial" w:hAnsi="Arial"/>
          <w:sz w:val="18"/>
          <w:szCs w:val="18"/>
          <w:color w:val="auto"/>
        </w:rPr>
        <w:t>This Agreement may be executed in counterparts, which together shall constitute one and the same original. [REMAINDER OF PAGE LEFT INTENTIONALLY BLANK] 7</w:t>
      </w:r>
    </w:p>
    <w:p>
      <w:pPr>
        <w:sectPr>
          <w:pgSz w:w="11900" w:h="16838" w:orient="portrait"/>
          <w:cols w:equalWidth="0" w:num="1">
            <w:col w:w="11380"/>
          </w:cols>
          <w:pgMar w:left="240" w:top="274" w:right="279" w:bottom="1440" w:gutter="0" w:footer="0" w:header="0"/>
        </w:sectPr>
      </w:pPr>
    </w:p>
    <w:bookmarkStart w:id="169" w:name="page170"/>
    <w:bookmarkEnd w:id="169"/>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as of the date first above written, the Company has caused this Agreement to be executed on behalf of itself or its applicable Affiliate by a duly authorized officer and the Employee has hereunto set the Employee’s hand.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281305</wp:posOffset>
            </wp:positionV>
            <wp:extent cx="26587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0"/>
          </w:cols>
          <w:pgMar w:left="240" w:top="280" w:right="839" w:bottom="1440" w:gutter="0" w:footer="0" w:header="0"/>
        </w:sectPr>
      </w:pPr>
    </w:p>
    <w:bookmarkStart w:id="170" w:name="page171"/>
    <w:bookmarkEnd w:id="170"/>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Employee acknowledges that the grant of the Stock Units pursuant to the Stock Unit Agreement (such Stock Units, the “Stock Units” and such Stock Unit Agreement, the “Agreement”) confers a substantial benefit upon the Employee, and agrees to the following covenants (the “Restrictive Covenants”), which are designed, among other things, to protect the interests of the Lazard Group LLC, a Delaware limited liability company (the “Company”), and its Affiliates (collectively, the “Firm”) in its confidential and proprietary information, trade secrets, customer and employee relationships, orderly transition of responsibilities, and other legitimate business interests. All capitalized terms used herein, to the extent not defined, shall have the meaning set forth in the Lazard Ltd 2008 Incentive Compensation Plan. The Employee acknowledges that the Stock Units will be forfeited upon a violation by the Employee of the Restrictive Covenants, and that, pursuant to the Agreement, the Firm may seek injunctive relief in order to enforce the Restrictive Covenants:</w:t>
      </w:r>
    </w:p>
    <w:p>
      <w:pPr>
        <w:spacing w:after="0" w:line="118" w:lineRule="exact"/>
        <w:rPr>
          <w:sz w:val="20"/>
          <w:szCs w:val="20"/>
          <w:color w:val="auto"/>
        </w:rPr>
      </w:pPr>
    </w:p>
    <w:p>
      <w:pPr>
        <w:ind w:firstLine="921"/>
        <w:spacing w:after="0" w:line="286" w:lineRule="auto"/>
        <w:tabs>
          <w:tab w:leader="none" w:pos="1152"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information that is not unique to the Firm or that is generally known to the industry or the public other than as a result of the Employee’s breach of this Restrictive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24" w:lineRule="exact"/>
        <w:rPr>
          <w:rFonts w:ascii="Arial" w:cs="Arial" w:eastAsia="Arial" w:hAnsi="Arial"/>
          <w:sz w:val="16"/>
          <w:szCs w:val="16"/>
          <w:color w:val="auto"/>
        </w:rPr>
      </w:pPr>
    </w:p>
    <w:p>
      <w:pPr>
        <w:ind w:right="40" w:firstLine="921"/>
        <w:spacing w:after="0" w:line="291" w:lineRule="auto"/>
        <w:tabs>
          <w:tab w:leader="none" w:pos="1161"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(i) (A) three months after the Employee’s date of Termination of Employment for 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80" w:right="259" w:bottom="1440" w:gutter="0" w:footer="0" w:header="0"/>
        </w:sectPr>
      </w:pPr>
    </w:p>
    <w:bookmarkStart w:id="171" w:name="page172"/>
    <w:bookmarkEnd w:id="17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 other than a termination by the Firm without Cause or (B) one month after the date of the Employee’s Termination of Employment by the Firm without Cause (in either case, the date of such Termination of Employment, the “Date of Termination”) or (ii) the end of any longer period during which any similar covenants would be applicable to the Employee pursuant to any other agreement (other than an award agreement evidencing previously granted equity-based, fund interest, deferred cash or similar awards (collectively, the “Prior Awards”))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the Agreement, including this Appendix A, “Competitive Enterprise” shall mean a business (or business unit) that</w:t>
      </w:r>
    </w:p>
    <w:p>
      <w:pPr>
        <w:ind w:right="100" w:firstLine="8"/>
        <w:spacing w:after="0" w:line="287" w:lineRule="auto"/>
        <w:tabs>
          <w:tab w:leader="none" w:pos="24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A, the Employee shall not be considered to be in violation of the Restrictive Covenants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24" w:lineRule="exact"/>
        <w:rPr>
          <w:rFonts w:ascii="Arial" w:cs="Arial" w:eastAsia="Arial" w:hAnsi="Arial"/>
          <w:sz w:val="16"/>
          <w:szCs w:val="16"/>
          <w:color w:val="auto"/>
        </w:rPr>
      </w:pPr>
    </w:p>
    <w:p>
      <w:pPr>
        <w:ind w:right="60" w:firstLine="921"/>
        <w:spacing w:after="0" w:line="286" w:lineRule="auto"/>
        <w:tabs>
          <w:tab w:leader="none" w:pos="1152"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xml:space="preserve">.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the Agreement, including this Appendix A,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172" w:name="page173"/>
    <w:bookmarkEnd w:id="172"/>
    <w:p>
      <w:pPr>
        <w:ind w:left="-20" w:right="20" w:firstLine="921"/>
        <w:spacing w:after="0" w:line="290" w:lineRule="auto"/>
        <w:tabs>
          <w:tab w:leader="none" w:pos="1141"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Hire of Employees</w:t>
      </w:r>
      <w:r>
        <w:rPr>
          <w:rFonts w:ascii="Arial" w:cs="Arial" w:eastAsia="Arial" w:hAnsi="Arial"/>
          <w:sz w:val="16"/>
          <w:szCs w:val="16"/>
          <w:color w:val="auto"/>
        </w:rPr>
        <w:t>. The Employee hereby agrees that while employed by the Firm and thereafter until (i) six months after the Date of Termination for any reason or (ii) the end of any longer period during which any similar covenants would be applicable to the Employee pursuant to any other agreement (other than an award agreement evidencing any Prior Awards) between the Employee and the Firm (such period, the “No Hire Restriction Period”), the Employee shall not, directly or indirectly, for 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18" w:lineRule="exact"/>
        <w:rPr>
          <w:rFonts w:ascii="Arial" w:cs="Arial" w:eastAsia="Arial" w:hAnsi="Arial"/>
          <w:sz w:val="16"/>
          <w:szCs w:val="16"/>
          <w:color w:val="auto"/>
        </w:rPr>
      </w:pPr>
    </w:p>
    <w:p>
      <w:pPr>
        <w:ind w:left="-20" w:right="120" w:firstLine="921"/>
        <w:spacing w:after="0" w:line="291" w:lineRule="auto"/>
        <w:tabs>
          <w:tab w:leader="none" w:pos="1132"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Employee shall not at any time (whether prior to or following the Employee’s Termination of Employment), and shall instruct the Employee’s spouse or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20" w:lineRule="exact"/>
        <w:rPr>
          <w:rFonts w:ascii="Arial" w:cs="Arial" w:eastAsia="Arial" w:hAnsi="Arial"/>
          <w:sz w:val="16"/>
          <w:szCs w:val="16"/>
          <w:color w:val="auto"/>
        </w:rPr>
      </w:pPr>
    </w:p>
    <w:p>
      <w:pPr>
        <w:ind w:left="-20" w:right="60" w:firstLine="921"/>
        <w:spacing w:after="0" w:line="254" w:lineRule="auto"/>
        <w:tabs>
          <w:tab w:leader="none" w:pos="1112"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Notice of Termination Required</w:t>
      </w:r>
      <w:r>
        <w:rPr>
          <w:rFonts w:ascii="Arial" w:cs="Arial" w:eastAsia="Arial" w:hAnsi="Arial"/>
          <w:sz w:val="18"/>
          <w:szCs w:val="18"/>
          <w:color w:val="auto"/>
        </w:rPr>
        <w:t>. The Employee agrees to provide a period of advance written notice to the Firm prior to the Employee’s Termination of Employment equal to (i) three months or (ii) any longer notice period required pursuant to any other agreement (other than an award agreement evidencing any Prior Awards) between the Employee and the Firm. The Employee hereby agrees that, if, during the applicable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44" w:lineRule="exact"/>
        <w:rPr>
          <w:rFonts w:ascii="Arial" w:cs="Arial" w:eastAsia="Arial" w:hAnsi="Arial"/>
          <w:sz w:val="18"/>
          <w:szCs w:val="18"/>
          <w:color w:val="auto"/>
        </w:rPr>
      </w:pPr>
    </w:p>
    <w:p>
      <w:pPr>
        <w:ind w:left="-20" w:firstLine="921"/>
        <w:spacing w:after="0" w:line="289" w:lineRule="auto"/>
        <w:tabs>
          <w:tab w:leader="none" w:pos="1141"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Restrictive Covenants Generally</w:t>
      </w:r>
      <w:r>
        <w:rPr>
          <w:rFonts w:ascii="Arial" w:cs="Arial" w:eastAsia="Arial" w:hAnsi="Arial"/>
          <w:sz w:val="16"/>
          <w:szCs w:val="16"/>
          <w:color w:val="auto"/>
        </w:rPr>
        <w:t>. If any of the Restrictive Covenants is finally held to be invalid, illegal or unenforceable (whether in whole or in part), such Restrictive Covenant shall be deemed modified to the extent, but only to the extent, of such invalidity, illegality or unenforceability and the remaining such Restrictive Covenants shall not be affected thereby; provided, however, that if any of such Restrictive Covenants is finally held to be invalid, illegal or unenforceable because it exceeds the maximum scope determined to be acceptable to permit such provision to be enforceable, such Restrictive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A, with a copy of such notice delivered no later than the date of the Employee’s commencement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60" w:top="280" w:right="239" w:bottom="1440" w:gutter="0" w:footer="0" w:header="0"/>
        </w:sectPr>
      </w:pPr>
    </w:p>
    <w:bookmarkStart w:id="173" w:name="page174"/>
    <w:bookmarkEnd w:id="17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employment with such prospective employer, to the General Counsel of the Company. The Employee acknowledges and agrees that the terms of the Restrictive Covenants: (i) are reasonable in light of all of the circumstances, (ii) are sufficiently limited to protect the legitimate interests of the Firm, (iii) impose no undue hardship on the Employee and (iv) are not injurious to the public. The Employee acknowledges and agrees that the Employee’s breach of the Restrictive Covenants will cause the Firm irreparable harm, which cannot be adequately compensated by money damages. The Employee also agrees that the Firm shall be entitled to injunctive relief for any actual or threatened violation of any of the Restrictive Covenants in addition to any other remedies it may have, including, without limitation, money damages and forfeiture of the Stock Units. The Employee further acknowledges that, except as provided in Paragraph (h), the Restrictive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18" w:lineRule="exact"/>
        <w:rPr>
          <w:sz w:val="20"/>
          <w:szCs w:val="20"/>
          <w:color w:val="auto"/>
        </w:rPr>
      </w:pPr>
    </w:p>
    <w:p>
      <w:pPr>
        <w:ind w:right="20" w:firstLine="921"/>
        <w:spacing w:after="0" w:line="294" w:lineRule="auto"/>
        <w:tabs>
          <w:tab w:leader="none" w:pos="1161"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Other Restrictive Covenants</w:t>
      </w:r>
      <w:r>
        <w:rPr>
          <w:rFonts w:ascii="Arial" w:cs="Arial" w:eastAsia="Arial" w:hAnsi="Arial"/>
          <w:sz w:val="16"/>
          <w:szCs w:val="16"/>
          <w:color w:val="auto"/>
        </w:rPr>
        <w:t>. The Employee acknowledges that, in the event that the Employee is subject to an employment contract, the Restrictive Covenants set forth in this Appendix A constitute a supplement to such employment contract and will be entirely governed by the distinct and specific provisions of this Appendix A. The Employee acknowledges that the Restrictive Covenants set forth in this Appendix A shall supersede and are in full substitution for any and all prior restrictive covenants included in any award agreement evidencing any Prior Awards by which the Employee is bound, and this Paragraph (h) shall constitute a valid amendment to such award agreements.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620" w:type="dxa"/>
            <w:vAlign w:val="bottom"/>
            <w:gridSpan w:val="4"/>
            <w:vMerge w:val="restart"/>
          </w:tcPr>
          <w:p>
            <w:pPr>
              <w:ind w:left="320"/>
              <w:spacing w:after="0" w:line="149" w:lineRule="exact"/>
              <w:rPr>
                <w:sz w:val="20"/>
                <w:szCs w:val="20"/>
                <w:color w:val="auto"/>
              </w:rPr>
            </w:pPr>
            <w:r>
              <w:rPr>
                <w:rFonts w:ascii="Arial" w:cs="Arial" w:eastAsia="Arial" w:hAnsi="Arial"/>
                <w:sz w:val="14"/>
                <w:szCs w:val="14"/>
                <w:b w:val="1"/>
                <w:bCs w:val="1"/>
                <w:color w:val="auto"/>
              </w:rPr>
              <w:t>Ended March 31,</w:t>
            </w: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4"/>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5"/>
          </w:tcPr>
          <w:p>
            <w:pPr>
              <w:jc w:val="right"/>
              <w:ind w:right="860"/>
              <w:spacing w:after="0" w:line="155" w:lineRule="exact"/>
              <w:rPr>
                <w:sz w:val="20"/>
                <w:szCs w:val="20"/>
                <w:color w:val="auto"/>
              </w:rPr>
            </w:pPr>
            <w:r>
              <w:rPr>
                <w:rFonts w:ascii="Arial" w:cs="Arial" w:eastAsia="Arial" w:hAnsi="Arial"/>
                <w:sz w:val="14"/>
                <w:szCs w:val="14"/>
                <w:b w:val="1"/>
                <w:bCs w:val="1"/>
                <w:color w:val="auto"/>
                <w:w w:val="84"/>
              </w:rPr>
              <w:t>(dollars in thousands)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21,597</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123,885</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235,499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243,650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(182,234)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26,596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106,470</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110,919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117,119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127,398</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160,154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48,193</w:t>
            </w:r>
          </w:p>
        </w:tc>
        <w:tc>
          <w:tcPr>
            <w:tcW w:w="3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230,355</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346,418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360,769</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(54,836)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185,294</w:t>
            </w: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81,565</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107,890</w:t>
            </w: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24,905</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19,410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19,508</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20,255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26,596</w:t>
            </w: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106,470</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110,919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117,119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127,398</w:t>
            </w: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160,154</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68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1.81(d)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2.16(e)</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3.08(f)</w:t>
            </w: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–(g)</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1.16(h)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7"/>
              </w:rPr>
              <w:t>Deficiency in the coverage of operating income</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before fixed charges to total fixed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182,234</w:t>
            </w: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100" w:hanging="452"/>
        <w:spacing w:after="0" w:line="357" w:lineRule="auto"/>
        <w:tabs>
          <w:tab w:leader="none" w:pos="4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Operating income for the three month period ended March 31, 2013 is presented after giving effect to a charge of $26,322 associated with the cost saving initiatives announced by the Company in October, 2012. Excluding the impact of such charge, the ratio of earnings to fixed charges would have been 2.80.</w:t>
      </w:r>
    </w:p>
    <w:p>
      <w:pPr>
        <w:ind w:left="460" w:right="160" w:hanging="452"/>
        <w:spacing w:after="0" w:line="323" w:lineRule="auto"/>
        <w:tabs>
          <w:tab w:leader="none" w:pos="4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3.36.</w:t>
      </w:r>
    </w:p>
    <w:p>
      <w:pPr>
        <w:spacing w:after="0" w:line="16" w:lineRule="exact"/>
        <w:rPr>
          <w:rFonts w:ascii="Arial" w:cs="Arial" w:eastAsia="Arial" w:hAnsi="Arial"/>
          <w:sz w:val="15"/>
          <w:szCs w:val="15"/>
          <w:color w:val="auto"/>
        </w:rPr>
      </w:pPr>
    </w:p>
    <w:p>
      <w:pPr>
        <w:jc w:val="both"/>
        <w:ind w:left="460" w:right="220" w:hanging="452"/>
        <w:spacing w:after="0" w:line="306" w:lineRule="auto"/>
        <w:tabs>
          <w:tab w:leader="none" w:pos="4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items, the ratio of earnings to fixed charges would have been 3.96.</w:t>
      </w:r>
    </w:p>
    <w:p>
      <w:pPr>
        <w:sectPr>
          <w:pgSz w:w="11900" w:h="16838" w:orient="portrait"/>
          <w:cols w:equalWidth="0" w:num="1">
            <w:col w:w="11420"/>
          </w:cols>
          <w:pgMar w:left="240" w:top="125" w:right="239" w:bottom="1440" w:gutter="0" w:footer="0" w:header="0"/>
        </w:sectPr>
      </w:pPr>
    </w:p>
    <w:bookmarkStart w:id="175" w:name="page176"/>
    <w:bookmarkEnd w:id="175"/>
    <w:p>
      <w:pPr>
        <w:ind w:left="452" w:hanging="452"/>
        <w:spacing w:after="0" w:line="298" w:lineRule="auto"/>
        <w:tabs>
          <w:tab w:leader="none" w:pos="452"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392"/>
          </w:cols>
          <w:pgMar w:left="248" w:top="280" w:right="25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2013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7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1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2013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7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1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30,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March 31,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30,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March 31,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1."/>
      <w:numFmt w:val="decimal"/>
      <w:start w:val="1"/>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1."/>
      <w:numFmt w:val="decimal"/>
      <w:start w:val="2"/>
    </w:lvl>
  </w:abstractNum>
  <w:abstractNum w:abstractNumId="7">
    <w:nsid w:val="57FC4FBB"/>
    <w:multiLevelType w:val="hybridMultilevel"/>
    <w:lvl w:ilvl="0">
      <w:lvlJc w:val="left"/>
      <w:lvlText w:val="%1."/>
      <w:numFmt w:val="decimal"/>
      <w:start w:val="3"/>
    </w:lvl>
  </w:abstractNum>
  <w:abstractNum w:abstractNumId="8">
    <w:nsid w:val="CC1016F"/>
    <w:multiLevelType w:val="hybridMultilevel"/>
    <w:lvl w:ilvl="0">
      <w:lvlJc w:val="left"/>
      <w:lvlText w:val="%1."/>
      <w:numFmt w:val="decimal"/>
      <w:start w:val="4"/>
    </w:lvl>
  </w:abstractNum>
  <w:abstractNum w:abstractNumId="9">
    <w:nsid w:val="43F18422"/>
    <w:multiLevelType w:val="hybridMultilevel"/>
    <w:lvl w:ilvl="0">
      <w:lvlJc w:val="left"/>
      <w:lvlText w:val="(%1)"/>
      <w:numFmt w:val="lowerLetter"/>
      <w:start w:val="1"/>
    </w:lvl>
  </w:abstractNum>
  <w:abstractNum w:abstractNumId="10">
    <w:nsid w:val="60EF0119"/>
    <w:multiLevelType w:val="hybridMultilevel"/>
    <w:lvl w:ilvl="0">
      <w:lvlJc w:val="left"/>
      <w:lvlText w:val="%1."/>
      <w:numFmt w:val="decimal"/>
      <w:start w:val="5"/>
    </w:lvl>
  </w:abstractNum>
  <w:abstractNum w:abstractNumId="11">
    <w:nsid w:val="26F324BA"/>
    <w:multiLevelType w:val="hybridMultilevel"/>
    <w:lvl w:ilvl="0">
      <w:lvlJc w:val="left"/>
      <w:lvlText w:val="(%1)"/>
      <w:numFmt w:val="lowerLetter"/>
      <w:start w:val="1"/>
    </w:lvl>
  </w:abstractNum>
  <w:abstractNum w:abstractNumId="12">
    <w:nsid w:val="7F01579B"/>
    <w:multiLevelType w:val="hybridMultilevel"/>
    <w:lvl w:ilvl="0">
      <w:lvlJc w:val="left"/>
      <w:lvlText w:val="(%1)"/>
      <w:numFmt w:val="lowerLetter"/>
      <w:start w:val="1"/>
    </w:lvl>
  </w:abstractNum>
  <w:abstractNum w:abstractNumId="13">
    <w:nsid w:val="49DA307D"/>
    <w:multiLevelType w:val="hybridMultilevel"/>
    <w:lvl w:ilvl="0">
      <w:lvlJc w:val="left"/>
      <w:lvlText w:val="(%1)"/>
      <w:numFmt w:val="lowerLetter"/>
      <w:start w:val="1"/>
    </w:lvl>
  </w:abstractNum>
  <w:abstractNum w:abstractNumId="14">
    <w:nsid w:val="7055A5F5"/>
    <w:multiLevelType w:val="hybridMultilevel"/>
    <w:lvl w:ilvl="0">
      <w:lvlJc w:val="left"/>
      <w:lvlText w:val="%1."/>
      <w:numFmt w:val="decimal"/>
      <w:start w:val="6"/>
    </w:lvl>
  </w:abstractNum>
  <w:abstractNum w:abstractNumId="15">
    <w:nsid w:val="5FB8370B"/>
    <w:multiLevelType w:val="hybridMultilevel"/>
    <w:lvl w:ilvl="0">
      <w:lvlJc w:val="left"/>
      <w:lvlText w:val="(%1)"/>
      <w:numFmt w:val="lowerLetter"/>
      <w:start w:val="1"/>
    </w:lvl>
  </w:abstractNum>
  <w:abstractNum w:abstractNumId="16">
    <w:nsid w:val="50801EE1"/>
    <w:multiLevelType w:val="hybridMultilevel"/>
    <w:lvl w:ilvl="0">
      <w:lvlJc w:val="left"/>
      <w:lvlText w:val="%1."/>
      <w:numFmt w:val="decimal"/>
      <w:start w:val="7"/>
    </w:lvl>
  </w:abstractNum>
  <w:abstractNum w:abstractNumId="17">
    <w:nsid w:val="488AC1A"/>
    <w:multiLevelType w:val="hybridMultilevel"/>
    <w:lvl w:ilvl="0">
      <w:lvlJc w:val="left"/>
      <w:lvlText w:val="%1."/>
      <w:numFmt w:val="decimal"/>
      <w:start w:val="8"/>
    </w:lvl>
  </w:abstractNum>
  <w:abstractNum w:abstractNumId="18">
    <w:nsid w:val="5FB8011C"/>
    <w:multiLevelType w:val="hybridMultilevel"/>
    <w:lvl w:ilvl="0">
      <w:lvlJc w:val="left"/>
      <w:lvlText w:val="(%1)"/>
      <w:numFmt w:val="lowerLetter"/>
      <w:start w:val="1"/>
    </w:lvl>
  </w:abstractNum>
  <w:abstractNum w:abstractNumId="19">
    <w:nsid w:val="6AA78F7F"/>
    <w:multiLevelType w:val="hybridMultilevel"/>
    <w:lvl w:ilvl="0">
      <w:lvlJc w:val="left"/>
      <w:lvlText w:val="%1."/>
      <w:numFmt w:val="decimal"/>
      <w:start w:val="9"/>
    </w:lvl>
  </w:abstractNum>
  <w:abstractNum w:abstractNumId="20">
    <w:nsid w:val="7672BD23"/>
    <w:multiLevelType w:val="hybridMultilevel"/>
    <w:lvl w:ilvl="0">
      <w:lvlJc w:val="left"/>
      <w:lvlText w:val="%1."/>
      <w:numFmt w:val="decimal"/>
      <w:start w:val="10"/>
    </w:lvl>
  </w:abstractNum>
  <w:abstractNum w:abstractNumId="21">
    <w:nsid w:val="6FC75AF8"/>
    <w:multiLevelType w:val="hybridMultilevel"/>
    <w:lvl w:ilvl="0">
      <w:lvlJc w:val="left"/>
      <w:lvlText w:val="%1."/>
      <w:numFmt w:val="decimal"/>
      <w:start w:val="11"/>
    </w:lvl>
  </w:abstractNum>
  <w:abstractNum w:abstractNumId="22">
    <w:nsid w:val="6A5F7029"/>
    <w:multiLevelType w:val="hybridMultilevel"/>
    <w:lvl w:ilvl="0">
      <w:lvlJc w:val="left"/>
      <w:lvlText w:val="(%1)"/>
      <w:numFmt w:val="lowerLetter"/>
      <w:start w:val="1"/>
    </w:lvl>
  </w:abstractNum>
  <w:abstractNum w:abstractNumId="23">
    <w:nsid w:val="7D5E18F8"/>
    <w:multiLevelType w:val="hybridMultilevel"/>
    <w:lvl w:ilvl="0">
      <w:lvlJc w:val="left"/>
      <w:lvlText w:val="%1."/>
      <w:numFmt w:val="decimal"/>
      <w:start w:val="12"/>
    </w:lvl>
  </w:abstractNum>
  <w:abstractNum w:abstractNumId="24">
    <w:nsid w:val="5F3534A4"/>
    <w:multiLevelType w:val="hybridMultilevel"/>
    <w:lvl w:ilvl="0">
      <w:lvlJc w:val="left"/>
      <w:lvlText w:val="(%1)"/>
      <w:numFmt w:val="lowerLetter"/>
      <w:start w:val="1"/>
    </w:lvl>
  </w:abstractNum>
  <w:abstractNum w:abstractNumId="25">
    <w:nsid w:val="73A1821B"/>
    <w:multiLevelType w:val="hybridMultilevel"/>
    <w:lvl w:ilvl="0">
      <w:lvlJc w:val="left"/>
      <w:lvlText w:val="(%1)"/>
      <w:numFmt w:val="lowerLetter"/>
      <w:start w:val="1"/>
    </w:lvl>
  </w:abstractNum>
  <w:abstractNum w:abstractNumId="26">
    <w:nsid w:val="7DE67713"/>
    <w:multiLevelType w:val="hybridMultilevel"/>
    <w:lvl w:ilvl="0">
      <w:lvlJc w:val="left"/>
      <w:lvlText w:val="%1."/>
      <w:numFmt w:val="decimal"/>
      <w:start w:val="13"/>
    </w:lvl>
  </w:abstractNum>
  <w:abstractNum w:abstractNumId="27">
    <w:nsid w:val="555C55B5"/>
    <w:multiLevelType w:val="hybridMultilevel"/>
    <w:lvl w:ilvl="0">
      <w:lvlJc w:val="left"/>
      <w:lvlText w:val="%1."/>
      <w:numFmt w:val="decimal"/>
      <w:start w:val="14"/>
    </w:lvl>
  </w:abstractNum>
  <w:abstractNum w:abstractNumId="28">
    <w:nsid w:val="3FA62ACA"/>
    <w:multiLevelType w:val="hybridMultilevel"/>
    <w:lvl w:ilvl="0">
      <w:lvlJc w:val="left"/>
      <w:lvlText w:val="%1."/>
      <w:numFmt w:val="decimal"/>
      <w:start w:val="15"/>
    </w:lvl>
  </w:abstractNum>
  <w:abstractNum w:abstractNumId="29">
    <w:nsid w:val="14FCE74E"/>
    <w:multiLevelType w:val="hybridMultilevel"/>
    <w:lvl w:ilvl="0">
      <w:lvlJc w:val="left"/>
      <w:lvlText w:val="%1."/>
      <w:numFmt w:val="decimal"/>
      <w:start w:val="16"/>
    </w:lvl>
  </w:abstractNum>
  <w:abstractNum w:abstractNumId="30">
    <w:nsid w:val="6A3DD3E8"/>
    <w:multiLevelType w:val="hybridMultilevel"/>
    <w:lvl w:ilvl="0">
      <w:lvlJc w:val="left"/>
      <w:lvlText w:val="%1."/>
      <w:numFmt w:val="decimal"/>
      <w:start w:val="17"/>
    </w:lvl>
  </w:abstractNum>
  <w:abstractNum w:abstractNumId="31">
    <w:nsid w:val="71C91298"/>
    <w:multiLevelType w:val="hybridMultilevel"/>
    <w:lvl w:ilvl="0">
      <w:lvlJc w:val="left"/>
      <w:lvlText w:val="%1."/>
      <w:numFmt w:val="decimal"/>
      <w:start w:val="18"/>
    </w:lvl>
  </w:abstractNum>
  <w:abstractNum w:abstractNumId="32">
    <w:nsid w:val="9DAF632"/>
    <w:multiLevelType w:val="hybridMultilevel"/>
    <w:lvl w:ilvl="0">
      <w:lvlJc w:val="left"/>
      <w:lvlText w:val="%1."/>
      <w:numFmt w:val="decimal"/>
      <w:start w:val="19"/>
    </w:lvl>
  </w:abstractNum>
  <w:abstractNum w:abstractNumId="33">
    <w:nsid w:val="53299938"/>
    <w:multiLevelType w:val="hybridMultilevel"/>
    <w:lvl w:ilvl="0">
      <w:lvlJc w:val="left"/>
      <w:lvlText w:val="•"/>
      <w:numFmt w:val="bullet"/>
      <w:start w:val="1"/>
    </w:lvl>
  </w:abstractNum>
  <w:abstractNum w:abstractNumId="34">
    <w:nsid w:val="1FBFE8E0"/>
    <w:multiLevelType w:val="hybridMultilevel"/>
    <w:lvl w:ilvl="0">
      <w:lvlJc w:val="left"/>
      <w:lvlText w:val="(%1)"/>
      <w:numFmt w:val="lowerLetter"/>
      <w:start w:val="1"/>
    </w:lvl>
  </w:abstractNum>
  <w:abstractNum w:abstractNumId="35">
    <w:nsid w:val="5092CA79"/>
    <w:multiLevelType w:val="hybridMultilevel"/>
    <w:lvl w:ilvl="0">
      <w:lvlJc w:val="left"/>
      <w:lvlText w:val="•"/>
      <w:numFmt w:val="bullet"/>
      <w:start w:val="1"/>
    </w:lvl>
  </w:abstractNum>
  <w:abstractNum w:abstractNumId="36">
    <w:nsid w:val="1D545C4D"/>
    <w:multiLevelType w:val="hybridMultilevel"/>
    <w:lvl w:ilvl="0">
      <w:lvlJc w:val="left"/>
      <w:lvlText w:val="•"/>
      <w:numFmt w:val="bullet"/>
      <w:start w:val="1"/>
    </w:lvl>
  </w:abstractNum>
  <w:abstractNum w:abstractNumId="37">
    <w:nsid w:val="59ADEA3D"/>
    <w:multiLevelType w:val="hybridMultilevel"/>
    <w:lvl w:ilvl="0">
      <w:lvlJc w:val="left"/>
      <w:lvlText w:val="•"/>
      <w:numFmt w:val="bullet"/>
      <w:start w:val="1"/>
    </w:lvl>
  </w:abstractNum>
  <w:abstractNum w:abstractNumId="38">
    <w:nsid w:val="288F1A34"/>
    <w:multiLevelType w:val="hybridMultilevel"/>
    <w:lvl w:ilvl="0">
      <w:lvlJc w:val="left"/>
      <w:lvlText w:val="•"/>
      <w:numFmt w:val="bullet"/>
      <w:start w:val="1"/>
    </w:lvl>
  </w:abstractNum>
  <w:abstractNum w:abstractNumId="39">
    <w:nsid w:val="2A155DBC"/>
    <w:multiLevelType w:val="hybridMultilevel"/>
    <w:lvl w:ilvl="0">
      <w:lvlJc w:val="left"/>
      <w:lvlText w:val="(%1)"/>
      <w:numFmt w:val="lowerRoman"/>
      <w:start w:val="1"/>
    </w:lvl>
  </w:abstractNum>
  <w:abstractNum w:abstractNumId="40">
    <w:nsid w:val="1D9F6E5F"/>
    <w:multiLevelType w:val="hybridMultilevel"/>
    <w:lvl w:ilvl="0">
      <w:lvlJc w:val="left"/>
      <w:lvlText w:val="(%1)"/>
      <w:numFmt w:val="lowerRoman"/>
      <w:start w:val="3"/>
    </w:lvl>
  </w:abstractNum>
  <w:abstractNum w:abstractNumId="41">
    <w:nsid w:val="97E1B4E"/>
    <w:multiLevelType w:val="hybridMultilevel"/>
    <w:lvl w:ilvl="0">
      <w:lvlJc w:val="left"/>
      <w:lvlText w:val="•"/>
      <w:numFmt w:val="bullet"/>
      <w:start w:val="1"/>
    </w:lvl>
  </w:abstractNum>
  <w:abstractNum w:abstractNumId="42">
    <w:nsid w:val="51088277"/>
    <w:multiLevelType w:val="hybridMultilevel"/>
    <w:lvl w:ilvl="0">
      <w:lvlJc w:val="left"/>
      <w:lvlText w:val="•"/>
      <w:numFmt w:val="bullet"/>
      <w:start w:val="1"/>
    </w:lvl>
  </w:abstractNum>
  <w:abstractNum w:abstractNumId="43">
    <w:nsid w:val="1CA0C5FA"/>
    <w:multiLevelType w:val="hybridMultilevel"/>
    <w:lvl w:ilvl="0">
      <w:lvlJc w:val="left"/>
      <w:lvlText w:val="(%1)"/>
      <w:numFmt w:val="lowerLetter"/>
      <w:start w:val="1"/>
    </w:lvl>
  </w:abstractNum>
  <w:abstractNum w:abstractNumId="44">
    <w:nsid w:val="53584BCB"/>
    <w:multiLevelType w:val="hybridMultilevel"/>
    <w:lvl w:ilvl="0">
      <w:lvlJc w:val="left"/>
      <w:lvlText w:val="(%1)"/>
      <w:numFmt w:val="lowerLetter"/>
      <w:start w:val="1"/>
    </w:lvl>
  </w:abstractNum>
  <w:abstractNum w:abstractNumId="45">
    <w:nsid w:val="415E286C"/>
    <w:multiLevelType w:val="hybridMultilevel"/>
    <w:lvl w:ilvl="0">
      <w:lvlJc w:val="left"/>
      <w:lvlText w:val="(%1)"/>
      <w:numFmt w:val="lowerLetter"/>
      <w:start w:val="1"/>
    </w:lvl>
  </w:abstractNum>
  <w:abstractNum w:abstractNumId="46">
    <w:nsid w:val="7C58FD05"/>
    <w:multiLevelType w:val="hybridMultilevel"/>
    <w:lvl w:ilvl="0">
      <w:lvlJc w:val="left"/>
      <w:lvlText w:val="(%1)"/>
      <w:numFmt w:val="lowerLetter"/>
      <w:start w:val="1"/>
    </w:lvl>
  </w:abstractNum>
  <w:abstractNum w:abstractNumId="47">
    <w:nsid w:val="23D86AAC"/>
    <w:multiLevelType w:val="hybridMultilevel"/>
    <w:lvl w:ilvl="0">
      <w:lvlJc w:val="left"/>
      <w:lvlText w:val="(%1)"/>
      <w:numFmt w:val="lowerLetter"/>
      <w:start w:val="1"/>
    </w:lvl>
  </w:abstractNum>
  <w:abstractNum w:abstractNumId="48">
    <w:nsid w:val="45E6D486"/>
    <w:multiLevelType w:val="hybridMultilevel"/>
    <w:lvl w:ilvl="0">
      <w:lvlJc w:val="left"/>
      <w:lvlText w:val="(%1)"/>
      <w:numFmt w:val="lowerLetter"/>
      <w:start w:val="1"/>
    </w:lvl>
  </w:abstractNum>
  <w:abstractNum w:abstractNumId="49">
    <w:nsid w:val="5C10FE21"/>
    <w:multiLevelType w:val="hybridMultilevel"/>
    <w:lvl w:ilvl="0">
      <w:lvlJc w:val="left"/>
      <w:lvlText w:val="(%1)"/>
      <w:numFmt w:val="lowerLetter"/>
      <w:start w:val="1"/>
    </w:lvl>
  </w:abstractNum>
  <w:abstractNum w:abstractNumId="50">
    <w:nsid w:val="E7FFA2B"/>
    <w:multiLevelType w:val="hybridMultilevel"/>
    <w:lvl w:ilvl="0">
      <w:lvlJc w:val="left"/>
      <w:lvlText w:val="(%1)"/>
      <w:numFmt w:val="lowerLetter"/>
      <w:start w:val="1"/>
    </w:lvl>
  </w:abstractNum>
  <w:abstractNum w:abstractNumId="51">
    <w:nsid w:val="3C5991AA"/>
    <w:multiLevelType w:val="hybridMultilevel"/>
    <w:lvl w:ilvl="0">
      <w:lvlJc w:val="left"/>
      <w:lvlText w:val="(%1)"/>
      <w:numFmt w:val="lowerLetter"/>
      <w:start w:val="2"/>
    </w:lvl>
  </w:abstractNum>
  <w:abstractNum w:abstractNumId="52">
    <w:nsid w:val="4BD8591A"/>
    <w:multiLevelType w:val="hybridMultilevel"/>
    <w:lvl w:ilvl="0">
      <w:lvlJc w:val="left"/>
      <w:lvlText w:val="(%1)"/>
      <w:numFmt w:val="lowerLetter"/>
      <w:start w:val="1"/>
    </w:lvl>
  </w:abstractNum>
  <w:abstractNum w:abstractNumId="53">
    <w:nsid w:val="78DF6A55"/>
    <w:multiLevelType w:val="hybridMultilevel"/>
    <w:lvl w:ilvl="0">
      <w:lvlJc w:val="left"/>
      <w:lvlText w:val="•"/>
      <w:numFmt w:val="bullet"/>
      <w:start w:val="1"/>
    </w:lvl>
  </w:abstractNum>
  <w:abstractNum w:abstractNumId="54">
    <w:nsid w:val="39B7AAA2"/>
    <w:multiLevelType w:val="hybridMultilevel"/>
    <w:lvl w:ilvl="0">
      <w:lvlJc w:val="left"/>
      <w:lvlText w:val="•"/>
      <w:numFmt w:val="bullet"/>
      <w:start w:val="1"/>
    </w:lvl>
  </w:abstractNum>
  <w:abstractNum w:abstractNumId="55">
    <w:nsid w:val="2B0D8DBE"/>
    <w:multiLevelType w:val="hybridMultilevel"/>
    <w:lvl w:ilvl="0">
      <w:lvlJc w:val="left"/>
      <w:lvlText w:val="•"/>
      <w:numFmt w:val="bullet"/>
      <w:start w:val="1"/>
    </w:lvl>
  </w:abstractNum>
  <w:abstractNum w:abstractNumId="56">
    <w:nsid w:val="6C80EC70"/>
    <w:multiLevelType w:val="hybridMultilevel"/>
    <w:lvl w:ilvl="0">
      <w:lvlJc w:val="left"/>
      <w:lvlText w:val="(%1)"/>
      <w:numFmt w:val="lowerLetter"/>
      <w:start w:val="1"/>
    </w:lvl>
  </w:abstractNum>
  <w:abstractNum w:abstractNumId="57">
    <w:nsid w:val="379E21B5"/>
    <w:multiLevelType w:val="hybridMultilevel"/>
    <w:lvl w:ilvl="0">
      <w:lvlJc w:val="left"/>
      <w:lvlText w:val="(%1)"/>
      <w:numFmt w:val="lowerLetter"/>
      <w:start w:val="4"/>
    </w:lvl>
  </w:abstractNum>
  <w:abstractNum w:abstractNumId="58">
    <w:nsid w:val="69E373"/>
    <w:multiLevelType w:val="hybridMultilevel"/>
    <w:lvl w:ilvl="0">
      <w:lvlJc w:val="left"/>
      <w:lvlText w:val="(%1)"/>
      <w:numFmt w:val="lowerLetter"/>
      <w:start w:val="6"/>
    </w:lvl>
  </w:abstractNum>
  <w:abstractNum w:abstractNumId="59">
    <w:nsid w:val="2C27173B"/>
    <w:multiLevelType w:val="hybridMultilevel"/>
    <w:lvl w:ilvl="0">
      <w:lvlJc w:val="left"/>
      <w:lvlText w:val="•"/>
      <w:numFmt w:val="bullet"/>
      <w:start w:val="1"/>
    </w:lvl>
  </w:abstractNum>
  <w:abstractNum w:abstractNumId="60">
    <w:nsid w:val="4C9B0904"/>
    <w:multiLevelType w:val="hybridMultilevel"/>
    <w:lvl w:ilvl="0">
      <w:lvlJc w:val="left"/>
      <w:lvlText w:val="(%1)"/>
      <w:numFmt w:val="decimal"/>
      <w:start w:val="1"/>
    </w:lvl>
  </w:abstractNum>
  <w:abstractNum w:abstractNumId="61">
    <w:nsid w:val="6AA7B75C"/>
    <w:multiLevelType w:val="hybridMultilevel"/>
    <w:lvl w:ilvl="0">
      <w:lvlJc w:val="left"/>
      <w:lvlText w:val="(%1)"/>
      <w:numFmt w:val="decimal"/>
      <w:start w:val="2"/>
    </w:lvl>
  </w:abstractNum>
  <w:abstractNum w:abstractNumId="62">
    <w:nsid w:val="1DF029D3"/>
    <w:multiLevelType w:val="hybridMultilevel"/>
    <w:lvl w:ilvl="0">
      <w:lvlJc w:val="left"/>
      <w:lvlText w:val="%1."/>
      <w:numFmt w:val="decimal"/>
      <w:start w:val="1"/>
    </w:lvl>
  </w:abstractNum>
  <w:abstractNum w:abstractNumId="63">
    <w:nsid w:val="5675FF36"/>
    <w:multiLevelType w:val="hybridMultilevel"/>
    <w:lvl w:ilvl="0">
      <w:lvlJc w:val="left"/>
      <w:lvlText w:val="(%1)"/>
      <w:numFmt w:val="decimal"/>
      <w:start w:val="2"/>
    </w:lvl>
  </w:abstractNum>
  <w:abstractNum w:abstractNumId="64">
    <w:nsid w:val="3DD15094"/>
    <w:multiLevelType w:val="hybridMultilevel"/>
    <w:lvl w:ilvl="0">
      <w:lvlJc w:val="left"/>
      <w:lvlText w:val="%1"/>
      <w:numFmt w:val="lowerLetter"/>
      <w:start w:val="1"/>
    </w:lvl>
    <w:lvl w:ilvl="1">
      <w:lvlJc w:val="left"/>
      <w:lvlText w:val="(%2)"/>
      <w:numFmt w:val="lowerLetter"/>
      <w:start w:val="9"/>
    </w:lvl>
  </w:abstractNum>
  <w:abstractNum w:abstractNumId="65">
    <w:nsid w:val="3DB012B3"/>
    <w:multiLevelType w:val="hybridMultilevel"/>
    <w:lvl w:ilvl="0">
      <w:lvlJc w:val="left"/>
      <w:lvlText w:val="(%1)"/>
      <w:numFmt w:val="lowerLetter"/>
      <w:start w:val="25"/>
    </w:lvl>
    <w:lvl w:ilvl="1">
      <w:lvlJc w:val="left"/>
      <w:lvlText w:val="%2"/>
      <w:numFmt w:val="lowerLetter"/>
      <w:start w:val="1"/>
    </w:lvl>
  </w:abstractNum>
  <w:abstractNum w:abstractNumId="66">
    <w:nsid w:val="2708C9AF"/>
    <w:multiLevelType w:val="hybridMultilevel"/>
    <w:lvl w:ilvl="0">
      <w:lvlJc w:val="left"/>
      <w:lvlText w:val="(%1)"/>
      <w:numFmt w:val="decimal"/>
      <w:start w:val="2"/>
    </w:lvl>
    <w:lvl w:ilvl="1">
      <w:lvlJc w:val="left"/>
      <w:lvlText w:val="(%2)"/>
      <w:numFmt w:val="lowerRoman"/>
      <w:start w:val="2"/>
    </w:lvl>
  </w:abstractNum>
  <w:abstractNum w:abstractNumId="67">
    <w:nsid w:val="5B25ACE2"/>
    <w:multiLevelType w:val="hybridMultilevel"/>
    <w:lvl w:ilvl="0">
      <w:lvlJc w:val="left"/>
      <w:lvlText w:val="(%1)"/>
      <w:numFmt w:val="decimal"/>
      <w:start w:val="30"/>
    </w:lvl>
  </w:abstractNum>
  <w:abstractNum w:abstractNumId="68">
    <w:nsid w:val="175DFCF0"/>
    <w:multiLevelType w:val="hybridMultilevel"/>
    <w:lvl w:ilvl="0">
      <w:lvlJc w:val="left"/>
      <w:lvlText w:val="(%1)"/>
      <w:numFmt w:val="decimal"/>
      <w:start w:val="90"/>
    </w:lvl>
  </w:abstractNum>
  <w:abstractNum w:abstractNumId="69">
    <w:nsid w:val="4F97E3E4"/>
    <w:multiLevelType w:val="hybridMultilevel"/>
    <w:lvl w:ilvl="0">
      <w:lvlJc w:val="left"/>
      <w:lvlText w:val="%1."/>
      <w:numFmt w:val="decimal"/>
      <w:start w:val="5"/>
    </w:lvl>
  </w:abstractNum>
  <w:abstractNum w:abstractNumId="70">
    <w:nsid w:val="53B0A9E"/>
    <w:multiLevelType w:val="hybridMultilevel"/>
    <w:lvl w:ilvl="0">
      <w:lvlJc w:val="left"/>
      <w:lvlText w:val="%1."/>
      <w:numFmt w:val="decimal"/>
      <w:start w:val="6"/>
    </w:lvl>
  </w:abstractNum>
  <w:abstractNum w:abstractNumId="71">
    <w:nsid w:val="34FD6B4F"/>
    <w:multiLevelType w:val="hybridMultilevel"/>
    <w:lvl w:ilvl="0">
      <w:lvlJc w:val="left"/>
      <w:lvlText w:val="%1."/>
      <w:numFmt w:val="decimal"/>
      <w:start w:val="7"/>
    </w:lvl>
  </w:abstractNum>
  <w:abstractNum w:abstractNumId="72">
    <w:nsid w:val="5915FF32"/>
    <w:multiLevelType w:val="hybridMultilevel"/>
    <w:lvl w:ilvl="0">
      <w:lvlJc w:val="left"/>
      <w:lvlText w:val="(%1)"/>
      <w:numFmt w:val="lowerRoman"/>
      <w:start w:val="3"/>
    </w:lvl>
  </w:abstractNum>
  <w:abstractNum w:abstractNumId="73">
    <w:nsid w:val="56438D15"/>
    <w:multiLevelType w:val="hybridMultilevel"/>
    <w:lvl w:ilvl="0">
      <w:lvlJc w:val="left"/>
      <w:lvlText w:val="(%1)"/>
      <w:numFmt w:val="lowerRoman"/>
      <w:start w:val="1"/>
    </w:lvl>
  </w:abstractNum>
  <w:abstractNum w:abstractNumId="74">
    <w:nsid w:val="519E3149"/>
    <w:multiLevelType w:val="hybridMultilevel"/>
    <w:lvl w:ilvl="0">
      <w:lvlJc w:val="left"/>
      <w:lvlText w:val="%1"/>
      <w:numFmt w:val="decimal"/>
      <w:start w:val="1"/>
    </w:lvl>
    <w:lvl w:ilvl="1">
      <w:lvlJc w:val="left"/>
      <w:lvlText w:val="(%2)"/>
      <w:numFmt w:val="lowerLetter"/>
      <w:start w:val="9"/>
    </w:lvl>
  </w:abstractNum>
  <w:abstractNum w:abstractNumId="75">
    <w:nsid w:val="2C6E4AFD"/>
    <w:multiLevelType w:val="hybridMultilevel"/>
    <w:lvl w:ilvl="0">
      <w:lvlJc w:val="left"/>
      <w:lvlText w:val="%1."/>
      <w:numFmt w:val="decimal"/>
      <w:start w:val="8"/>
    </w:lvl>
    <w:lvl w:ilvl="1">
      <w:lvlJc w:val="left"/>
      <w:lvlText w:val="%2"/>
      <w:numFmt w:val="lowerLetter"/>
      <w:start w:val="1"/>
    </w:lvl>
  </w:abstractNum>
  <w:abstractNum w:abstractNumId="76">
    <w:nsid w:val="17A1B582"/>
    <w:multiLevelType w:val="hybridMultilevel"/>
    <w:lvl w:ilvl="0">
      <w:lvlJc w:val="left"/>
      <w:lvlText w:val="%1."/>
      <w:numFmt w:val="decimal"/>
      <w:start w:val="1"/>
    </w:lvl>
  </w:abstractNum>
  <w:abstractNum w:abstractNumId="77">
    <w:nsid w:val="4DF72E4E"/>
    <w:multiLevelType w:val="hybridMultilevel"/>
    <w:lvl w:ilvl="0">
      <w:lvlJc w:val="left"/>
      <w:lvlText w:val="%1"/>
      <w:numFmt w:val="decimal"/>
      <w:start w:val="1"/>
    </w:lvl>
    <w:lvl w:ilvl="1">
      <w:lvlJc w:val="left"/>
      <w:lvlText w:val="%2."/>
      <w:numFmt w:val="decimal"/>
      <w:start w:val="3"/>
    </w:lvl>
  </w:abstractNum>
  <w:abstractNum w:abstractNumId="78">
    <w:nsid w:val="5046B5A9"/>
    <w:multiLevelType w:val="hybridMultilevel"/>
    <w:lvl w:ilvl="0">
      <w:lvlJc w:val="left"/>
      <w:lvlText w:val="(%1)"/>
      <w:numFmt w:val="decimal"/>
      <w:start w:val="2"/>
    </w:lvl>
    <w:lvl w:ilvl="1">
      <w:lvlJc w:val="left"/>
      <w:lvlText w:val="%2"/>
      <w:numFmt w:val="decimal"/>
      <w:start w:val="1"/>
    </w:lvl>
  </w:abstractNum>
  <w:abstractNum w:abstractNumId="79">
    <w:nsid w:val="5D888A08"/>
    <w:multiLevelType w:val="hybridMultilevel"/>
    <w:lvl w:ilvl="0">
      <w:lvlJc w:val="left"/>
      <w:lvlText w:val="%1"/>
      <w:numFmt w:val="lowerLetter"/>
      <w:start w:val="1"/>
    </w:lvl>
    <w:lvl w:ilvl="1">
      <w:lvlJc w:val="left"/>
      <w:lvlText w:val="(%2)"/>
      <w:numFmt w:val="lowerLetter"/>
      <w:start w:val="9"/>
    </w:lvl>
  </w:abstractNum>
  <w:abstractNum w:abstractNumId="80">
    <w:nsid w:val="2A082C70"/>
    <w:multiLevelType w:val="hybridMultilevel"/>
    <w:lvl w:ilvl="0">
      <w:lvlJc w:val="left"/>
      <w:lvlText w:val="(%1)"/>
      <w:numFmt w:val="lowerLetter"/>
      <w:start w:val="25"/>
    </w:lvl>
    <w:lvl w:ilvl="1">
      <w:lvlJc w:val="left"/>
      <w:lvlText w:val="%2"/>
      <w:numFmt w:val="lowerLetter"/>
      <w:start w:val="1"/>
    </w:lvl>
  </w:abstractNum>
  <w:abstractNum w:abstractNumId="81">
    <w:nsid w:val="5EC6AFD4"/>
    <w:multiLevelType w:val="hybridMultilevel"/>
    <w:lvl w:ilvl="0">
      <w:lvlJc w:val="left"/>
      <w:lvlText w:val="(%1)"/>
      <w:numFmt w:val="lowerRoman"/>
      <w:start w:val="2"/>
    </w:lvl>
  </w:abstractNum>
  <w:abstractNum w:abstractNumId="82">
    <w:nsid w:val="19E21BB2"/>
    <w:multiLevelType w:val="hybridMultilevel"/>
    <w:lvl w:ilvl="0">
      <w:lvlJc w:val="left"/>
      <w:lvlText w:val="(%1)"/>
      <w:numFmt w:val="lowerRoman"/>
      <w:start w:val="4"/>
    </w:lvl>
  </w:abstractNum>
  <w:abstractNum w:abstractNumId="83">
    <w:nsid w:val="75E0858A"/>
    <w:multiLevelType w:val="hybridMultilevel"/>
    <w:lvl w:ilvl="0">
      <w:lvlJc w:val="left"/>
      <w:lvlText w:val="%1."/>
      <w:numFmt w:val="decimal"/>
      <w:start w:val="5"/>
    </w:lvl>
  </w:abstractNum>
  <w:abstractNum w:abstractNumId="84">
    <w:nsid w:val="57A61A29"/>
    <w:multiLevelType w:val="hybridMultilevel"/>
    <w:lvl w:ilvl="0">
      <w:lvlJc w:val="left"/>
      <w:lvlText w:val="%1."/>
      <w:numFmt w:val="decimal"/>
      <w:start w:val="6"/>
    </w:lvl>
  </w:abstractNum>
  <w:abstractNum w:abstractNumId="85">
    <w:nsid w:val="5399C654"/>
    <w:multiLevelType w:val="hybridMultilevel"/>
    <w:lvl w:ilvl="0">
      <w:lvlJc w:val="left"/>
      <w:lvlText w:val="%1."/>
      <w:numFmt w:val="decimal"/>
      <w:start w:val="7"/>
    </w:lvl>
  </w:abstractNum>
  <w:abstractNum w:abstractNumId="86">
    <w:nsid w:val="20EE1348"/>
    <w:multiLevelType w:val="hybridMultilevel"/>
    <w:lvl w:ilvl="0">
      <w:lvlJc w:val="left"/>
      <w:lvlText w:val="(%1)"/>
      <w:numFmt w:val="lowerRoman"/>
      <w:start w:val="2"/>
    </w:lvl>
  </w:abstractNum>
  <w:abstractNum w:abstractNumId="87">
    <w:nsid w:val="4427069A"/>
    <w:multiLevelType w:val="hybridMultilevel"/>
    <w:lvl w:ilvl="0">
      <w:lvlJc w:val="left"/>
      <w:lvlText w:val="(%1)"/>
      <w:numFmt w:val="lowerRoman"/>
      <w:start w:val="1"/>
    </w:lvl>
  </w:abstractNum>
  <w:abstractNum w:abstractNumId="88">
    <w:nsid w:val="B37E80A"/>
    <w:multiLevelType w:val="hybridMultilevel"/>
    <w:lvl w:ilvl="0">
      <w:lvlJc w:val="left"/>
      <w:lvlText w:val="(%1)"/>
      <w:numFmt w:val="lowerRoman"/>
      <w:start w:val="1"/>
    </w:lvl>
  </w:abstractNum>
  <w:abstractNum w:abstractNumId="89">
    <w:nsid w:val="2157F6BC"/>
    <w:multiLevelType w:val="hybridMultilevel"/>
    <w:lvl w:ilvl="0">
      <w:lvlJc w:val="left"/>
      <w:lvlText w:val="(%1)"/>
      <w:numFmt w:val="lowerLetter"/>
      <w:start w:val="10"/>
    </w:lvl>
  </w:abstractNum>
  <w:abstractNum w:abstractNumId="90">
    <w:nsid w:val="704E1DD5"/>
    <w:multiLevelType w:val="hybridMultilevel"/>
    <w:lvl w:ilvl="0">
      <w:lvlJc w:val="left"/>
      <w:lvlText w:val="%1."/>
      <w:numFmt w:val="decimal"/>
      <w:start w:val="8"/>
    </w:lvl>
  </w:abstractNum>
  <w:abstractNum w:abstractNumId="91">
    <w:nsid w:val="57D2F10E"/>
    <w:multiLevelType w:val="hybridMultilevel"/>
    <w:lvl w:ilvl="0">
      <w:lvlJc w:val="left"/>
      <w:lvlText w:val="%1."/>
      <w:numFmt w:val="decimal"/>
      <w:start w:val="1"/>
    </w:lvl>
  </w:abstractNum>
  <w:abstractNum w:abstractNumId="92">
    <w:nsid w:val="BFFAE18"/>
    <w:multiLevelType w:val="hybridMultilevel"/>
    <w:lvl w:ilvl="0">
      <w:lvlJc w:val="left"/>
      <w:lvlText w:val="%1"/>
      <w:numFmt w:val="lowerLetter"/>
      <w:start w:val="1"/>
    </w:lvl>
    <w:lvl w:ilvl="1">
      <w:lvlJc w:val="left"/>
      <w:lvlText w:val="(%2)"/>
      <w:numFmt w:val="lowerLetter"/>
      <w:start w:val="9"/>
    </w:lvl>
  </w:abstractNum>
  <w:abstractNum w:abstractNumId="93">
    <w:nsid w:val="E3E47A8"/>
    <w:multiLevelType w:val="hybridMultilevel"/>
    <w:lvl w:ilvl="0">
      <w:lvlJc w:val="left"/>
      <w:lvlText w:val="(%1)"/>
      <w:numFmt w:val="lowerLetter"/>
      <w:start w:val="25"/>
    </w:lvl>
    <w:lvl w:ilvl="1">
      <w:lvlJc w:val="left"/>
      <w:lvlText w:val="%2"/>
      <w:numFmt w:val="lowerLetter"/>
      <w:start w:val="1"/>
    </w:lvl>
  </w:abstractNum>
  <w:abstractNum w:abstractNumId="94">
    <w:nsid w:val="2E48F044"/>
    <w:multiLevelType w:val="hybridMultilevel"/>
    <w:lvl w:ilvl="0">
      <w:lvlJc w:val="left"/>
      <w:lvlText w:val="(%1)"/>
      <w:numFmt w:val="lowerRoman"/>
      <w:start w:val="2"/>
    </w:lvl>
  </w:abstractNum>
  <w:abstractNum w:abstractNumId="95">
    <w:nsid w:val="49D0FEAC"/>
    <w:multiLevelType w:val="hybridMultilevel"/>
    <w:lvl w:ilvl="0">
      <w:lvlJc w:val="left"/>
      <w:lvlText w:val="%1."/>
      <w:numFmt w:val="decimal"/>
      <w:start w:val="5"/>
    </w:lvl>
  </w:abstractNum>
  <w:abstractNum w:abstractNumId="96">
    <w:nsid w:val="4BEE5A5B"/>
    <w:multiLevelType w:val="hybridMultilevel"/>
    <w:lvl w:ilvl="0">
      <w:lvlJc w:val="left"/>
      <w:lvlText w:val="%1."/>
      <w:numFmt w:val="decimal"/>
      <w:start w:val="6"/>
    </w:lvl>
  </w:abstractNum>
  <w:abstractNum w:abstractNumId="97">
    <w:nsid w:val="5551B9F3"/>
    <w:multiLevelType w:val="hybridMultilevel"/>
    <w:lvl w:ilvl="0">
      <w:lvlJc w:val="left"/>
      <w:lvlText w:val="%1."/>
      <w:numFmt w:val="decimal"/>
      <w:start w:val="7"/>
    </w:lvl>
  </w:abstractNum>
  <w:abstractNum w:abstractNumId="98">
    <w:nsid w:val="24F6AB8E"/>
    <w:multiLevelType w:val="hybridMultilevel"/>
    <w:lvl w:ilvl="0">
      <w:lvlJc w:val="left"/>
      <w:lvlText w:val="(%1)"/>
      <w:numFmt w:val="lowerRoman"/>
      <w:start w:val="1"/>
    </w:lvl>
  </w:abstractNum>
  <w:abstractNum w:abstractNumId="99">
    <w:nsid w:val="634C574C"/>
    <w:multiLevelType w:val="hybridMultilevel"/>
    <w:lvl w:ilvl="0">
      <w:lvlJc w:val="left"/>
      <w:lvlText w:val="%1"/>
      <w:numFmt w:val="decimal"/>
      <w:start w:val="1"/>
    </w:lvl>
    <w:lvl w:ilvl="1">
      <w:lvlJc w:val="left"/>
      <w:lvlText w:val="(%2)"/>
      <w:numFmt w:val="lowerLetter"/>
      <w:start w:val="9"/>
    </w:lvl>
  </w:abstractNum>
  <w:abstractNum w:abstractNumId="100">
    <w:nsid w:val="24E99DD7"/>
    <w:multiLevelType w:val="hybridMultilevel"/>
    <w:lvl w:ilvl="0">
      <w:lvlJc w:val="left"/>
      <w:lvlText w:val="%1."/>
      <w:numFmt w:val="decimal"/>
      <w:start w:val="8"/>
    </w:lvl>
    <w:lvl w:ilvl="1">
      <w:lvlJc w:val="left"/>
      <w:lvlText w:val="%2"/>
      <w:numFmt w:val="lowerLetter"/>
      <w:start w:val="1"/>
    </w:lvl>
  </w:abstractNum>
  <w:abstractNum w:abstractNumId="101">
    <w:nsid w:val="2A31B62D"/>
    <w:multiLevelType w:val="hybridMultilevel"/>
    <w:lvl w:ilvl="0">
      <w:lvlJc w:val="left"/>
      <w:lvlText w:val="%1."/>
      <w:numFmt w:val="decimal"/>
      <w:start w:val="1"/>
    </w:lvl>
  </w:abstractNum>
  <w:abstractNum w:abstractNumId="102">
    <w:nsid w:val="1849C29B"/>
    <w:multiLevelType w:val="hybridMultilevel"/>
    <w:lvl w:ilvl="0">
      <w:lvlJc w:val="left"/>
      <w:lvlText w:val="%1"/>
      <w:numFmt w:val="lowerLetter"/>
      <w:start w:val="1"/>
    </w:lvl>
    <w:lvl w:ilvl="1">
      <w:lvlJc w:val="left"/>
      <w:lvlText w:val="(%2)"/>
      <w:numFmt w:val="lowerLetter"/>
      <w:start w:val="9"/>
    </w:lvl>
  </w:abstractNum>
  <w:abstractNum w:abstractNumId="103">
    <w:nsid w:val="7DFF9D09"/>
    <w:multiLevelType w:val="hybridMultilevel"/>
    <w:lvl w:ilvl="0">
      <w:lvlJc w:val="left"/>
      <w:lvlText w:val="(%1)"/>
      <w:numFmt w:val="lowerLetter"/>
      <w:start w:val="25"/>
    </w:lvl>
    <w:lvl w:ilvl="1">
      <w:lvlJc w:val="left"/>
      <w:lvlText w:val="%2"/>
      <w:numFmt w:val="lowerLetter"/>
      <w:start w:val="1"/>
    </w:lvl>
  </w:abstractNum>
  <w:abstractNum w:abstractNumId="104">
    <w:nsid w:val="754342"/>
    <w:multiLevelType w:val="hybridMultilevel"/>
    <w:lvl w:ilvl="0">
      <w:lvlJc w:val="left"/>
      <w:lvlText w:val="(%1)"/>
      <w:numFmt w:val="lowerRoman"/>
      <w:start w:val="2"/>
    </w:lvl>
  </w:abstractNum>
  <w:abstractNum w:abstractNumId="105">
    <w:nsid w:val="69E7F3E5"/>
    <w:multiLevelType w:val="hybridMultilevel"/>
    <w:lvl w:ilvl="0">
      <w:lvlJc w:val="left"/>
      <w:lvlText w:val="(%1)"/>
      <w:numFmt w:val="upperLetter"/>
      <w:start w:val="1"/>
    </w:lvl>
  </w:abstractNum>
  <w:abstractNum w:abstractNumId="106">
    <w:nsid w:val="2A6DE806"/>
    <w:multiLevelType w:val="hybridMultilevel"/>
    <w:lvl w:ilvl="0">
      <w:lvlJc w:val="left"/>
      <w:lvlText w:val="%1."/>
      <w:numFmt w:val="decimal"/>
      <w:start w:val="5"/>
    </w:lvl>
  </w:abstractNum>
  <w:abstractNum w:abstractNumId="107">
    <w:nsid w:val="1816F8C4"/>
    <w:multiLevelType w:val="hybridMultilevel"/>
    <w:lvl w:ilvl="0">
      <w:lvlJc w:val="left"/>
      <w:lvlText w:val="%1."/>
      <w:numFmt w:val="decimal"/>
      <w:start w:val="6"/>
    </w:lvl>
  </w:abstractNum>
  <w:abstractNum w:abstractNumId="108">
    <w:nsid w:val="37DF2233"/>
    <w:multiLevelType w:val="hybridMultilevel"/>
    <w:lvl w:ilvl="0">
      <w:lvlJc w:val="left"/>
      <w:lvlText w:val="%1."/>
      <w:numFmt w:val="decimal"/>
      <w:start w:val="7"/>
    </w:lvl>
  </w:abstractNum>
  <w:abstractNum w:abstractNumId="109">
    <w:nsid w:val="7AB49DAF"/>
    <w:multiLevelType w:val="hybridMultilevel"/>
    <w:lvl w:ilvl="0">
      <w:lvlJc w:val="left"/>
      <w:lvlText w:val="(%1)"/>
      <w:numFmt w:val="lowerRoman"/>
      <w:start w:val="1"/>
    </w:lvl>
  </w:abstractNum>
  <w:abstractNum w:abstractNumId="110">
    <w:nsid w:val="759F82CD"/>
    <w:multiLevelType w:val="hybridMultilevel"/>
    <w:lvl w:ilvl="0">
      <w:lvlJc w:val="left"/>
      <w:lvlText w:val="%1"/>
      <w:numFmt w:val="decimal"/>
      <w:start w:val="1"/>
    </w:lvl>
    <w:lvl w:ilvl="1">
      <w:lvlJc w:val="left"/>
      <w:lvlText w:val="(%2)"/>
      <w:numFmt w:val="lowerLetter"/>
      <w:start w:val="9"/>
    </w:lvl>
  </w:abstractNum>
  <w:abstractNum w:abstractNumId="111">
    <w:nsid w:val="61E74EA3"/>
    <w:multiLevelType w:val="hybridMultilevel"/>
    <w:lvl w:ilvl="0">
      <w:lvlJc w:val="left"/>
      <w:lvlText w:val="%1."/>
      <w:numFmt w:val="decimal"/>
      <w:start w:val="8"/>
    </w:lvl>
    <w:lvl w:ilvl="1">
      <w:lvlJc w:val="left"/>
      <w:lvlText w:val="%2"/>
      <w:numFmt w:val="lowerLetter"/>
      <w:start w:val="1"/>
    </w:lvl>
  </w:abstractNum>
  <w:abstractNum w:abstractNumId="112">
    <w:nsid w:val="597B4D8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3">
    <w:nsid w:val="F819E7F"/>
    <w:multiLevelType w:val="hybridMultilevel"/>
    <w:lvl w:ilvl="0">
      <w:lvlJc w:val="left"/>
      <w:lvlText w:val="(%1)"/>
      <w:numFmt w:val="lowerLetter"/>
      <w:start w:val="3"/>
    </w:lvl>
  </w:abstractNum>
  <w:abstractNum w:abstractNumId="114">
    <w:nsid w:val="57C7D42D"/>
    <w:multiLevelType w:val="hybridMultilevel"/>
    <w:lvl w:ilvl="0">
      <w:lvlJc w:val="left"/>
      <w:lvlText w:val="(%1)"/>
      <w:numFmt w:val="lowerRoman"/>
      <w:start w:val="2"/>
    </w:lvl>
  </w:abstractNum>
  <w:abstractNum w:abstractNumId="115">
    <w:nsid w:val="312167AD"/>
    <w:multiLevelType w:val="hybridMultilevel"/>
    <w:lvl w:ilvl="0">
      <w:lvlJc w:val="left"/>
      <w:lvlText w:val="(%1)"/>
      <w:numFmt w:val="lowerLetter"/>
      <w:start w:val="5"/>
    </w:lvl>
    <w:lvl w:ilvl="1">
      <w:lvlJc w:val="left"/>
      <w:lvlText w:val="(%2)"/>
      <w:numFmt w:val="lowerRoman"/>
      <w:start w:val="2"/>
    </w:lvl>
  </w:abstractNum>
  <w:abstractNum w:abstractNumId="116">
    <w:nsid w:val="631B64D4"/>
    <w:multiLevelType w:val="hybridMultilevel"/>
    <w:lvl w:ilvl="0">
      <w:lvlJc w:val="left"/>
      <w:lvlText w:val="%1"/>
      <w:numFmt w:val="decimal"/>
      <w:start w:val="1"/>
    </w:lvl>
    <w:lvl w:ilvl="1">
      <w:lvlJc w:val="left"/>
      <w:lvlText w:val="(%2)"/>
      <w:numFmt w:val="lowerRoman"/>
      <w:start w:val="3"/>
    </w:lvl>
  </w:abstractNum>
  <w:abstractNum w:abstractNumId="117">
    <w:nsid w:val="78B5E776"/>
    <w:multiLevelType w:val="hybridMultilevel"/>
    <w:lvl w:ilvl="0">
      <w:lvlJc w:val="left"/>
      <w:lvlText w:val="%1."/>
      <w:numFmt w:val="decimal"/>
      <w:start w:val="2"/>
    </w:lvl>
    <w:lvl w:ilvl="1">
      <w:lvlJc w:val="left"/>
      <w:lvlText w:val="%2"/>
      <w:numFmt w:val="lowerRoman"/>
      <w:start w:val="1"/>
    </w:lvl>
  </w:abstractNum>
  <w:abstractNum w:abstractNumId="118">
    <w:nsid w:val="75486E47"/>
    <w:multiLevelType w:val="hybridMultilevel"/>
    <w:lvl w:ilvl="0">
      <w:lvlJc w:val="left"/>
      <w:lvlText w:val="(%1)"/>
      <w:numFmt w:val="lowerLetter"/>
      <w:start w:val="1"/>
    </w:lvl>
  </w:abstractNum>
  <w:abstractNum w:abstractNumId="119">
    <w:nsid w:val="6E534CDE"/>
    <w:multiLevelType w:val="hybridMultilevel"/>
    <w:lvl w:ilvl="0">
      <w:lvlJc w:val="left"/>
      <w:lvlText w:val="%1."/>
      <w:numFmt w:val="decimal"/>
      <w:start w:val="8"/>
    </w:lvl>
    <w:lvl w:ilvl="1">
      <w:lvlJc w:val="left"/>
      <w:lvlText w:val="(%2)"/>
      <w:numFmt w:val="lowerLetter"/>
      <w:start w:val="1"/>
    </w:lvl>
  </w:abstractNum>
  <w:abstractNum w:abstractNumId="120">
    <w:nsid w:val="1A0DDE32"/>
    <w:multiLevelType w:val="hybridMultilevel"/>
    <w:lvl w:ilvl="0">
      <w:lvlJc w:val="left"/>
      <w:lvlText w:val="(%1)"/>
      <w:numFmt w:val="lowerLetter"/>
      <w:start w:val="1"/>
    </w:lvl>
  </w:abstractNum>
  <w:abstractNum w:abstractNumId="121">
    <w:nsid w:val="65968C1C"/>
    <w:multiLevelType w:val="hybridMultilevel"/>
    <w:lvl w:ilvl="0">
      <w:lvlJc w:val="left"/>
      <w:lvlText w:val="(%1)"/>
      <w:numFmt w:val="lowerLetter"/>
      <w:start w:val="24"/>
    </w:lvl>
    <w:lvl w:ilvl="1">
      <w:lvlJc w:val="left"/>
      <w:lvlText w:val="(%2)"/>
      <w:numFmt w:val="lowerLetter"/>
      <w:start w:val="3"/>
    </w:lvl>
  </w:abstractNum>
  <w:abstractNum w:abstractNumId="122">
    <w:nsid w:val="46263DEC"/>
    <w:multiLevelType w:val="hybridMultilevel"/>
    <w:lvl w:ilvl="0">
      <w:lvlJc w:val="left"/>
      <w:lvlText w:val="(%1)"/>
      <w:numFmt w:val="lowerLetter"/>
      <w:start w:val="4"/>
    </w:lvl>
  </w:abstractNum>
  <w:abstractNum w:abstractNumId="123">
    <w:nsid w:val="260D8C4A"/>
    <w:multiLevelType w:val="hybridMultilevel"/>
    <w:lvl w:ilvl="0">
      <w:lvlJc w:val="left"/>
      <w:lvlText w:val="(%1)"/>
      <w:numFmt w:val="lowerLetter"/>
      <w:start w:val="8"/>
    </w:lvl>
  </w:abstractNum>
  <w:abstractNum w:abstractNumId="124">
    <w:nsid w:val="73D4D3C4"/>
    <w:multiLevelType w:val="hybridMultilevel"/>
    <w:lvl w:ilvl="0">
      <w:lvlJc w:val="left"/>
      <w:lvlText w:val="%1."/>
      <w:numFmt w:val="decimal"/>
      <w:start w:val="1"/>
    </w:lvl>
    <w:lvl w:ilvl="1">
      <w:lvlJc w:val="left"/>
      <w:lvlText w:val="(%2)"/>
      <w:numFmt w:val="lowerLetter"/>
      <w:start w:val="1"/>
    </w:lvl>
  </w:abstractNum>
  <w:abstractNum w:abstractNumId="125">
    <w:nsid w:val="746F2E30"/>
    <w:multiLevelType w:val="hybridMultilevel"/>
    <w:lvl w:ilvl="0">
      <w:lvlJc w:val="left"/>
      <w:lvlText w:val="%1"/>
      <w:numFmt w:val="decimal"/>
      <w:start w:val="1"/>
    </w:lvl>
    <w:lvl w:ilvl="1">
      <w:lvlJc w:val="left"/>
      <w:lvlText w:val="(%2)"/>
      <w:numFmt w:val="lowerLetter"/>
      <w:start w:val="4"/>
    </w:lvl>
  </w:abstractNum>
  <w:abstractNum w:abstractNumId="126">
    <w:nsid w:val="6FDE8AF6"/>
    <w:multiLevelType w:val="hybridMultilevel"/>
    <w:lvl w:ilvl="0">
      <w:lvlJc w:val="left"/>
      <w:lvlText w:val="%1."/>
      <w:numFmt w:val="decimal"/>
      <w:start w:val="2"/>
    </w:lvl>
    <w:lvl w:ilvl="1">
      <w:lvlJc w:val="left"/>
      <w:lvlText w:val="(%2)"/>
      <w:numFmt w:val="lowerLetter"/>
      <w:start w:val="1"/>
    </w:lvl>
  </w:abstractNum>
  <w:abstractNum w:abstractNumId="127">
    <w:nsid w:val="3FC32E20"/>
    <w:multiLevelType w:val="hybridMultilevel"/>
    <w:lvl w:ilvl="0">
      <w:lvlJc w:val="left"/>
      <w:lvlText w:val="(%1)"/>
      <w:numFmt w:val="lowerRoman"/>
      <w:start w:val="2"/>
    </w:lvl>
  </w:abstractNum>
  <w:abstractNum w:abstractNumId="128">
    <w:nsid w:val="49C0E823"/>
    <w:multiLevelType w:val="hybridMultilevel"/>
    <w:lvl w:ilvl="0">
      <w:lvlJc w:val="left"/>
      <w:lvlText w:val="(%1)"/>
      <w:numFmt w:val="lowerLetter"/>
      <w:start w:val="4"/>
    </w:lvl>
  </w:abstractNum>
  <w:abstractNum w:abstractNumId="129">
    <w:nsid w:val="14D53685"/>
    <w:multiLevelType w:val="hybridMultilevel"/>
    <w:lvl w:ilvl="0">
      <w:lvlJc w:val="left"/>
      <w:lvlText w:val="%1"/>
      <w:numFmt w:val="decimal"/>
      <w:start w:val="1"/>
    </w:lvl>
    <w:lvl w:ilvl="1">
      <w:lvlJc w:val="left"/>
      <w:lvlText w:val="(%2)"/>
      <w:numFmt w:val="lowerRoman"/>
      <w:start w:val="2"/>
    </w:lvl>
  </w:abstractNum>
  <w:abstractNum w:abstractNumId="130">
    <w:nsid w:val="230F856C"/>
    <w:multiLevelType w:val="hybridMultilevel"/>
    <w:lvl w:ilvl="0">
      <w:lvlJc w:val="left"/>
      <w:lvlText w:val="%1."/>
      <w:numFmt w:val="decimal"/>
      <w:start w:val="3"/>
    </w:lvl>
    <w:lvl w:ilvl="1">
      <w:lvlJc w:val="left"/>
      <w:lvlText w:val="%2"/>
      <w:numFmt w:val="lowerRoman"/>
      <w:start w:val="1"/>
    </w:lvl>
  </w:abstractNum>
  <w:abstractNum w:abstractNumId="131">
    <w:nsid w:val="6EAA85FB"/>
    <w:multiLevelType w:val="hybridMultilevel"/>
    <w:lvl w:ilvl="0">
      <w:lvlJc w:val="left"/>
      <w:lvlText w:val="%1."/>
      <w:numFmt w:val="decimal"/>
      <w:start w:val="4"/>
    </w:lvl>
  </w:abstractNum>
  <w:abstractNum w:abstractNumId="132">
    <w:nsid w:val="3F06ECB2"/>
    <w:multiLevelType w:val="hybridMultilevel"/>
    <w:lvl w:ilvl="0">
      <w:lvlJc w:val="left"/>
      <w:lvlText w:val="%1."/>
      <w:numFmt w:val="decimal"/>
      <w:start w:val="5"/>
    </w:lvl>
  </w:abstractNum>
  <w:abstractNum w:abstractNumId="133">
    <w:nsid w:val="3B594807"/>
    <w:multiLevelType w:val="hybridMultilevel"/>
    <w:lvl w:ilvl="0">
      <w:lvlJc w:val="left"/>
      <w:lvlText w:val="%1."/>
      <w:numFmt w:val="decimal"/>
      <w:start w:val="6"/>
    </w:lvl>
  </w:abstractNum>
  <w:abstractNum w:abstractNumId="134">
    <w:nsid w:val="6CAA2304"/>
    <w:multiLevelType w:val="hybridMultilevel"/>
    <w:lvl w:ilvl="0">
      <w:lvlJc w:val="left"/>
      <w:lvlText w:val="%1."/>
      <w:numFmt w:val="decimal"/>
      <w:start w:val="7"/>
    </w:lvl>
  </w:abstractNum>
  <w:abstractNum w:abstractNumId="135">
    <w:nsid w:val="3F7C2FF4"/>
    <w:multiLevelType w:val="hybridMultilevel"/>
    <w:lvl w:ilvl="0">
      <w:lvlJc w:val="left"/>
      <w:lvlText w:val="(%1)"/>
      <w:numFmt w:val="lowerRoman"/>
      <w:start w:val="2"/>
    </w:lvl>
  </w:abstractNum>
  <w:abstractNum w:abstractNumId="136">
    <w:nsid w:val="25413BEC"/>
    <w:multiLevelType w:val="hybridMultilevel"/>
    <w:lvl w:ilvl="0">
      <w:lvlJc w:val="left"/>
      <w:lvlText w:val="%1."/>
      <w:numFmt w:val="decimal"/>
      <w:start w:val="8"/>
    </w:lvl>
  </w:abstractNum>
  <w:abstractNum w:abstractNumId="137">
    <w:nsid w:val="17180B0B"/>
    <w:multiLevelType w:val="hybridMultilevel"/>
    <w:lvl w:ilvl="0">
      <w:lvlJc w:val="left"/>
      <w:lvlText w:val="%1."/>
      <w:numFmt w:val="decimal"/>
      <w:start w:val="9"/>
    </w:lvl>
  </w:abstractNum>
  <w:abstractNum w:abstractNumId="138">
    <w:nsid w:val="579328B9"/>
    <w:multiLevelType w:val="hybridMultilevel"/>
    <w:lvl w:ilvl="0">
      <w:lvlJc w:val="left"/>
      <w:lvlText w:val="%1."/>
      <w:numFmt w:val="decimal"/>
      <w:start w:val="10"/>
    </w:lvl>
    <w:lvl w:ilvl="1">
      <w:lvlJc w:val="left"/>
      <w:lvlText w:val="(%2)"/>
      <w:numFmt w:val="lowerLetter"/>
      <w:start w:val="1"/>
    </w:lvl>
  </w:abstractNum>
  <w:abstractNum w:abstractNumId="139">
    <w:nsid w:val="5D205E20"/>
    <w:multiLevelType w:val="hybridMultilevel"/>
    <w:lvl w:ilvl="0">
      <w:lvlJc w:val="left"/>
      <w:lvlText w:val="%1"/>
      <w:numFmt w:val="decimal"/>
      <w:start w:val="1"/>
    </w:lvl>
    <w:lvl w:ilvl="1">
      <w:lvlJc w:val="left"/>
      <w:lvlText w:val="(%2)"/>
      <w:numFmt w:val="lowerLetter"/>
      <w:start w:val="4"/>
    </w:lvl>
  </w:abstractNum>
  <w:abstractNum w:abstractNumId="140">
    <w:nsid w:val="11CCA8BA"/>
    <w:multiLevelType w:val="hybridMultilevel"/>
    <w:lvl w:ilvl="0">
      <w:lvlJc w:val="left"/>
      <w:lvlText w:val="%1."/>
      <w:numFmt w:val="decimal"/>
      <w:start w:val="11"/>
    </w:lvl>
    <w:lvl w:ilvl="1">
      <w:lvlJc w:val="left"/>
      <w:lvlText w:val="%2"/>
      <w:numFmt w:val="lowerLetter"/>
      <w:start w:val="1"/>
    </w:lvl>
  </w:abstractNum>
  <w:abstractNum w:abstractNumId="141">
    <w:nsid w:val="4D32AB86"/>
    <w:multiLevelType w:val="hybridMultilevel"/>
    <w:lvl w:ilvl="0">
      <w:lvlJc w:val="left"/>
      <w:lvlText w:val="%1."/>
      <w:numFmt w:val="decimal"/>
      <w:start w:val="12"/>
    </w:lvl>
  </w:abstractNum>
  <w:abstractNum w:abstractNumId="142">
    <w:nsid w:val="3F07ACC3"/>
    <w:multiLevelType w:val="hybridMultilevel"/>
    <w:lvl w:ilvl="0">
      <w:lvlJc w:val="left"/>
      <w:lvlText w:val="%1."/>
      <w:numFmt w:val="decimal"/>
      <w:start w:val="13"/>
    </w:lvl>
  </w:abstractNum>
  <w:abstractNum w:abstractNumId="143">
    <w:nsid w:val="6B47F63E"/>
    <w:multiLevelType w:val="hybridMultilevel"/>
    <w:lvl w:ilvl="0">
      <w:lvlJc w:val="left"/>
      <w:lvlText w:val="%1."/>
      <w:numFmt w:val="decimal"/>
      <w:start w:val="14"/>
    </w:lvl>
  </w:abstractNum>
  <w:abstractNum w:abstractNumId="144">
    <w:nsid w:val="5CB44A05"/>
    <w:multiLevelType w:val="hybridMultilevel"/>
    <w:lvl w:ilvl="0">
      <w:lvlJc w:val="left"/>
      <w:lvlText w:val="%1."/>
      <w:numFmt w:val="decimal"/>
      <w:start w:val="15"/>
    </w:lvl>
  </w:abstractNum>
  <w:abstractNum w:abstractNumId="145">
    <w:nsid w:val="16CF80F1"/>
    <w:multiLevelType w:val="hybridMultilevel"/>
    <w:lvl w:ilvl="0">
      <w:lvlJc w:val="left"/>
      <w:lvlText w:val="%1."/>
      <w:numFmt w:val="decimal"/>
      <w:start w:val="16"/>
    </w:lvl>
  </w:abstractNum>
  <w:abstractNum w:abstractNumId="146">
    <w:nsid w:val="1C695DEC"/>
    <w:multiLevelType w:val="hybridMultilevel"/>
    <w:lvl w:ilvl="0">
      <w:lvlJc w:val="left"/>
      <w:lvlText w:val="%1."/>
      <w:numFmt w:val="decimal"/>
      <w:start w:val="17"/>
    </w:lvl>
  </w:abstractNum>
  <w:abstractNum w:abstractNumId="147">
    <w:nsid w:val="3FCFAED9"/>
    <w:multiLevelType w:val="hybridMultilevel"/>
    <w:lvl w:ilvl="0">
      <w:lvlJc w:val="left"/>
      <w:lvlText w:val="(%1)"/>
      <w:numFmt w:val="lowerLetter"/>
      <w:start w:val="1"/>
    </w:lvl>
  </w:abstractNum>
  <w:abstractNum w:abstractNumId="148">
    <w:nsid w:val="F856867"/>
    <w:multiLevelType w:val="hybridMultilevel"/>
    <w:lvl w:ilvl="0">
      <w:lvlJc w:val="left"/>
      <w:lvlText w:val="(%1)"/>
      <w:numFmt w:val="lowerLetter"/>
      <w:start w:val="3"/>
    </w:lvl>
  </w:abstractNum>
  <w:abstractNum w:abstractNumId="149">
    <w:nsid w:val="11B1CC33"/>
    <w:multiLevelType w:val="hybridMultilevel"/>
    <w:lvl w:ilvl="0">
      <w:lvlJc w:val="left"/>
      <w:lvlText w:val="(%1)"/>
      <w:numFmt w:val="lowerLetter"/>
      <w:start w:val="5"/>
    </w:lvl>
  </w:abstractNum>
  <w:abstractNum w:abstractNumId="150">
    <w:nsid w:val="2E22FBB7"/>
    <w:multiLevelType w:val="hybridMultilevel"/>
    <w:lvl w:ilvl="0">
      <w:lvlJc w:val="left"/>
      <w:lvlText w:val="(%1)"/>
      <w:numFmt w:val="lowerLetter"/>
      <w:start w:val="8"/>
    </w:lvl>
  </w:abstractNum>
  <w:abstractNum w:abstractNumId="151">
    <w:nsid w:val="29934699"/>
    <w:multiLevelType w:val="hybridMultilevel"/>
    <w:lvl w:ilvl="0">
      <w:lvlJc w:val="left"/>
      <w:lvlText w:val="%1."/>
      <w:numFmt w:val="decimal"/>
      <w:start w:val="1"/>
    </w:lvl>
    <w:lvl w:ilvl="1">
      <w:lvlJc w:val="left"/>
      <w:lvlText w:val="(%2)"/>
      <w:numFmt w:val="lowerLetter"/>
      <w:start w:val="1"/>
    </w:lvl>
  </w:abstractNum>
  <w:abstractNum w:abstractNumId="152">
    <w:nsid w:val="77485850"/>
    <w:multiLevelType w:val="hybridMultilevel"/>
    <w:lvl w:ilvl="0">
      <w:lvlJc w:val="left"/>
      <w:lvlText w:val="%1"/>
      <w:numFmt w:val="lowerLetter"/>
      <w:start w:val="1"/>
    </w:lvl>
    <w:lvl w:ilvl="1">
      <w:lvlJc w:val="left"/>
      <w:lvlText w:val="(%2)"/>
      <w:numFmt w:val="lowerLetter"/>
      <w:start w:val="35"/>
    </w:lvl>
  </w:abstractNum>
  <w:abstractNum w:abstractNumId="153">
    <w:nsid w:val="744939A3"/>
    <w:multiLevelType w:val="hybridMultilevel"/>
    <w:lvl w:ilvl="0">
      <w:lvlJc w:val="left"/>
      <w:lvlText w:val="(%1)"/>
      <w:numFmt w:val="lowerLetter"/>
      <w:start w:val="5"/>
    </w:lvl>
    <w:lvl w:ilvl="1">
      <w:lvlJc w:val="left"/>
      <w:lvlText w:val="(%2)"/>
      <w:numFmt w:val="lowerLetter"/>
      <w:start w:val="35"/>
    </w:lvl>
  </w:abstractNum>
  <w:abstractNum w:abstractNumId="154">
    <w:nsid w:val="4FA0D2E3"/>
    <w:multiLevelType w:val="hybridMultilevel"/>
    <w:lvl w:ilvl="0">
      <w:lvlJc w:val="left"/>
      <w:lvlText w:val="%1."/>
      <w:numFmt w:val="decimal"/>
      <w:start w:val="2"/>
    </w:lvl>
  </w:abstractNum>
  <w:abstractNum w:abstractNumId="155">
    <w:nsid w:val="6B1D2C14"/>
    <w:multiLevelType w:val="hybridMultilevel"/>
    <w:lvl w:ilvl="0">
      <w:lvlJc w:val="left"/>
      <w:lvlText w:val="%1."/>
      <w:numFmt w:val="decimal"/>
      <w:start w:val="3"/>
    </w:lvl>
  </w:abstractNum>
  <w:abstractNum w:abstractNumId="156">
    <w:nsid w:val="68B867D3"/>
    <w:multiLevelType w:val="hybridMultilevel"/>
    <w:lvl w:ilvl="0">
      <w:lvlJc w:val="left"/>
      <w:lvlText w:val="%1."/>
      <w:numFmt w:val="decimal"/>
      <w:start w:val="4"/>
    </w:lvl>
  </w:abstractNum>
  <w:abstractNum w:abstractNumId="157">
    <w:nsid w:val="3F7F5DD9"/>
    <w:multiLevelType w:val="hybridMultilevel"/>
    <w:lvl w:ilvl="0">
      <w:lvlJc w:val="left"/>
      <w:lvlText w:val="%1."/>
      <w:numFmt w:val="decimal"/>
      <w:start w:val="5"/>
    </w:lvl>
  </w:abstractNum>
  <w:abstractNum w:abstractNumId="158">
    <w:nsid w:val="2AE05A34"/>
    <w:multiLevelType w:val="hybridMultilevel"/>
    <w:lvl w:ilvl="0">
      <w:lvlJc w:val="left"/>
      <w:lvlText w:val="%1."/>
      <w:numFmt w:val="decimal"/>
      <w:start w:val="6"/>
    </w:lvl>
  </w:abstractNum>
  <w:abstractNum w:abstractNumId="159">
    <w:nsid w:val="32794FF7"/>
    <w:multiLevelType w:val="hybridMultilevel"/>
    <w:lvl w:ilvl="0">
      <w:lvlJc w:val="left"/>
      <w:lvlText w:val="%1."/>
      <w:numFmt w:val="decimal"/>
      <w:start w:val="7"/>
    </w:lvl>
  </w:abstractNum>
  <w:abstractNum w:abstractNumId="160">
    <w:nsid w:val="5454945E"/>
    <w:multiLevelType w:val="hybridMultilevel"/>
    <w:lvl w:ilvl="0">
      <w:lvlJc w:val="left"/>
      <w:lvlText w:val="%1."/>
      <w:numFmt w:val="decimal"/>
      <w:start w:val="8"/>
    </w:lvl>
    <w:lvl w:ilvl="1">
      <w:lvlJc w:val="left"/>
      <w:lvlText w:val="(%2)"/>
      <w:numFmt w:val="lowerLetter"/>
      <w:start w:val="1"/>
    </w:lvl>
  </w:abstractNum>
  <w:abstractNum w:abstractNumId="161">
    <w:nsid w:val="4DEFDFA0"/>
    <w:multiLevelType w:val="hybridMultilevel"/>
    <w:lvl w:ilvl="0">
      <w:lvlJc w:val="left"/>
      <w:lvlText w:val="%1"/>
      <w:numFmt w:val="decimal"/>
      <w:start w:val="1"/>
    </w:lvl>
    <w:lvl w:ilvl="1">
      <w:lvlJc w:val="left"/>
      <w:lvlText w:val="(%2)"/>
      <w:numFmt w:val="lowerLetter"/>
      <w:start w:val="4"/>
    </w:lvl>
  </w:abstractNum>
  <w:abstractNum w:abstractNumId="162">
    <w:nsid w:val="2123D5F2"/>
    <w:multiLevelType w:val="hybridMultilevel"/>
    <w:lvl w:ilvl="0">
      <w:lvlJc w:val="left"/>
      <w:lvlText w:val="%1."/>
      <w:numFmt w:val="decimal"/>
      <w:start w:val="9"/>
    </w:lvl>
    <w:lvl w:ilvl="1">
      <w:lvlJc w:val="left"/>
      <w:lvlText w:val="%2"/>
      <w:numFmt w:val="lowerLetter"/>
      <w:start w:val="1"/>
    </w:lvl>
  </w:abstractNum>
  <w:abstractNum w:abstractNumId="163">
    <w:nsid w:val="135B8110"/>
    <w:multiLevelType w:val="hybridMultilevel"/>
    <w:lvl w:ilvl="0">
      <w:lvlJc w:val="left"/>
      <w:lvlText w:val="%1."/>
      <w:numFmt w:val="decimal"/>
      <w:start w:val="10"/>
    </w:lvl>
  </w:abstractNum>
  <w:abstractNum w:abstractNumId="164">
    <w:nsid w:val="94927A8"/>
    <w:multiLevelType w:val="hybridMultilevel"/>
    <w:lvl w:ilvl="0">
      <w:lvlJc w:val="left"/>
      <w:lvlText w:val="%1."/>
      <w:numFmt w:val="decimal"/>
      <w:start w:val="11"/>
    </w:lvl>
  </w:abstractNum>
  <w:abstractNum w:abstractNumId="165">
    <w:nsid w:val="DCDF8F6"/>
    <w:multiLevelType w:val="hybridMultilevel"/>
    <w:lvl w:ilvl="0">
      <w:lvlJc w:val="left"/>
      <w:lvlText w:val="%1."/>
      <w:numFmt w:val="decimal"/>
      <w:start w:val="12"/>
    </w:lvl>
  </w:abstractNum>
  <w:abstractNum w:abstractNumId="166">
    <w:nsid w:val="52D7B105"/>
    <w:multiLevelType w:val="hybridMultilevel"/>
    <w:lvl w:ilvl="0">
      <w:lvlJc w:val="left"/>
      <w:lvlText w:val="%1."/>
      <w:numFmt w:val="decimal"/>
      <w:start w:val="13"/>
    </w:lvl>
  </w:abstractNum>
  <w:abstractNum w:abstractNumId="167">
    <w:nsid w:val="2E8A6394"/>
    <w:multiLevelType w:val="hybridMultilevel"/>
    <w:lvl w:ilvl="0">
      <w:lvlJc w:val="left"/>
      <w:lvlText w:val="%1."/>
      <w:numFmt w:val="decimal"/>
      <w:start w:val="14"/>
    </w:lvl>
  </w:abstractNum>
  <w:abstractNum w:abstractNumId="168">
    <w:nsid w:val="24E60401"/>
    <w:multiLevelType w:val="hybridMultilevel"/>
    <w:lvl w:ilvl="0">
      <w:lvlJc w:val="left"/>
      <w:lvlText w:val="%1."/>
      <w:numFmt w:val="decimal"/>
      <w:start w:val="15"/>
    </w:lvl>
  </w:abstractNum>
  <w:abstractNum w:abstractNumId="169">
    <w:nsid w:val="2A6AD9BE"/>
    <w:multiLevelType w:val="hybridMultilevel"/>
    <w:lvl w:ilvl="0">
      <w:lvlJc w:val="left"/>
      <w:lvlText w:val="(%1)"/>
      <w:numFmt w:val="lowerLetter"/>
      <w:start w:val="1"/>
    </w:lvl>
  </w:abstractNum>
  <w:abstractNum w:abstractNumId="170">
    <w:nsid w:val="BAAC1B4"/>
    <w:multiLevelType w:val="hybridMultilevel"/>
    <w:lvl w:ilvl="0">
      <w:lvlJc w:val="left"/>
      <w:lvlText w:val="(%1)"/>
      <w:numFmt w:val="lowerLetter"/>
      <w:start w:val="24"/>
    </w:lvl>
    <w:lvl w:ilvl="1">
      <w:lvlJc w:val="left"/>
      <w:lvlText w:val="(%2)"/>
      <w:numFmt w:val="lowerLetter"/>
      <w:start w:val="3"/>
    </w:lvl>
  </w:abstractNum>
  <w:abstractNum w:abstractNumId="171">
    <w:nsid w:val="36B2ACBC"/>
    <w:multiLevelType w:val="hybridMultilevel"/>
    <w:lvl w:ilvl="0">
      <w:lvlJc w:val="left"/>
      <w:lvlText w:val="(%1)"/>
      <w:numFmt w:val="lowerLetter"/>
      <w:start w:val="4"/>
    </w:lvl>
  </w:abstractNum>
  <w:abstractNum w:abstractNumId="172">
    <w:nsid w:val="779D8544"/>
    <w:multiLevelType w:val="hybridMultilevel"/>
    <w:lvl w:ilvl="0">
      <w:lvlJc w:val="left"/>
      <w:lvlText w:val="(%1)"/>
      <w:numFmt w:val="lowerLetter"/>
      <w:start w:val="8"/>
    </w:lvl>
  </w:abstractNum>
  <w:abstractNum w:abstractNumId="173">
    <w:nsid w:val="4AB26E78"/>
    <w:multiLevelType w:val="hybridMultilevel"/>
    <w:lvl w:ilvl="0">
      <w:lvlJc w:val="left"/>
      <w:lvlText w:val="(%1)"/>
      <w:numFmt w:val="lowerLetter"/>
      <w:start w:val="1"/>
    </w:lvl>
    <w:lvl w:ilvl="1">
      <w:lvlJc w:val="left"/>
      <w:lvlText w:val="•"/>
      <w:numFmt w:val="bullet"/>
      <w:start w:val="1"/>
    </w:lvl>
  </w:abstractNum>
  <w:abstractNum w:abstractNumId="174">
    <w:nsid w:val="21FAA2FA"/>
    <w:multiLevelType w:val="hybridMultilevel"/>
    <w:lvl w:ilvl="0">
      <w:lvlJc w:val="left"/>
      <w:lvlText w:val="(%1)"/>
      <w:numFmt w:val="lowerLetter"/>
      <w:start w:val="7"/>
    </w:lvl>
  </w:abstractNum>
  <w:abstractNum w:abstractNumId="175">
    <w:nsid w:val="5451CF49"/>
    <w:multiLevelType w:val="hybridMultilevel"/>
    <w:lvl w:ilvl="0">
      <w:lvlJc w:val="left"/>
      <w:lvlText w:val="%1."/>
      <w:numFmt w:val="decimal"/>
      <w:start w:val="1"/>
    </w:lvl>
    <w:lvl w:ilvl="1">
      <w:lvlJc w:val="left"/>
      <w:lvlText w:val="(%2)"/>
      <w:numFmt w:val="lowerLetter"/>
      <w:start w:val="1"/>
    </w:lvl>
  </w:abstractNum>
  <w:abstractNum w:abstractNumId="176">
    <w:nsid w:val="6181EF6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2019-12-07T09:06:57Z</dcterms:created>
  <dcterms:modified xsi:type="dcterms:W3CDTF">2019-12-07T09:06:57Z</dcterms:modified>
</cp:coreProperties>
</file>