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80" w:type="dxa"/>
        <w:tblCellMar>
          <w:top w:w="0" w:type="dxa"/>
          <w:left w:w="0" w:type="dxa"/>
          <w:bottom w:w="0" w:type="dxa"/>
          <w:right w:w="0" w:type="dxa"/>
        </w:tblCellMar>
      </w:tblPr>
      <w:tr>
        <w:trPr>
          <w:trHeight w:val="204"/>
        </w:trPr>
        <w:tc>
          <w:tcPr>
            <w:tcW w:w="2320" w:type="dxa"/>
            <w:vAlign w:val="bottom"/>
          </w:tcPr>
          <w:p>
            <w:pPr>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line="204" w:lineRule="exact"/>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76"/>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70"/>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ind w:right="120" w:firstLine="342"/>
        <w:spacing w:after="0" w:line="268" w:lineRule="auto"/>
        <w:rPr>
          <w:sz w:val="20"/>
          <w:szCs w:val="20"/>
          <w:color w:val="auto"/>
        </w:rPr>
      </w:pPr>
      <w:r>
        <w:rPr>
          <w:rFonts w:ascii="Arial" w:cs="Arial" w:eastAsia="Arial" w:hAnsi="Arial"/>
          <w:sz w:val="18"/>
          <w:szCs w:val="18"/>
          <w:color w:val="auto"/>
        </w:rPr>
        <w:t>As of July 18, 2014,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June 30, 2014 of all of the common membership interests in Lazard Group. Lazard Ltd controls Lazard Group through two of its indirect wholly-owned subsidiaries who are co-managing members of Lazard Group.</w:t>
      </w:r>
    </w:p>
    <w:p>
      <w:pPr>
        <w:spacing w:after="0" w:line="14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9">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40" w:type="dxa"/>
            <w:vAlign w:val="bottom"/>
            <w:gridSpan w:val="3"/>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June 30, 2014 and December 31, 2013</w:t>
              </w:r>
            </w:hyperlink>
          </w:p>
        </w:tc>
        <w:tc>
          <w:tcPr>
            <w:tcW w:w="3700" w:type="dxa"/>
            <w:vAlign w:val="bottom"/>
            <w:gridSpan w:val="5"/>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340" w:type="dxa"/>
            <w:vAlign w:val="bottom"/>
            <w:tcBorders>
              <w:bottom w:val="single" w:sz="8" w:color="0000EE"/>
            </w:tcBorders>
            <w:gridSpan w:val="3"/>
            <w:vMerge w:val="continue"/>
          </w:tcPr>
          <w:p>
            <w:pPr>
              <w:spacing w:after="0"/>
              <w:rPr>
                <w:sz w:val="13"/>
                <w:szCs w:val="13"/>
                <w:color w:val="auto"/>
              </w:rPr>
            </w:pPr>
          </w:p>
        </w:tc>
        <w:tc>
          <w:tcPr>
            <w:tcW w:w="3700" w:type="dxa"/>
            <w:vAlign w:val="bottom"/>
            <w:gridSpan w:val="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880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six month periods ended June 30, 2014 and 2013</w:t>
              </w:r>
            </w:hyperlink>
          </w:p>
        </w:tc>
        <w:tc>
          <w:tcPr>
            <w:tcW w:w="22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96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six month periods ended June 30, 2014 and 2013</w:t>
              </w:r>
            </w:hyperlink>
          </w:p>
        </w:tc>
        <w:tc>
          <w:tcPr>
            <w:tcW w:w="1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 periods ended June 30, 2014 and 2013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7"/>
              </w:rPr>
              <w:t>Condensed Consolidated Statements of Changes in Members’ Equity for the six month periods ended June 30, 2014 and 2013</w:t>
            </w:r>
          </w:p>
        </w:tc>
        <w:tc>
          <w:tcPr>
            <w:tcW w:w="21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440" w:type="dxa"/>
            <w:vAlign w:val="bottom"/>
          </w:tcPr>
          <w:p>
            <w:pPr>
              <w:jc w:val="right"/>
              <w:ind w:right="149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611,676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322,280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67,661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62,046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$29,943 and $28,777 at June 30, 2014 and December 31, 2013,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Fees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439,957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645,327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526,400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466,542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w w:val="90"/>
              </w:rPr>
              <w:t>Property (net of accumulated amortization and depreciation of $270,972 and $253,930 at June 30, 2014 and December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2013, respectively)</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236,287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248,795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w w:val="96"/>
              </w:rPr>
              <w:t>Goodwill and other intangible assets (net of accumulated amortization of $47,306 and $45,379 at June 30, 2014 and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2013, respectively)</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368,542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3,087,245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3,093,988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AND DECEMBER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401,002</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275,434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1,048,350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125,860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202,919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2,555,973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2,557,862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w w:val="91"/>
              </w:rPr>
              <w:t>Members’ equity (net of 4,131,322 and 5,744,856 shares of Lazard Ltd Class A common stock, at a cost of $166,379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and $194,873 at June 30, 2014 and December 31, 2013, respectively)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565,181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(102,196)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465,393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531,272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3,087,245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3,093,988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8"/>
              </w:rPr>
              <w:t>Three Months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595"/>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279,907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260,241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552,582</w:t>
            </w:r>
          </w:p>
        </w:tc>
        <w:tc>
          <w:tcPr>
            <w:tcW w:w="5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428,345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 fees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275,877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234,921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528,908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466,058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2,620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2,923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5,592</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47,891</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35,964</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584,105</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512,585</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1,134,973</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935,963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34,873</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44,452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860"/>
              <w:spacing w:after="0"/>
              <w:rPr>
                <w:sz w:val="20"/>
                <w:szCs w:val="20"/>
                <w:color w:val="auto"/>
              </w:rPr>
            </w:pPr>
            <w:r>
              <w:rPr>
                <w:rFonts w:ascii="Arial" w:cs="Arial" w:eastAsia="Arial" w:hAnsi="Arial"/>
                <w:sz w:val="18"/>
                <w:szCs w:val="18"/>
                <w:color w:val="auto"/>
              </w:rPr>
              <w:t>Net revenue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566,805</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490,327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1,100,100</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891,511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345,911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331,117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667,461</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608,843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28,354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39,725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69,024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20,894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25,377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40,127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43,569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21,953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20,134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43,114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12,996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9,690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20,360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18,017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15,388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1,004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1,926</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19,393</w:t>
            </w:r>
          </w:p>
        </w:tc>
        <w:tc>
          <w:tcPr>
            <w:tcW w:w="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15,050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456,917</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448,391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882,824</w:t>
            </w: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828,351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109,888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41,936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217,276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63,160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33,735</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94,010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35,157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183,541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53,359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w:t>
            </w: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93,457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50,998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94,010</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35,157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183,541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$ 53,359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1"/>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0"/>
        </w:trPr>
        <w:tc>
          <w:tcPr>
            <w:tcW w:w="2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3,194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(20,964)</w:t>
            </w:r>
          </w:p>
        </w:tc>
      </w:tr>
      <w:tr>
        <w:trPr>
          <w:trHeight w:val="282"/>
        </w:trPr>
        <w:tc>
          <w:tcPr>
            <w:tcW w:w="20" w:type="dxa"/>
            <w:vAlign w:val="bottom"/>
          </w:tcPr>
          <w:p>
            <w:pPr>
              <w:spacing w:after="0"/>
              <w:rPr>
                <w:sz w:val="24"/>
                <w:szCs w:val="24"/>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180" w:type="dxa"/>
            <w:vAlign w:val="bottom"/>
          </w:tcPr>
          <w:p>
            <w:pPr>
              <w:spacing w:after="0"/>
              <w:rPr>
                <w:sz w:val="24"/>
                <w:szCs w:val="2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527</w:t>
            </w:r>
          </w:p>
        </w:tc>
      </w:tr>
      <w:tr>
        <w:trPr>
          <w:trHeight w:val="70"/>
        </w:trPr>
        <w:tc>
          <w:tcPr>
            <w:tcW w:w="2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w w:val="99"/>
              </w:rPr>
              <w:t>Actuarial gain (loss) (net of tax benefit (expense) of $3,600 and $(84) for the three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060"/>
              <w:spacing w:after="0"/>
              <w:rPr>
                <w:sz w:val="20"/>
                <w:szCs w:val="20"/>
                <w:color w:val="auto"/>
              </w:rPr>
            </w:pPr>
            <w:r>
              <w:rPr>
                <w:rFonts w:ascii="Arial" w:cs="Arial" w:eastAsia="Arial" w:hAnsi="Arial"/>
                <w:sz w:val="18"/>
                <w:szCs w:val="18"/>
                <w:color w:val="auto"/>
                <w:w w:val="89"/>
              </w:rPr>
              <w:t>months ended June 30, 2014 and 2013, respectively, and $3,650 and $1,711 for the six</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1060"/>
              <w:spacing w:after="0"/>
              <w:rPr>
                <w:sz w:val="20"/>
                <w:szCs w:val="20"/>
                <w:color w:val="auto"/>
              </w:rPr>
            </w:pPr>
            <w:r>
              <w:rPr>
                <w:rFonts w:ascii="Arial" w:cs="Arial" w:eastAsia="Arial" w:hAnsi="Arial"/>
                <w:sz w:val="18"/>
                <w:szCs w:val="18"/>
                <w:color w:val="auto"/>
              </w:rPr>
              <w:t>months ended June 30, 2014 and 2013, respectively)</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(6,389)</w:t>
            </w:r>
          </w:p>
        </w:tc>
        <w:tc>
          <w:tcPr>
            <w:tcW w:w="580" w:type="dxa"/>
            <w:vAlign w:val="bottom"/>
          </w:tcPr>
          <w:p>
            <w:pPr>
              <w:jc w:val="right"/>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(6,946)</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(2,719)</w:t>
            </w:r>
          </w:p>
        </w:tc>
      </w:tr>
      <w:tr>
        <w:trPr>
          <w:trHeight w:val="209"/>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Adjustment for items reclassified to earnings (net of tax expense of $331 and $400 for the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1"/>
              </w:rPr>
              <w:t>three months ended June 30, 2014 and 2013, respectively, and $863 and $802 for the</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six months ended June 30, 2014 and 2013, respectively)</w:t>
            </w:r>
          </w:p>
        </w:tc>
        <w:tc>
          <w:tcPr>
            <w:tcW w:w="1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4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9"/>
                <w:szCs w:val="19"/>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(1,915)</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(6,649)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2,408</w:t>
            </w:r>
          </w:p>
        </w:tc>
        <w:tc>
          <w:tcPr>
            <w:tcW w:w="24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(20,726)</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92,095</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32,633</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40" w:type="dxa"/>
            <w:vAlign w:val="bottom"/>
          </w:tcPr>
          <w:p>
            <w:pPr>
              <w:spacing w:after="0" w:line="201" w:lineRule="exact"/>
              <w:rPr>
                <w:sz w:val="20"/>
                <w:szCs w:val="20"/>
                <w:color w:val="auto"/>
              </w:rPr>
            </w:pPr>
            <w:r>
              <w:rPr>
                <w:rFonts w:ascii="Arial" w:cs="Arial" w:eastAsia="Arial" w:hAnsi="Arial"/>
                <w:sz w:val="18"/>
                <w:szCs w:val="18"/>
                <w:b w:val="1"/>
                <w:bCs w:val="1"/>
                <w:color w:val="auto"/>
              </w:rPr>
              <w:t>LESS - COMPREHENSIVE INCOME ATTRIBUTABLE TO NONCONTROLLING</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1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91,542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28,321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181,276</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$ 30,338</w:t>
            </w: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$ 183,541</w:t>
            </w:r>
          </w:p>
        </w:tc>
        <w:tc>
          <w:tcPr>
            <w:tcW w:w="5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720" w:type="dxa"/>
            <w:vAlign w:val="bottom"/>
          </w:tcPr>
          <w:p>
            <w:pPr>
              <w:jc w:val="right"/>
              <w:spacing w:after="0"/>
              <w:rPr>
                <w:sz w:val="20"/>
                <w:szCs w:val="20"/>
                <w:color w:val="auto"/>
              </w:rPr>
            </w:pPr>
            <w:r>
              <w:rPr>
                <w:rFonts w:ascii="Arial" w:cs="Arial" w:eastAsia="Arial" w:hAnsi="Arial"/>
                <w:sz w:val="18"/>
                <w:szCs w:val="18"/>
                <w:color w:val="auto"/>
              </w:rPr>
              <w:t>17,656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interest rate hedge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157,272</w:t>
            </w: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720" w:type="dxa"/>
            <w:vAlign w:val="bottom"/>
          </w:tcPr>
          <w:p>
            <w:pPr>
              <w:jc w:val="right"/>
              <w:spacing w:after="0"/>
              <w:rPr>
                <w:sz w:val="20"/>
                <w:szCs w:val="20"/>
                <w:color w:val="auto"/>
              </w:rPr>
            </w:pPr>
            <w:r>
              <w:rPr>
                <w:rFonts w:ascii="Arial" w:cs="Arial" w:eastAsia="Arial" w:hAnsi="Arial"/>
                <w:sz w:val="18"/>
                <w:szCs w:val="18"/>
                <w:color w:val="auto"/>
              </w:rPr>
              <w:t>1,926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(80,047)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(5,331)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(20,543)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(59,438)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(92,812)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720" w:type="dxa"/>
            <w:vAlign w:val="bottom"/>
          </w:tcPr>
          <w:p>
            <w:pPr>
              <w:jc w:val="right"/>
              <w:spacing w:after="0"/>
              <w:rPr>
                <w:sz w:val="20"/>
                <w:szCs w:val="20"/>
                <w:color w:val="auto"/>
              </w:rPr>
            </w:pPr>
            <w:r>
              <w:rPr>
                <w:rFonts w:ascii="Arial" w:cs="Arial" w:eastAsia="Arial" w:hAnsi="Arial"/>
                <w:sz w:val="18"/>
                <w:szCs w:val="18"/>
                <w:color w:val="auto"/>
              </w:rPr>
              <w:t>51,460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115,083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(87,227)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(100,961)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66,457</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(5,830)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(5,480)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1,925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(1,168)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(5,685)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8"/>
              </w:rPr>
              <w:t>(141,192)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Distributions to members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(73,194)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(82,526)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240" w:type="dxa"/>
            <w:vAlign w:val="bottom"/>
            <w:gridSpan w:val="2"/>
          </w:tcPr>
          <w:p>
            <w:pPr>
              <w:jc w:val="right"/>
              <w:ind w:right="392"/>
              <w:spacing w:after="0"/>
              <w:rPr>
                <w:sz w:val="20"/>
                <w:szCs w:val="20"/>
                <w:color w:val="auto"/>
              </w:rPr>
            </w:pPr>
            <w:r>
              <w:rPr>
                <w:rFonts w:ascii="Arial" w:cs="Arial" w:eastAsia="Arial" w:hAnsi="Arial"/>
                <w:sz w:val="18"/>
                <w:szCs w:val="18"/>
                <w:color w:val="auto"/>
              </w:rPr>
              <w:t>(2,985)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8"/>
              </w:rPr>
              <w:t>(284,388)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(207,929)</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98"/>
              </w:rPr>
              <w:t>(220,601)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(249,799)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832,277</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845,503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EQUIVALENTS—June 30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$ 611,676</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595,704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6"/>
              </w:rPr>
              <w:t>Accumulated</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Other</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Members’</w:t>
            </w:r>
          </w:p>
        </w:tc>
        <w:tc>
          <w:tcPr>
            <w:tcW w:w="14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Members’</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Net of Tax</w:t>
            </w: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2013 (*)</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$ 545,572</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(92,393)</w:t>
            </w:r>
          </w:p>
        </w:tc>
        <w:tc>
          <w:tcPr>
            <w:tcW w:w="5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$ 453,179</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$ 529,087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50,998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2,361</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53,359</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Other comprehensive loss - net of tax</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(20,660)</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(20,660)</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(20,726)</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128,081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128,081</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(30,725)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(30,725)</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(6,894)</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(37,619)</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(50,447)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(50,447)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(50,447)</w:t>
            </w:r>
          </w:p>
        </w:tc>
        <w:tc>
          <w:tcPr>
            <w:tcW w:w="0" w:type="dxa"/>
            <w:vAlign w:val="bottom"/>
          </w:tcPr>
          <w:p>
            <w:pPr>
              <w:spacing w:after="0"/>
              <w:rPr>
                <w:sz w:val="1"/>
                <w:szCs w:val="1"/>
                <w:color w:val="auto"/>
              </w:rPr>
            </w:pPr>
          </w:p>
        </w:tc>
      </w:tr>
      <w:tr>
        <w:trPr>
          <w:trHeight w:val="208"/>
        </w:trPr>
        <w:tc>
          <w:tcPr>
            <w:tcW w:w="5340" w:type="dxa"/>
            <w:vAlign w:val="bottom"/>
            <w:gridSpan w:val="2"/>
          </w:tcPr>
          <w:p>
            <w:pPr>
              <w:spacing w:after="0"/>
              <w:rPr>
                <w:sz w:val="20"/>
                <w:szCs w:val="20"/>
                <w:color w:val="auto"/>
              </w:rPr>
            </w:pPr>
            <w:r>
              <w:rPr>
                <w:rFonts w:ascii="Arial" w:cs="Arial" w:eastAsia="Arial" w:hAnsi="Arial"/>
                <w:sz w:val="18"/>
                <w:szCs w:val="18"/>
                <w:color w:val="auto"/>
              </w:rPr>
              <w:t>Delivery of Lazard Ltd Class A common stock in connection with</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shared-based incentive compensation awards and related tax</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benefit of $862</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(118,920)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(118,920)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(118,920)</w:t>
            </w:r>
          </w:p>
        </w:tc>
        <w:tc>
          <w:tcPr>
            <w:tcW w:w="0" w:type="dxa"/>
            <w:vAlign w:val="bottom"/>
          </w:tcPr>
          <w:p>
            <w:pPr>
              <w:spacing w:after="0"/>
              <w:rPr>
                <w:sz w:val="1"/>
                <w:szCs w:val="1"/>
                <w:color w:val="auto"/>
              </w:rPr>
            </w:pPr>
          </w:p>
        </w:tc>
      </w:tr>
      <w:tr>
        <w:trPr>
          <w:trHeight w:val="218"/>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Lazard Ltd Class A common stock issuable (including related</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2"/>
          </w:tcPr>
          <w:p>
            <w:pPr>
              <w:ind w:left="440"/>
              <w:spacing w:after="0"/>
              <w:rPr>
                <w:sz w:val="20"/>
                <w:szCs w:val="20"/>
                <w:color w:val="auto"/>
              </w:rPr>
            </w:pPr>
            <w:r>
              <w:rPr>
                <w:rFonts w:ascii="Arial" w:cs="Arial" w:eastAsia="Arial" w:hAnsi="Arial"/>
                <w:sz w:val="18"/>
                <w:szCs w:val="18"/>
                <w:color w:val="auto"/>
              </w:rPr>
              <w:t>amortization)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8"/>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 June 30, 2013 (*)</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$ 524,447</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(113,053)</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$ 411,394</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71,309</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$ 482,703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both January 1, 2013 and June 30, 2013. Also includes profit participation interests and two managing member interests issued at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Members’</w:t>
            </w: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Members’</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Net of Tax</w:t>
            </w: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2014 (*)</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$ 571,668</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(102,196)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$ 469,472</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$ 536,126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178,868</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178,868</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183,541</w:t>
            </w:r>
          </w:p>
        </w:tc>
        <w:tc>
          <w:tcPr>
            <w:tcW w:w="0" w:type="dxa"/>
            <w:vAlign w:val="bottom"/>
          </w:tcPr>
          <w:p>
            <w:pPr>
              <w:spacing w:after="0"/>
              <w:rPr>
                <w:sz w:val="1"/>
                <w:szCs w:val="1"/>
                <w:color w:val="auto"/>
              </w:rPr>
            </w:pPr>
          </w:p>
        </w:tc>
      </w:tr>
      <w:tr>
        <w:trPr>
          <w:trHeight w:val="228"/>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 net of tax</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2,408</w:t>
            </w:r>
          </w:p>
        </w:tc>
        <w:tc>
          <w:tcPr>
            <w:tcW w:w="280" w:type="dxa"/>
            <w:vAlign w:val="bottom"/>
          </w:tcPr>
          <w:p>
            <w:pPr>
              <w:spacing w:after="0"/>
              <w:rPr>
                <w:sz w:val="19"/>
                <w:szCs w:val="19"/>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2,408</w:t>
            </w: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8"/>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112,308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112,308</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(73,194)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(73,194)</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(5,448)</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(78,642)</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(141,192)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(141,192)</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(141,192)</w:t>
            </w:r>
          </w:p>
        </w:tc>
        <w:tc>
          <w:tcPr>
            <w:tcW w:w="0" w:type="dxa"/>
            <w:vAlign w:val="bottom"/>
          </w:tcPr>
          <w:p>
            <w:pPr>
              <w:spacing w:after="0"/>
              <w:rPr>
                <w:sz w:val="1"/>
                <w:szCs w:val="1"/>
                <w:color w:val="auto"/>
              </w:rPr>
            </w:pPr>
          </w:p>
        </w:tc>
      </w:tr>
      <w:tr>
        <w:trPr>
          <w:trHeight w:val="208"/>
        </w:trPr>
        <w:tc>
          <w:tcPr>
            <w:tcW w:w="5380" w:type="dxa"/>
            <w:vAlign w:val="bottom"/>
            <w:gridSpan w:val="2"/>
          </w:tcPr>
          <w:p>
            <w:pPr>
              <w:spacing w:after="0"/>
              <w:rPr>
                <w:sz w:val="20"/>
                <w:szCs w:val="20"/>
                <w:color w:val="auto"/>
              </w:rPr>
            </w:pPr>
            <w:r>
              <w:rPr>
                <w:rFonts w:ascii="Arial" w:cs="Arial" w:eastAsia="Arial" w:hAnsi="Arial"/>
                <w:sz w:val="18"/>
                <w:szCs w:val="18"/>
                <w:color w:val="auto"/>
              </w:rPr>
              <w:t>Delivery of Lazard Ltd Class A common stock in connection with</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w w:val="93"/>
              </w:rPr>
              <w:t>shared-based incentive compensation awards and related tax benefit</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of $1,776</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(80,750)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(80,750)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(80,750)</w:t>
            </w:r>
          </w:p>
        </w:tc>
        <w:tc>
          <w:tcPr>
            <w:tcW w:w="0" w:type="dxa"/>
            <w:vAlign w:val="bottom"/>
          </w:tcPr>
          <w:p>
            <w:pPr>
              <w:spacing w:after="0"/>
              <w:rPr>
                <w:sz w:val="1"/>
                <w:szCs w:val="1"/>
                <w:color w:val="auto"/>
              </w:rPr>
            </w:pPr>
          </w:p>
        </w:tc>
      </w:tr>
      <w:tr>
        <w:trPr>
          <w:trHeight w:val="232"/>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Lazard Ltd Class A common stock issuable (including related</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80" w:type="dxa"/>
            <w:vAlign w:val="bottom"/>
            <w:gridSpan w:val="2"/>
          </w:tcPr>
          <w:p>
            <w:pPr>
              <w:ind w:left="440"/>
              <w:spacing w:after="0"/>
              <w:rPr>
                <w:sz w:val="20"/>
                <w:szCs w:val="20"/>
                <w:color w:val="auto"/>
              </w:rPr>
            </w:pPr>
            <w:r>
              <w:rPr>
                <w:rFonts w:ascii="Arial" w:cs="Arial" w:eastAsia="Arial" w:hAnsi="Arial"/>
                <w:sz w:val="18"/>
                <w:szCs w:val="18"/>
                <w:color w:val="auto"/>
              </w:rPr>
              <w:t>amortization)</w:t>
            </w:r>
          </w:p>
        </w:tc>
        <w:tc>
          <w:tcPr>
            <w:tcW w:w="740" w:type="dxa"/>
            <w:vAlign w:val="bottom"/>
          </w:tcPr>
          <w:p>
            <w:pPr>
              <w:jc w:val="right"/>
              <w:spacing w:after="0"/>
              <w:rPr>
                <w:sz w:val="20"/>
                <w:szCs w:val="20"/>
                <w:color w:val="auto"/>
              </w:rPr>
            </w:pPr>
            <w:r>
              <w:rPr>
                <w:rFonts w:ascii="Arial" w:cs="Arial" w:eastAsia="Arial" w:hAnsi="Arial"/>
                <w:sz w:val="18"/>
                <w:szCs w:val="18"/>
                <w:color w:val="auto"/>
              </w:rPr>
              <w:t>258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8"/>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(2,785)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(2,785)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 June 30, 2014 (*)</w:t>
            </w: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gridSpan w:val="2"/>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$ 565,181</w:t>
            </w:r>
          </w:p>
        </w:tc>
        <w:tc>
          <w:tcPr>
            <w:tcW w:w="4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(99,788)</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$ 465,393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65,879</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$ 531,272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both January 1, 2014 and June 30, 2014. Also includes profit participation interests and two managing member interests issued at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LLC,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Lazard Ltd indirectly held 100% and approximately 99.5% of all outstanding Lazard Group common membership interests as of June 30, 2014 and December 31, 2013, respectively. Lazard Ltd, through its control of the managing members of Lazard Group, controls Lazard Group. LAZ-MD Holdings LLC (“LAZ-MD Holdings”), an entity owned by Lazard Group’s current and former managing directors, held approximately 0.5% of the outstanding Lazard Group common membership interests as of December 31, 2013. Additionally, LAZ-MD Holdings was the sole owner of the one issued and outstanding share of Lazard Ltd’s Class B common stock (the “Class B common stock”) which provided LAZ-MD Holdings with approximately 0.6% of the voting power but no economic rights in Lazard Ltd as of December 31, 2013. In May 2014, the remaining outstanding Lazard Group common membership interests held by LAZ-MD Holdings were exchanged for shares of Lazard Ltd’s Class A common stock, par value $0.01 per share (“Class A common stock”), and the sole issued and outstanding share of Lazard Ltd’s Class B common stock was automatically converted into one share of Lazard Ltd’s Class A common stock pursuant to the provisions of Lazard Ltd’s bye-laws, resulting in only one outstanding class of common stock (the “Final Exchange of LAZ-MD Interests”). Following the Final Exchange of LAZ-MD Interests, Lazard Group became a wholly-owned indirect subsidiary of Lazard Ltd.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2013 (the “Form 10-K”). The accompanying December 31, 2013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Although these estimates are based on management’s knowledge of current events and actions that Lazard may undertake in the future, actual results may differ materially from the estimates.</w:t>
      </w:r>
    </w:p>
    <w:p>
      <w:pPr>
        <w:spacing w:after="0" w:line="13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and six month periods ended June 30, 2014 are not necessarily indicative of the results to be expected for any future interim or annual period.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Presentation of Unrecognized Tax Benefits</w:t>
      </w:r>
      <w:r>
        <w:rPr>
          <w:rFonts w:ascii="Arial" w:cs="Arial" w:eastAsia="Arial" w:hAnsi="Arial"/>
          <w:sz w:val="16"/>
          <w:szCs w:val="16"/>
          <w:color w:val="auto"/>
        </w:rPr>
        <w:t>—In July 2013, the Financial Accounting Standards Board (the “FASB”) issued guidance on the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unrecognized tax benefits when net operating losses or tax credit carryforwards exist. The guidance requires that the unrecognized tax benefit, or a portion of such unrecognized tax benefit, be presented in the financial statements as a reduction to a deferred tax asset for a net operating loss carryforward, a similar tax loss, or a tax credit carryforward, except in certain situations, as defined in the guidance. The new presentation requirements are effective prospectively for interim and annual reporting periods beginning after December 15, 2013, with early adoption permitted. The Company elected to adopt this guidance in the fourth quarter of 2013, the impact of which did not have a material impact on the Company’s consolidated financial statements.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—In May 2014, the FASB issued comprehensive new revenue recognition guidance. The guidance requires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recognize revenue when it transfers promised services to customers in an amount that reflects the consideration to which the company expects to be entitled in exchange for those services and requires enhanced disclosures to help users of financial statements better understand the nature, amount, timing, and uncertainty of revenue that is recognized. The new guidance is effective for annual and interim periods beginning after December 15, 2016 and early adoption is not permitted. The new guidance can be applied either retrospectively to each prior reporting period presented, or as a cumulative-effect adjustment as of the date of adoption. The Company is currently evaluating the new guidance.</w:t>
      </w:r>
    </w:p>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six month periods ended June 30, 2014 and 2013 was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 Period</w:t>
            </w:r>
          </w:p>
        </w:tc>
        <w:tc>
          <w:tcPr>
            <w:tcW w:w="60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 Period</w:t>
            </w: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Ended June 30,</w:t>
            </w:r>
          </w:p>
        </w:tc>
        <w:tc>
          <w:tcPr>
            <w:tcW w:w="600" w:type="dxa"/>
            <w:vAlign w:val="bottom"/>
          </w:tcPr>
          <w:p>
            <w:pPr>
              <w:spacing w:after="0"/>
              <w:rPr>
                <w:sz w:val="14"/>
                <w:szCs w:val="1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$31,324</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$22,805</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$28,777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(1,633)</w:t>
            </w:r>
          </w:p>
        </w:tc>
        <w:tc>
          <w:tcPr>
            <w:tcW w:w="580" w:type="dxa"/>
            <w:vAlign w:val="bottom"/>
          </w:tcPr>
          <w:p>
            <w:pPr>
              <w:jc w:val="right"/>
              <w:spacing w:after="0"/>
              <w:rPr>
                <w:sz w:val="20"/>
                <w:szCs w:val="20"/>
                <w:color w:val="auto"/>
              </w:rPr>
            </w:pPr>
            <w:r>
              <w:rPr>
                <w:rFonts w:ascii="Arial" w:cs="Arial" w:eastAsia="Arial" w:hAnsi="Arial"/>
                <w:sz w:val="18"/>
                <w:szCs w:val="18"/>
                <w:color w:val="auto"/>
              </w:rPr>
              <w:t>1,694</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7,503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29,943</w:t>
            </w: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24,593</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29,943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24,593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June 30, 2014 and December 31, 2013, the Company had receivables past due or deemed uncollectible of $34,280 and $39,341, respectively.</w:t>
      </w:r>
    </w:p>
    <w:p>
      <w:pPr>
        <w:spacing w:after="0" w:line="19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Of the Company’s fee receivables at June 30, 2014 and December 31, 2013, $82,633 and $69,464, respectively, represented interest-bearing financing receivables. In addition, at June 30, 2014 and December 31, 2013, the Company had interest-bearing related party receivables of $95,806 and $108,204,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$466,888 and $444,949 at June 30, 2014 and December 31, 2013, respectively, approximates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2014 and December 31,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$542 and $516, respectively)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100" w:type="dxa"/>
            <w:vAlign w:val="bottom"/>
            <w:shd w:val="clear" w:color="auto" w:fill="CCEEFF"/>
          </w:tcPr>
          <w:p>
            <w:pPr>
              <w:spacing w:after="0"/>
              <w:rPr>
                <w:sz w:val="18"/>
                <w:szCs w:val="18"/>
                <w:color w:val="auto"/>
              </w:rPr>
            </w:pPr>
          </w:p>
        </w:tc>
      </w:tr>
      <w:tr>
        <w:trPr>
          <w:trHeight w:val="230"/>
        </w:trPr>
        <w:tc>
          <w:tcPr>
            <w:tcW w:w="954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70,151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59,394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36,421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215,972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190,702</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116,895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114,193</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441,785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389,131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21"/>
        </w:trPr>
        <w:tc>
          <w:tcPr>
            <w:tcW w:w="954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526,400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466,542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517,864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456,538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$8,743, $47,335 and $172,315, respectively, at June 30, 2014 and $7,099, $31,515 and $130,481, respectively, at December 31, 2013,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(see Notes 6 and 12 of Notes to Condensed Consolidated Financial Statements).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and funds of funds.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and amounts related to LFI discussed above.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fund targeting significant noncontrolling-stake investments in established private companies, (iii) Edgewater Growth Capital Partners III, L.P. (“EGCP III”), a fund primarily making equity and buyout investments in middle market companies and (iv) Lazard Australia Corporate Opportunities Fund (“COF2”), a Lazard-managed Australian fund targeting Australian mid-market investments.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totaled $8,969 and $9,787 at June 30, 2014 and December 31, 2013, respectively (see Note 10 of Notes to Condensed Consolidated Financial Statements).</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During the three month and six month periods ended June 30, 2014 and 2013, the Company reported in “revenue-other” on its condensed consolidated statements of operations gross unrealized investment gains and losses pertaining to “trading” securities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Three Month Period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Six Month Period</w:t>
            </w:r>
          </w:p>
        </w:tc>
      </w:tr>
      <w:tr>
        <w:trPr>
          <w:trHeight w:val="16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Ended June 30,</w:t>
            </w:r>
          </w:p>
        </w:tc>
      </w:tr>
      <w:tr>
        <w:trPr>
          <w:trHeight w:val="142"/>
        </w:trPr>
        <w:tc>
          <w:tcPr>
            <w:tcW w:w="7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left="142"/>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210"/>
        </w:trPr>
        <w:tc>
          <w:tcPr>
            <w:tcW w:w="7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12,754</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14,279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$ 3,748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8,806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1,421</w:t>
            </w:r>
          </w:p>
        </w:tc>
        <w:tc>
          <w:tcPr>
            <w:tcW w:w="740" w:type="dxa"/>
            <w:vAlign w:val="bottom"/>
            <w:gridSpan w:val="2"/>
          </w:tcPr>
          <w:p>
            <w:pPr>
              <w:jc w:val="center"/>
              <w:ind w:left="122"/>
              <w:spacing w:after="0"/>
              <w:rPr>
                <w:sz w:val="20"/>
                <w:szCs w:val="20"/>
                <w:color w:val="auto"/>
              </w:rPr>
            </w:pPr>
            <w:r>
              <w:rPr>
                <w:rFonts w:ascii="Arial" w:cs="Arial" w:eastAsia="Arial" w:hAnsi="Arial"/>
                <w:sz w:val="18"/>
                <w:szCs w:val="18"/>
                <w:color w:val="auto"/>
                <w:w w:val="89"/>
              </w:rPr>
              <w:t>$ 5,624</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net asset value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2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is classified as Level 2 and is valued at NAV or its equivalent, which is primarily determined based on information provided by external fund administrators. Such investments are redeemable within the near term.</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fair value of investments in debt funds is classified as Level 1 when the fair values are primarily based on the publicly reported closing price for the fund, and classified as Level 2 when the fair values are primarily based on NAV or its equivalent and are redeemable within the near term.</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of investments in equity funds is classified as Level 1 or 2 as follows: publicly traded asset management funds are classified as Level 1 and are valued based on the reported closing price for the fund; and investments in asset management funds redeemable in the near term are classified as Level 2 and are valued at NAV or its equivalent, which is primarily determined based on information provided by external fund administrators.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 reported information regarding an investment is based on data received from external fund administrators or pricing services, the Company reviews such information and classifies the investment at the relevant level within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tables present the classification of investments and certain other assets and liabilities measured at fair value on a recurring basis as of June 30, 2014 and December 31, 2013 within the fair value hierarchy: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34"/>
              <w:spacing w:after="0"/>
              <w:rPr>
                <w:sz w:val="20"/>
                <w:szCs w:val="20"/>
                <w:color w:val="auto"/>
              </w:rPr>
            </w:pPr>
            <w:r>
              <w:rPr>
                <w:rFonts w:ascii="Arial" w:cs="Arial" w:eastAsia="Arial" w:hAnsi="Arial"/>
                <w:sz w:val="14"/>
                <w:szCs w:val="14"/>
                <w:b w:val="1"/>
                <w:bCs w:val="1"/>
                <w:color w:val="auto"/>
              </w:rPr>
              <w:t>June 30, 2014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70,151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36,421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36,421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72,497</w:t>
            </w: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Equity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215,929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215,972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116,895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358,364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41,275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118,265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517,904</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222,318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222,318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222,318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230,416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December 31, 2013</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58,054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59,394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37,030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47,206</w:t>
            </w:r>
          </w:p>
        </w:tc>
        <w:tc>
          <w:tcPr>
            <w:tcW w:w="0" w:type="dxa"/>
            <w:vAlign w:val="bottom"/>
          </w:tcPr>
          <w:p>
            <w:pPr>
              <w:spacing w:after="0"/>
              <w:rPr>
                <w:sz w:val="1"/>
                <w:szCs w:val="1"/>
                <w:color w:val="auto"/>
              </w:rPr>
            </w:pPr>
          </w:p>
        </w:tc>
      </w:tr>
      <w:tr>
        <w:trPr>
          <w:trHeight w:val="216"/>
        </w:trPr>
        <w:tc>
          <w:tcPr>
            <w:tcW w:w="4520" w:type="dxa"/>
            <w:vAlign w:val="bottom"/>
          </w:tcPr>
          <w:p>
            <w:pPr>
              <w:ind w:left="880"/>
              <w:spacing w:after="0"/>
              <w:rPr>
                <w:sz w:val="20"/>
                <w:szCs w:val="20"/>
                <w:color w:val="auto"/>
              </w:rPr>
            </w:pPr>
            <w:r>
              <w:rPr>
                <w:rFonts w:ascii="Arial" w:cs="Arial" w:eastAsia="Arial" w:hAnsi="Arial"/>
                <w:sz w:val="18"/>
                <w:szCs w:val="18"/>
                <w:color w:val="auto"/>
              </w:rPr>
              <w:t>Equity</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190,660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190,702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114,193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114,193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297,597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115,533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457,220</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2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Derivatives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164,001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164,001</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164,001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168,046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680" w:type="dxa"/>
            <w:vAlign w:val="bottom"/>
            <w:vMerge w:val="restart"/>
          </w:tcPr>
          <w:p>
            <w:pPr>
              <w:jc w:val="right"/>
              <w:ind w:right="13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9"/>
              </w:rPr>
              <w:t>Three Months Ended June 30, 2014</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Included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Beginning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Purchases/</w:t>
            </w:r>
          </w:p>
        </w:tc>
        <w:tc>
          <w:tcPr>
            <w:tcW w:w="12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Sales/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1,337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12</w:t>
            </w:r>
          </w:p>
        </w:tc>
        <w:tc>
          <w:tcPr>
            <w:tcW w:w="6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115,537</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1,254</w:t>
            </w: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116,895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880" w:type="dxa"/>
            <w:vAlign w:val="bottom"/>
            <w:gridSpan w:val="5"/>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116,874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1,266</w:t>
            </w:r>
          </w:p>
        </w:tc>
        <w:tc>
          <w:tcPr>
            <w:tcW w:w="6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Six Months Ended June 30, 2014</w:t>
            </w: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5"/>
          </w:tcPr>
          <w:p>
            <w:pPr>
              <w:jc w:val="center"/>
              <w:ind w:right="34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Included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60" w:type="dxa"/>
            <w:vAlign w:val="bottom"/>
          </w:tcPr>
          <w:p>
            <w:pPr>
              <w:spacing w:after="0"/>
              <w:rPr>
                <w:sz w:val="12"/>
                <w:szCs w:val="12"/>
                <w:color w:val="auto"/>
              </w:rPr>
            </w:pPr>
          </w:p>
        </w:tc>
        <w:tc>
          <w:tcPr>
            <w:tcW w:w="12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120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w w:val="82"/>
              </w:rPr>
              <w:t>Purchases/</w:t>
            </w:r>
          </w:p>
        </w:tc>
        <w:tc>
          <w:tcPr>
            <w:tcW w:w="12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3"/>
              </w:rPr>
              <w:t>Sales/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Acquisitions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20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114,193</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116,895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115,533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1,211</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(5,085)</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(244)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118,265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w w:val="97"/>
              </w:rPr>
              <w:t>Three Months Ended June 30, 2013</w:t>
            </w: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5"/>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Included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60" w:type="dxa"/>
            <w:vAlign w:val="bottom"/>
          </w:tcPr>
          <w:p>
            <w:pPr>
              <w:spacing w:after="0"/>
              <w:rPr>
                <w:sz w:val="12"/>
                <w:szCs w:val="12"/>
                <w:color w:val="auto"/>
              </w:rPr>
            </w:pPr>
          </w:p>
        </w:tc>
        <w:tc>
          <w:tcPr>
            <w:tcW w:w="12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In Revenue-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2"/>
              </w:rPr>
              <w:t>Purchases/</w:t>
            </w:r>
          </w:p>
        </w:tc>
        <w:tc>
          <w:tcPr>
            <w:tcW w:w="120" w:type="dxa"/>
            <w:vAlign w:val="bottom"/>
          </w:tcPr>
          <w:p>
            <w:pPr>
              <w:spacing w:after="0"/>
              <w:rPr>
                <w:sz w:val="12"/>
                <w:szCs w:val="12"/>
                <w:color w:val="auto"/>
              </w:rPr>
            </w:pPr>
          </w:p>
        </w:tc>
        <w:tc>
          <w:tcPr>
            <w:tcW w:w="8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Sales/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Other (a)</w:t>
            </w:r>
          </w:p>
        </w:tc>
        <w:tc>
          <w:tcPr>
            <w:tcW w:w="40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Acquisitions</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1,304</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110,496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3,259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(4,612)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112,833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111,984</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52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(5,939)</w:t>
            </w:r>
          </w:p>
        </w:tc>
        <w:tc>
          <w:tcPr>
            <w:tcW w:w="320" w:type="dxa"/>
            <w:vAlign w:val="bottom"/>
            <w:gridSpan w:val="3"/>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8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42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rPr>
              <w:t>Six Months Ended June 30, 2013</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Realized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Included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Beginning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Sales/</w:t>
            </w: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Balance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Other (a)</w:t>
            </w:r>
          </w:p>
        </w:tc>
        <w:tc>
          <w:tcPr>
            <w:tcW w:w="3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445</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112,444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116,101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3,872</w:t>
            </w:r>
          </w:p>
        </w:tc>
        <w:tc>
          <w:tcPr>
            <w:tcW w:w="320" w:type="dxa"/>
            <w:vAlign w:val="bottom"/>
          </w:tcPr>
          <w:p>
            <w:pPr>
              <w:spacing w:after="0"/>
              <w:rPr>
                <w:sz w:val="19"/>
                <w:szCs w:val="19"/>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3,704</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(9,452)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(744)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52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the three month and six month periods ended June 30, 2014 and the three month and six month periods ended June 30, 2013 include net unrealized gains of $1,123, $5,536, $2,657 and $3,327, respectively.</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2014 and 2013.</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June 30, 2014 and December 31, 2013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June 30,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ind w:left="260"/>
              <w:spacing w:after="0"/>
              <w:rPr>
                <w:sz w:val="20"/>
                <w:szCs w:val="20"/>
                <w:color w:val="auto"/>
              </w:rPr>
            </w:pPr>
            <w:r>
              <w:rPr>
                <w:rFonts w:ascii="Arial" w:cs="Arial" w:eastAsia="Arial" w:hAnsi="Arial"/>
                <w:sz w:val="14"/>
                <w:szCs w:val="14"/>
                <w:b w:val="1"/>
                <w:bCs w:val="1"/>
                <w:color w:val="auto"/>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32,388</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72,457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26,441</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62%</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153,363</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26,441</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weekly (17%), monthly (64%) and quarterly (19%)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 weekly (2%) and monthly (88%)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5"/>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31,837</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23%</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151,269</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27,135</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(17%), monthly (65%) and quarterly (18%)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(95%) and quarterly (5%)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(7%), weekly (1%) and monthly (92%)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(13%), monthly (58%) and quarterly (29%)</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for investments with value based on NAV.</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June 30, 2014, the Company’s maximum unfunded commitments for capital contributions to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funds arose from (i) commitments to CP II, which amounted to $1,782 for potential “follow-on investments” and/or for fund expenses through the earlier of February 25, 2017 or the liquidation of the fund, (ii) commitments to EGCP III, which amounted to $17,686,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 and (iii) commitments to COF2, which amounted to $6,973,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commitments as of that date remaining committed until November 11, 2019 in respect of “follow-on investments” and/or fund expenses) or the liquidation of the fund.</w:t>
      </w:r>
    </w:p>
    <w:p>
      <w:pPr>
        <w:spacing w:after="0" w:line="24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statements of financial condition. Gains and losses on the Company’s derivative instruments not designated as hedging instruments are included in “interest income” and “interest expense”, respectively, or “revenue-other”, depending on the nature of the underlying item, on the consolidated statements of operations.</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consolidated statements of operations.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12 of Notes to Condensed Consolidated Financial Statements) on the accompanying condensed consolidated statements of financial condition as of June 30, 2014 and December 31,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160" w:type="dxa"/>
            <w:vAlign w:val="bottom"/>
            <w:tcBorders>
              <w:bottom w:val="single" w:sz="8" w:color="CCEEFF"/>
            </w:tcBorders>
          </w:tcPr>
          <w:p>
            <w:pPr>
              <w:spacing w:after="0"/>
              <w:rPr>
                <w:sz w:val="14"/>
                <w:szCs w:val="14"/>
                <w:color w:val="auto"/>
              </w:rPr>
            </w:pPr>
          </w:p>
        </w:tc>
        <w:tc>
          <w:tcPr>
            <w:tcW w:w="8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5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1,611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215,163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162,422</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222,318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164,001</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$92 and $5,636 as of June 30, 2014, respectively, and</w:t>
      </w:r>
    </w:p>
    <w:p>
      <w:pPr>
        <w:spacing w:after="0" w:line="38" w:lineRule="exact"/>
        <w:rPr>
          <w:rFonts w:ascii="Arial" w:cs="Arial" w:eastAsia="Arial" w:hAnsi="Arial"/>
          <w:sz w:val="16"/>
          <w:szCs w:val="16"/>
          <w:color w:val="auto"/>
        </w:rPr>
      </w:pPr>
    </w:p>
    <w:p>
      <w:pPr>
        <w:ind w:left="460" w:right="60"/>
        <w:spacing w:after="0" w:line="255" w:lineRule="auto"/>
        <w:rPr>
          <w:rFonts w:ascii="Arial" w:cs="Arial" w:eastAsia="Arial" w:hAnsi="Arial"/>
          <w:sz w:val="16"/>
          <w:szCs w:val="16"/>
          <w:color w:val="auto"/>
        </w:rPr>
      </w:pPr>
      <w:r>
        <w:rPr>
          <w:rFonts w:ascii="Arial" w:cs="Arial" w:eastAsia="Arial" w:hAnsi="Arial"/>
          <w:sz w:val="18"/>
          <w:szCs w:val="18"/>
          <w:color w:val="auto"/>
        </w:rPr>
        <w:t>$2,019 and $1,587 as of December 31, 2013, respectively, for contracts with the same counterparty under legally enforceable master netting agreements. Such amounts are recorded “net” in “other assets”, with receivables for net cash collateral under such contracts of $15,924 and $11,384 as of June 30, 2014 and December 31, 2013,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2014 and 2013,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10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1"/>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$(1,626)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2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(8,906)</w:t>
            </w:r>
          </w:p>
        </w:tc>
        <w:tc>
          <w:tcPr>
            <w:tcW w:w="540" w:type="dxa"/>
            <w:vAlign w:val="bottom"/>
          </w:tcPr>
          <w:p>
            <w:pPr>
              <w:jc w:val="right"/>
              <w:spacing w:after="0"/>
              <w:rPr>
                <w:sz w:val="20"/>
                <w:szCs w:val="20"/>
                <w:color w:val="auto"/>
              </w:rPr>
            </w:pPr>
            <w:r>
              <w:rPr>
                <w:rFonts w:ascii="Arial" w:cs="Arial" w:eastAsia="Arial" w:hAnsi="Arial"/>
                <w:sz w:val="18"/>
                <w:szCs w:val="18"/>
                <w:color w:val="auto"/>
              </w:rPr>
              <w:t>3,477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(11,532)</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8"/>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(5,698)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(7,272)</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(14,426)</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$ 4,951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(19,779)</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$ 1,969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2014 and December 31, 2013,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Estimated</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6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9"/>
              </w:rPr>
              <w:t>June 30,</w:t>
            </w: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Life in 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$172,097</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173,772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680" w:type="dxa"/>
            <w:vAlign w:val="bottom"/>
          </w:tcPr>
          <w:p>
            <w:pPr>
              <w:jc w:val="right"/>
              <w:spacing w:after="0"/>
              <w:rPr>
                <w:sz w:val="20"/>
                <w:szCs w:val="20"/>
                <w:color w:val="auto"/>
              </w:rPr>
            </w:pPr>
            <w:r>
              <w:rPr>
                <w:rFonts w:ascii="Arial" w:cs="Arial" w:eastAsia="Arial" w:hAnsi="Arial"/>
                <w:sz w:val="18"/>
                <w:szCs w:val="18"/>
                <w:color w:val="auto"/>
              </w:rPr>
              <w:t>177,322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175,600</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149,597</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507,259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502,725</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270,972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253,930</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236,287</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248,795</w:t>
            </w:r>
          </w:p>
        </w:tc>
        <w:tc>
          <w:tcPr>
            <w:tcW w:w="8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2014 and December 31, 2013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134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$352,043</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345,453</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16,499</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368,542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363,877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At June 30, 2014 and December 31, 2013, goodwill of $287,502 and $280,912, respectively, was attributable to the Company’s Financial Advisory segment and, at each such respective date, $64,541 of goodwill was attributable to the Company’s Asset Management segment.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2014 and 2013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$345,453</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Business acquisitions</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Balance, June 30</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352,043</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348,549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2014 and December 31, 2013,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 2014</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2013</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Amortization</w:t>
            </w: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$13,053</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33,065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29,619</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3,446</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28,206</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63,805</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16,499</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63,803</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45,379</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18,424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2014 was $706 and $1,926, respectively, and for the three month and six month periods ended June 30, 2013 was $1,004 and $1,881, respectively. Estimated future amortization expense is as follows: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84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8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2014 (July 1 through December 31)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4,885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4"/>
          </w:tcPr>
          <w:p>
            <w:pPr>
              <w:ind w:left="220"/>
              <w:spacing w:after="0"/>
              <w:rPr>
                <w:sz w:val="20"/>
                <w:szCs w:val="20"/>
                <w:color w:val="auto"/>
              </w:rPr>
            </w:pPr>
            <w:r>
              <w:rPr>
                <w:rFonts w:ascii="Arial" w:cs="Arial" w:eastAsia="Arial" w:hAnsi="Arial"/>
                <w:sz w:val="18"/>
                <w:szCs w:val="18"/>
                <w:color w:val="auto"/>
              </w:rPr>
              <w:t>Total amortization expense</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Approximately 43%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2014 and 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Initial</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Annual</w:t>
            </w: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 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40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Principal</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Maturity</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Pr>
          <w:p>
            <w:pPr>
              <w:spacing w:after="0"/>
              <w:rPr>
                <w:sz w:val="12"/>
                <w:szCs w:val="12"/>
                <w:color w:val="auto"/>
              </w:rPr>
            </w:pPr>
          </w:p>
        </w:tc>
        <w:tc>
          <w:tcPr>
            <w:tcW w:w="70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w w:val="96"/>
              </w:rPr>
              <w:t>June 30,</w:t>
            </w:r>
          </w:p>
        </w:tc>
        <w:tc>
          <w:tcPr>
            <w:tcW w:w="9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04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6.85% Senior Notes</w:t>
            </w:r>
          </w:p>
        </w:tc>
        <w:tc>
          <w:tcPr>
            <w:tcW w:w="20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600,000</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Lazard Group 4.25% Senior Notes</w:t>
            </w:r>
          </w:p>
        </w:tc>
        <w:tc>
          <w:tcPr>
            <w:tcW w:w="2640" w:type="dxa"/>
            <w:vAlign w:val="bottom"/>
            <w:gridSpan w:val="2"/>
          </w:tcPr>
          <w:p>
            <w:pPr>
              <w:ind w:left="2060"/>
              <w:spacing w:after="0"/>
              <w:rPr>
                <w:sz w:val="20"/>
                <w:szCs w:val="20"/>
                <w:color w:val="auto"/>
              </w:rPr>
            </w:pPr>
            <w:r>
              <w:rPr>
                <w:rFonts w:ascii="Arial" w:cs="Arial" w:eastAsia="Arial" w:hAnsi="Arial"/>
                <w:sz w:val="18"/>
                <w:szCs w:val="18"/>
                <w:color w:val="auto"/>
                <w:w w:val="86"/>
              </w:rPr>
              <w:t>500,000</w:t>
            </w:r>
          </w:p>
        </w:tc>
        <w:tc>
          <w:tcPr>
            <w:tcW w:w="4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11/14/20</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6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w w:val="86"/>
              </w:rPr>
              <w:t>150,000</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9/25/15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40" w:type="dxa"/>
            <w:vAlign w:val="bottom"/>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1,048,350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0" w:type="dxa"/>
            <w:vAlign w:val="bottom"/>
            <w:vMerge w:val="restart"/>
          </w:tcPr>
          <w:p>
            <w:pPr>
              <w:jc w:val="right"/>
              <w:ind w:right="152"/>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November 2013, and in connection with Lazard Group’s redemption of $528,500 aggregate principal amount of its then outstanding 7.125% senior notes maturing on May 15, 2015 (the “2015 Notes”), Lazard Group issued $500,000 aggregate principal amount of 4.25% senior notes maturing on November 14, 2020 (the “2020 Notes”). Interest on the 2020 Notes is payable semi-annually on May 14 and November 14 of each year commencing on May 14, 2014.</w:t>
      </w:r>
    </w:p>
    <w:p>
      <w:pPr>
        <w:spacing w:after="0" w:line="107" w:lineRule="exact"/>
        <w:rPr>
          <w:sz w:val="20"/>
          <w:szCs w:val="20"/>
          <w:color w:val="auto"/>
        </w:rPr>
      </w:pPr>
    </w:p>
    <w:p>
      <w:pPr>
        <w:ind w:right="220" w:firstLine="456"/>
        <w:spacing w:after="0" w:line="284"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applicable margin. As of June 30, 2014, the annual interest rate for a loan accruing interest (based on the Federal Funds overnight rate), including the applicable margin, was 0.78%. At June 30, 2014 and December 31, 2013, no amounts were outstanding under the Credit Facility.</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June 30, 2014, the Company was in compliance with such provisions. All of the Company’s senior debt obligations are unsecured.</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June 30, 2014, the Company had approximately $238,000 in unused lines of credit available to it, including the Credit Facility, and unused lines of credit available to LFB of approximately $48,000 (at June 30, 2014 exchange rates) and Edgewater of $35,000. At June 30, 2014, Edgewater had $55,000 of available lines of credit, of which $20,000 was drawn down by the general partner of EGCP III in the second quarter of 2014 to provide a loan to EGCP III to finance a certain fund investment. The loan to EGCP III is expected to be repaid in the third quarter of 2014 from a capital call made by EGCP III to its investors. The drawdown of the line of credit is reflected in “other liabilities” and the loan to EGCP III is reflected in “related party receivables” on the condensed consolidated statement of financial condition (see Note 16 of Notes to Condensed Consolidated Financial Statements). In addition, LFB has access to the Eurosystem Covered Bond Purchase Program of the Banque de France.</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Company’s senior debt at June 30, 2014 and December 31, 2013 is carried at historical amounts. At those dates, the fair value of such senior debt was approximately $1,152,000 and $1,117,000, respectively, and exceeded the aggregate carrying value by approximately $104,000 and $69,000, respectively. The fair value of the Company’s senior debt is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2014, LFB had $5,491 of such indemnifications and held $4,851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June 30, 2014 and December 31, 2013, 913,722 shares are issuable on a contingent basis, and 1,371,992 shares have been earned because applicable performance thresholds have been satisfied. As of December 31, 2013, 1,029,006 of the earned shares have been settled, and no additional shares have been settled as of June 30, 2014.</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Contingent Consideration Relating To Other Business Acquisitions</w:t>
      </w:r>
      <w:r>
        <w:rPr>
          <w:rFonts w:ascii="Arial" w:cs="Arial" w:eastAsia="Arial" w:hAnsi="Arial"/>
          <w:sz w:val="16"/>
          <w:szCs w:val="16"/>
          <w:color w:val="auto"/>
        </w:rPr>
        <w:t>—For a business acquired in 2012, at December 31, 2012, 170,988 shares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have varying expiration dates, are fully collateralized and generally contain requirements for the counterparty to maintain a minimum collateral level. These commitments may not represent future cash requirements as they may expire without being drawn upon. At June 30, 2014, these commitments were not material.</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is not expected to have a material adverse effect on the Company’s consolidated financial position or results of operations. At June 30, 2014, LFB had no such underwriting commitments.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quarter. The Company believes, however, based on currently available information, that the results of any pending matters, in the aggregate, will not have a material effect on its business or financial condition.</w:t>
      </w:r>
    </w:p>
    <w:p>
      <w:pPr>
        <w:spacing w:after="0" w:line="25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Lazard Group Distributions—</w:t>
      </w:r>
      <w:r>
        <w:rPr>
          <w:rFonts w:ascii="Arial" w:cs="Arial" w:eastAsia="Arial" w:hAnsi="Arial"/>
          <w:sz w:val="16"/>
          <w:szCs w:val="16"/>
          <w:color w:val="auto"/>
        </w:rPr>
        <w:t>As previously described, Lazard Group’s common membership interests are held by subsidiaries of Lazard Ltd and,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2014, also were held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 periods ended June 30, 2014 and 2013,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 (none of which related to tax distributions):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9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2014</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95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72,981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30,338</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73,194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30,725</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b w:val="1"/>
          <w:bCs w:val="1"/>
          <w:i w:val="1"/>
          <w:iCs w:val="1"/>
          <w:color w:val="auto"/>
        </w:rPr>
        <w:t>Exchanges of Lazard Group Common Membership Interests</w:t>
      </w:r>
      <w:r>
        <w:rPr>
          <w:rFonts w:ascii="Arial" w:cs="Arial" w:eastAsia="Arial" w:hAnsi="Arial"/>
          <w:sz w:val="16"/>
          <w:szCs w:val="16"/>
          <w:color w:val="auto"/>
        </w:rPr>
        <w:t>—During the six month periods ended June 30, 2014 and 2013, Lazard Ltd issued 710,009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839,658 shares of Class A common stock, respectively, in connection with the exchanges of a like number of Lazard Group common membership interests (received from members of LAZ-MD Holdings in exchange for a like number of LAZ-MD Holdings exchangeable interests) (see Note 1 of Notes to Condensed Consolidated Financial Statements for a discussion of the Final Exchange of LAZ-MD Interests).</w:t>
      </w:r>
    </w:p>
    <w:p>
      <w:pPr>
        <w:spacing w:after="0" w:line="11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b w:val="1"/>
          <w:bCs w:val="1"/>
          <w:i w:val="1"/>
          <w:iCs w:val="1"/>
          <w:color w:val="auto"/>
        </w:rPr>
        <w:t>Share Repurchase Program</w:t>
      </w:r>
      <w:r>
        <w:rPr>
          <w:rFonts w:ascii="Arial" w:cs="Arial" w:eastAsia="Arial" w:hAnsi="Arial"/>
          <w:sz w:val="15"/>
          <w:szCs w:val="15"/>
          <w:color w:val="auto"/>
        </w:rPr>
        <w:t>—During the six month period ended June 30, 2014 and for the years ended December 31, 2013, 2012 and 2011, the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of Lazard Ltd authorized the repurchase of Class A common stock and Lazard Group common membership interests as set forth in the table below.</w:t>
      </w:r>
    </w:p>
    <w:p>
      <w:pPr>
        <w:spacing w:after="0" w:line="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2"/>
              </w:rPr>
              <w:t>Share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36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2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2011</w:t>
            </w:r>
          </w:p>
        </w:tc>
        <w:tc>
          <w:tcPr>
            <w:tcW w:w="2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October, 2011</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2012</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2013</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October, 2012</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2014</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2013</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22"/>
        </w:trPr>
        <w:tc>
          <w:tcPr>
            <w:tcW w:w="264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356"/>
        </w:trPr>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20" w:type="dxa"/>
            <w:vAlign w:val="bottom"/>
          </w:tcPr>
          <w:p>
            <w:pPr>
              <w:jc w:val="right"/>
              <w:ind w:right="85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2005 Equity Incentive Plan (the “2005 Plan”) and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160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160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5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160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16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Interests Purchased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15"/>
        </w:trPr>
        <w:tc>
          <w:tcPr>
            <w:tcW w:w="82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Six Months Ended June 30:</w:t>
            </w:r>
          </w:p>
        </w:tc>
        <w:tc>
          <w:tcPr>
            <w:tcW w:w="1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316"/>
        </w:trPr>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2013</w:t>
            </w:r>
          </w:p>
        </w:tc>
        <w:tc>
          <w:tcPr>
            <w:tcW w:w="662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1,434,657</w:t>
            </w:r>
          </w:p>
        </w:tc>
        <w:tc>
          <w:tcPr>
            <w:tcW w:w="6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Borders>
              <w:top w:val="single" w:sz="8" w:color="CCEEFF"/>
            </w:tcBorders>
          </w:tcPr>
          <w:p>
            <w:pPr>
              <w:spacing w:after="0"/>
              <w:rPr>
                <w:sz w:val="24"/>
                <w:szCs w:val="24"/>
                <w:color w:val="auto"/>
              </w:rPr>
            </w:pPr>
          </w:p>
        </w:tc>
      </w:tr>
      <w:tr>
        <w:trPr>
          <w:trHeight w:val="218"/>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6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4,114,206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shares purchased in the six months ended June 30, 2014 included 1,000,000 shares purchased from Natixis S.A. on June 26, 2014 for $50,340 in connection with the sale by Natixis S.A. of its entire investment in Lazard Ltd’s Class A common stock. The purchase transaction closed on July 1, 2014. As of June 30, 2014, a total of $128,932 of share repurchase authorization remained available under the Company’s share repurchase program, which will expire on December 31, 2015.</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six month period ended June 30, 2014,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tables below reflect changes in the balances of each component of AOCI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six month periods ended June 30, 2014 and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8"/>
              <w:spacing w:after="0"/>
              <w:rPr>
                <w:sz w:val="20"/>
                <w:szCs w:val="20"/>
                <w:color w:val="auto"/>
              </w:rPr>
            </w:pPr>
            <w:r>
              <w:rPr>
                <w:rFonts w:ascii="Arial" w:cs="Arial" w:eastAsia="Arial" w:hAnsi="Arial"/>
                <w:sz w:val="14"/>
                <w:szCs w:val="14"/>
                <w:b w:val="1"/>
                <w:bCs w:val="1"/>
                <w:color w:val="auto"/>
                <w:w w:val="98"/>
              </w:rPr>
              <w:t>Amount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Currency</w:t>
            </w:r>
          </w:p>
        </w:tc>
        <w:tc>
          <w:tcPr>
            <w:tcW w:w="1280" w:type="dxa"/>
            <w:vAlign w:val="bottom"/>
            <w:gridSpan w:val="2"/>
          </w:tcPr>
          <w:p>
            <w:pPr>
              <w:jc w:val="center"/>
              <w:ind w:right="478"/>
              <w:spacing w:after="0" w:line="149" w:lineRule="exact"/>
              <w:rPr>
                <w:sz w:val="20"/>
                <w:szCs w:val="20"/>
                <w:color w:val="auto"/>
              </w:rPr>
            </w:pPr>
            <w:r>
              <w:rPr>
                <w:rFonts w:ascii="Arial" w:cs="Arial" w:eastAsia="Arial" w:hAnsi="Arial"/>
                <w:sz w:val="14"/>
                <w:szCs w:val="14"/>
                <w:b w:val="1"/>
                <w:bCs w:val="1"/>
                <w:color w:val="auto"/>
                <w:w w:val="84"/>
              </w:rPr>
              <w:t>Employee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Attributable to</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Lazard</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280" w:type="dxa"/>
            <w:vAlign w:val="bottom"/>
            <w:gridSpan w:val="2"/>
          </w:tcPr>
          <w:p>
            <w:pPr>
              <w:jc w:val="center"/>
              <w:ind w:right="478"/>
              <w:spacing w:after="0" w:line="149" w:lineRule="exact"/>
              <w:rPr>
                <w:sz w:val="20"/>
                <w:szCs w:val="20"/>
                <w:color w:val="auto"/>
              </w:rPr>
            </w:pPr>
            <w:r>
              <w:rPr>
                <w:rFonts w:ascii="Arial" w:cs="Arial" w:eastAsia="Arial" w:hAnsi="Arial"/>
                <w:sz w:val="14"/>
                <w:szCs w:val="14"/>
                <w:b w:val="1"/>
                <w:bCs w:val="1"/>
                <w:color w:val="auto"/>
                <w:w w:val="84"/>
              </w:rPr>
              <w:t>Benefit</w:t>
            </w:r>
          </w:p>
        </w:tc>
        <w:tc>
          <w:tcPr>
            <w:tcW w:w="100" w:type="dxa"/>
            <w:vAlign w:val="bottom"/>
          </w:tcPr>
          <w:p>
            <w:pPr>
              <w:spacing w:after="0"/>
              <w:rPr>
                <w:sz w:val="12"/>
                <w:szCs w:val="12"/>
                <w:color w:val="auto"/>
              </w:rPr>
            </w:pPr>
          </w:p>
        </w:tc>
        <w:tc>
          <w:tcPr>
            <w:tcW w:w="1180" w:type="dxa"/>
            <w:vAlign w:val="bottom"/>
            <w:gridSpan w:val="2"/>
          </w:tcPr>
          <w:p>
            <w:pPr>
              <w:jc w:val="right"/>
              <w:ind w:right="722"/>
              <w:spacing w:after="0" w:line="149" w:lineRule="exact"/>
              <w:rPr>
                <w:sz w:val="20"/>
                <w:szCs w:val="20"/>
                <w:color w:val="auto"/>
              </w:rPr>
            </w:pPr>
            <w:r>
              <w:rPr>
                <w:rFonts w:ascii="Arial" w:cs="Arial" w:eastAsia="Arial" w:hAnsi="Arial"/>
                <w:sz w:val="14"/>
                <w:szCs w:val="14"/>
                <w:b w:val="1"/>
                <w:bCs w:val="1"/>
                <w:color w:val="auto"/>
              </w:rPr>
              <w:t>Total</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280" w:type="dxa"/>
            <w:vAlign w:val="bottom"/>
            <w:gridSpan w:val="2"/>
          </w:tcPr>
          <w:p>
            <w:pPr>
              <w:jc w:val="center"/>
              <w:ind w:right="478"/>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1180" w:type="dxa"/>
            <w:vAlign w:val="bottom"/>
            <w:gridSpan w:val="2"/>
          </w:tcPr>
          <w:p>
            <w:pPr>
              <w:jc w:val="right"/>
              <w:ind w:right="702"/>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4"/>
                <w:szCs w:val="14"/>
                <w:color w:val="auto"/>
              </w:rPr>
            </w:pPr>
          </w:p>
        </w:tc>
        <w:tc>
          <w:tcPr>
            <w:tcW w:w="740" w:type="dxa"/>
            <w:vAlign w:val="bottom"/>
          </w:tcPr>
          <w:p>
            <w:pPr>
              <w:jc w:val="right"/>
              <w:ind w:right="98"/>
              <w:spacing w:after="0"/>
              <w:rPr>
                <w:sz w:val="20"/>
                <w:szCs w:val="20"/>
                <w:color w:val="auto"/>
              </w:rPr>
            </w:pPr>
            <w:r>
              <w:rPr>
                <w:rFonts w:ascii="Arial" w:cs="Arial" w:eastAsia="Arial" w:hAnsi="Arial"/>
                <w:sz w:val="14"/>
                <w:szCs w:val="14"/>
                <w:b w:val="1"/>
                <w:bCs w:val="1"/>
                <w:color w:val="auto"/>
                <w:w w:val="92"/>
              </w:rPr>
              <w:t>Interests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35,236</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(137,431</w:t>
            </w:r>
          </w:p>
        </w:tc>
        <w:tc>
          <w:tcPr>
            <w:tcW w:w="560" w:type="dxa"/>
            <w:vAlign w:val="bottom"/>
            <w:tcBorders>
              <w:top w:val="single" w:sz="8" w:color="CCEEFF"/>
            </w:tcBorders>
            <w:shd w:val="clear" w:color="auto" w:fill="CCEEFF"/>
          </w:tcPr>
          <w:p>
            <w:pPr>
              <w:jc w:val="right"/>
              <w:ind w:right="41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(102,195</w:t>
            </w:r>
          </w:p>
        </w:tc>
        <w:tc>
          <w:tcPr>
            <w:tcW w:w="540" w:type="dxa"/>
            <w:vAlign w:val="bottom"/>
            <w:tcBorders>
              <w:top w:val="single" w:sz="8" w:color="CCEEFF"/>
            </w:tcBorders>
            <w:shd w:val="clear" w:color="auto" w:fill="CCEEFF"/>
          </w:tcPr>
          <w:p>
            <w:pPr>
              <w:jc w:val="right"/>
              <w:ind w:right="462"/>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(102,196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Activity January 1 to June 30, 2014: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gain (loss) before reclassifications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6,785</w:t>
            </w:r>
          </w:p>
        </w:tc>
        <w:tc>
          <w:tcPr>
            <w:tcW w:w="12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(6,946)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2"/>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532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(4,377)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Balance, June 30, 2014</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42,021</w:t>
            </w:r>
          </w:p>
        </w:tc>
        <w:tc>
          <w:tcPr>
            <w:tcW w:w="540" w:type="dxa"/>
            <w:vAlign w:val="bottom"/>
          </w:tcPr>
          <w:p>
            <w:pPr>
              <w:spacing w:after="0"/>
              <w:rPr>
                <w:sz w:val="19"/>
                <w:szCs w:val="19"/>
                <w:color w:val="auto"/>
              </w:rPr>
            </w:pPr>
          </w:p>
        </w:tc>
        <w:tc>
          <w:tcPr>
            <w:tcW w:w="1280" w:type="dxa"/>
            <w:vAlign w:val="bottom"/>
            <w:gridSpan w:val="2"/>
          </w:tcPr>
          <w:p>
            <w:pPr>
              <w:jc w:val="right"/>
              <w:ind w:right="41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(141,808)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2"/>
              <w:spacing w:after="0"/>
              <w:rPr>
                <w:sz w:val="20"/>
                <w:szCs w:val="20"/>
                <w:color w:val="auto"/>
              </w:rPr>
            </w:pPr>
            <w:r>
              <w:rPr>
                <w:rFonts w:ascii="Arial" w:cs="Arial" w:eastAsia="Arial" w:hAnsi="Arial"/>
                <w:sz w:val="18"/>
                <w:szCs w:val="18"/>
                <w:color w:val="auto"/>
                <w:w w:val="98"/>
              </w:rPr>
              <w:t>(99,787)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(99,788)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75"/>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Currency</w:t>
            </w:r>
          </w:p>
        </w:tc>
        <w:tc>
          <w:tcPr>
            <w:tcW w:w="1060" w:type="dxa"/>
            <w:vAlign w:val="bottom"/>
            <w:gridSpan w:val="2"/>
          </w:tcPr>
          <w:p>
            <w:pPr>
              <w:jc w:val="center"/>
              <w:ind w:right="398"/>
              <w:spacing w:after="0" w:line="149" w:lineRule="exact"/>
              <w:rPr>
                <w:sz w:val="20"/>
                <w:szCs w:val="20"/>
                <w:color w:val="auto"/>
              </w:rPr>
            </w:pPr>
            <w:r>
              <w:rPr>
                <w:rFonts w:ascii="Arial" w:cs="Arial" w:eastAsia="Arial" w:hAnsi="Arial"/>
                <w:sz w:val="14"/>
                <w:szCs w:val="14"/>
                <w:b w:val="1"/>
                <w:bCs w:val="1"/>
                <w:color w:val="auto"/>
                <w:w w:val="90"/>
              </w:rPr>
              <w:t>Interest</w:t>
            </w:r>
          </w:p>
        </w:tc>
        <w:tc>
          <w:tcPr>
            <w:tcW w:w="1140" w:type="dxa"/>
            <w:vAlign w:val="bottom"/>
            <w:gridSpan w:val="2"/>
          </w:tcPr>
          <w:p>
            <w:pPr>
              <w:jc w:val="center"/>
              <w:ind w:right="318"/>
              <w:spacing w:after="0" w:line="149" w:lineRule="exact"/>
              <w:rPr>
                <w:sz w:val="20"/>
                <w:szCs w:val="20"/>
                <w:color w:val="auto"/>
              </w:rPr>
            </w:pPr>
            <w:r>
              <w:rPr>
                <w:rFonts w:ascii="Arial" w:cs="Arial" w:eastAsia="Arial" w:hAnsi="Arial"/>
                <w:sz w:val="14"/>
                <w:szCs w:val="14"/>
                <w:b w:val="1"/>
                <w:bCs w:val="1"/>
                <w:color w:val="auto"/>
                <w:w w:val="87"/>
              </w:rPr>
              <w:t>Employee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right"/>
              <w:ind w:right="29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60" w:type="dxa"/>
            <w:vAlign w:val="bottom"/>
            <w:gridSpan w:val="2"/>
          </w:tcPr>
          <w:p>
            <w:pPr>
              <w:jc w:val="center"/>
              <w:ind w:right="398"/>
              <w:spacing w:after="0" w:line="149" w:lineRule="exact"/>
              <w:rPr>
                <w:sz w:val="20"/>
                <w:szCs w:val="20"/>
                <w:color w:val="auto"/>
              </w:rPr>
            </w:pPr>
            <w:r>
              <w:rPr>
                <w:rFonts w:ascii="Arial" w:cs="Arial" w:eastAsia="Arial" w:hAnsi="Arial"/>
                <w:sz w:val="14"/>
                <w:szCs w:val="14"/>
                <w:b w:val="1"/>
                <w:bCs w:val="1"/>
                <w:color w:val="auto"/>
                <w:w w:val="85"/>
              </w:rPr>
              <w:t>Rate</w:t>
            </w:r>
          </w:p>
        </w:tc>
        <w:tc>
          <w:tcPr>
            <w:tcW w:w="1140" w:type="dxa"/>
            <w:vAlign w:val="bottom"/>
            <w:gridSpan w:val="2"/>
          </w:tcPr>
          <w:p>
            <w:pPr>
              <w:jc w:val="center"/>
              <w:ind w:right="318"/>
              <w:spacing w:after="0" w:line="149" w:lineRule="exact"/>
              <w:rPr>
                <w:sz w:val="20"/>
                <w:szCs w:val="20"/>
                <w:color w:val="auto"/>
              </w:rPr>
            </w:pPr>
            <w:r>
              <w:rPr>
                <w:rFonts w:ascii="Arial" w:cs="Arial" w:eastAsia="Arial" w:hAnsi="Arial"/>
                <w:sz w:val="14"/>
                <w:szCs w:val="14"/>
                <w:b w:val="1"/>
                <w:bCs w:val="1"/>
                <w:color w:val="auto"/>
                <w:w w:val="88"/>
              </w:rPr>
              <w:t>Benefit</w:t>
            </w:r>
          </w:p>
        </w:tc>
        <w:tc>
          <w:tcPr>
            <w:tcW w:w="100" w:type="dxa"/>
            <w:vAlign w:val="bottom"/>
          </w:tcPr>
          <w:p>
            <w:pPr>
              <w:spacing w:after="0"/>
              <w:rPr>
                <w:sz w:val="12"/>
                <w:szCs w:val="12"/>
                <w:color w:val="auto"/>
              </w:rPr>
            </w:pPr>
          </w:p>
        </w:tc>
        <w:tc>
          <w:tcPr>
            <w:tcW w:w="1040" w:type="dxa"/>
            <w:vAlign w:val="bottom"/>
            <w:gridSpan w:val="2"/>
          </w:tcPr>
          <w:p>
            <w:pPr>
              <w:jc w:val="right"/>
              <w:ind w:right="558"/>
              <w:spacing w:after="0" w:line="149" w:lineRule="exact"/>
              <w:rPr>
                <w:sz w:val="20"/>
                <w:szCs w:val="20"/>
                <w:color w:val="auto"/>
              </w:rPr>
            </w:pPr>
            <w:r>
              <w:rPr>
                <w:rFonts w:ascii="Arial" w:cs="Arial" w:eastAsia="Arial" w:hAnsi="Arial"/>
                <w:sz w:val="14"/>
                <w:szCs w:val="14"/>
                <w:b w:val="1"/>
                <w:bCs w:val="1"/>
                <w:color w:val="auto"/>
              </w:rPr>
              <w:t>Total</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60" w:type="dxa"/>
            <w:vAlign w:val="bottom"/>
            <w:gridSpan w:val="2"/>
          </w:tcPr>
          <w:p>
            <w:pPr>
              <w:jc w:val="center"/>
              <w:ind w:right="398"/>
              <w:spacing w:after="0"/>
              <w:rPr>
                <w:sz w:val="20"/>
                <w:szCs w:val="20"/>
                <w:color w:val="auto"/>
              </w:rPr>
            </w:pPr>
            <w:r>
              <w:rPr>
                <w:rFonts w:ascii="Arial" w:cs="Arial" w:eastAsia="Arial" w:hAnsi="Arial"/>
                <w:sz w:val="14"/>
                <w:szCs w:val="14"/>
                <w:b w:val="1"/>
                <w:bCs w:val="1"/>
                <w:color w:val="auto"/>
                <w:w w:val="88"/>
              </w:rPr>
              <w:t>Hedge</w:t>
            </w:r>
          </w:p>
        </w:tc>
        <w:tc>
          <w:tcPr>
            <w:tcW w:w="1140" w:type="dxa"/>
            <w:vAlign w:val="bottom"/>
            <w:gridSpan w:val="2"/>
          </w:tcPr>
          <w:p>
            <w:pPr>
              <w:jc w:val="center"/>
              <w:ind w:right="338"/>
              <w:spacing w:after="0"/>
              <w:rPr>
                <w:sz w:val="20"/>
                <w:szCs w:val="20"/>
                <w:color w:val="auto"/>
              </w:rPr>
            </w:pPr>
            <w:r>
              <w:rPr>
                <w:rFonts w:ascii="Arial" w:cs="Arial" w:eastAsia="Arial" w:hAnsi="Arial"/>
                <w:sz w:val="14"/>
                <w:szCs w:val="14"/>
                <w:b w:val="1"/>
                <w:bCs w:val="1"/>
                <w:color w:val="auto"/>
                <w:w w:val="85"/>
              </w:rPr>
              <w:t>Plans</w:t>
            </w:r>
          </w:p>
        </w:tc>
        <w:tc>
          <w:tcPr>
            <w:tcW w:w="100" w:type="dxa"/>
            <w:vAlign w:val="bottom"/>
          </w:tcPr>
          <w:p>
            <w:pPr>
              <w:spacing w:after="0"/>
              <w:rPr>
                <w:sz w:val="14"/>
                <w:szCs w:val="14"/>
                <w:color w:val="auto"/>
              </w:rPr>
            </w:pPr>
          </w:p>
        </w:tc>
        <w:tc>
          <w:tcPr>
            <w:tcW w:w="1040" w:type="dxa"/>
            <w:vAlign w:val="bottom"/>
            <w:gridSpan w:val="2"/>
          </w:tcPr>
          <w:p>
            <w:pPr>
              <w:jc w:val="right"/>
              <w:ind w:right="518"/>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800" w:type="dxa"/>
            <w:vAlign w:val="bottom"/>
            <w:gridSpan w:val="2"/>
          </w:tcPr>
          <w:p>
            <w:pPr>
              <w:jc w:val="right"/>
              <w:ind w:right="27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38,657</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(2,502</w:t>
            </w:r>
          </w:p>
        </w:tc>
        <w:tc>
          <w:tcPr>
            <w:tcW w:w="500" w:type="dxa"/>
            <w:vAlign w:val="bottom"/>
            <w:tcBorders>
              <w:top w:val="single" w:sz="8" w:color="CCEEFF"/>
            </w:tcBorders>
            <w:shd w:val="clear" w:color="auto" w:fill="CCEEFF"/>
          </w:tcPr>
          <w:p>
            <w:pPr>
              <w:jc w:val="right"/>
              <w:ind w:right="358"/>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(128,536</w:t>
            </w:r>
          </w:p>
        </w:tc>
        <w:tc>
          <w:tcPr>
            <w:tcW w:w="400" w:type="dxa"/>
            <w:vAlign w:val="bottom"/>
            <w:tcBorders>
              <w:top w:val="single" w:sz="8" w:color="CCEEFF"/>
            </w:tcBorders>
            <w:shd w:val="clear" w:color="auto" w:fill="CCEEFF"/>
          </w:tcPr>
          <w:p>
            <w:pPr>
              <w:jc w:val="right"/>
              <w:ind w:right="25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(92,381</w:t>
            </w:r>
          </w:p>
        </w:tc>
        <w:tc>
          <w:tcPr>
            <w:tcW w:w="420" w:type="dxa"/>
            <w:vAlign w:val="bottom"/>
            <w:tcBorders>
              <w:top w:val="single" w:sz="8" w:color="CCEEFF"/>
            </w:tcBorders>
            <w:shd w:val="clear" w:color="auto" w:fill="CCEEFF"/>
          </w:tcPr>
          <w:p>
            <w:pPr>
              <w:jc w:val="right"/>
              <w:ind w:right="2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Activity January 1 to June 30, 2013: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(20,964)</w:t>
            </w:r>
          </w:p>
        </w:tc>
        <w:tc>
          <w:tcPr>
            <w:tcW w:w="1060" w:type="dxa"/>
            <w:vAlign w:val="bottom"/>
            <w:gridSpan w:val="2"/>
            <w:shd w:val="clear" w:color="auto" w:fill="CCEEFF"/>
          </w:tcPr>
          <w:p>
            <w:pPr>
              <w:jc w:val="right"/>
              <w:ind w:right="41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w w:val="98"/>
              </w:rPr>
              <w:t>(23,683)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(23,617)</w:t>
            </w: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w w:val="99"/>
              </w:rPr>
              <w:t>Adjustments for items reclassified to earnings,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(20,964)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w w:val="98"/>
              </w:rPr>
              <w:t>(20,726)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(20,660)</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Balance, June 30, 2013</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17,693</w:t>
            </w:r>
          </w:p>
        </w:tc>
        <w:tc>
          <w:tcPr>
            <w:tcW w:w="200" w:type="dxa"/>
            <w:vAlign w:val="bottom"/>
          </w:tcPr>
          <w:p>
            <w:pPr>
              <w:spacing w:after="0"/>
              <w:rPr>
                <w:sz w:val="19"/>
                <w:szCs w:val="19"/>
                <w:color w:val="auto"/>
              </w:rPr>
            </w:pPr>
          </w:p>
        </w:tc>
        <w:tc>
          <w:tcPr>
            <w:tcW w:w="1060" w:type="dxa"/>
            <w:vAlign w:val="bottom"/>
            <w:gridSpan w:val="2"/>
          </w:tcPr>
          <w:p>
            <w:pPr>
              <w:jc w:val="right"/>
              <w:ind w:right="35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(1,975)</w:t>
            </w:r>
          </w:p>
        </w:tc>
        <w:tc>
          <w:tcPr>
            <w:tcW w:w="1140" w:type="dxa"/>
            <w:vAlign w:val="bottom"/>
            <w:gridSpan w:val="2"/>
          </w:tcPr>
          <w:p>
            <w:pPr>
              <w:jc w:val="right"/>
              <w:ind w:right="25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(128,825)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278"/>
              <w:spacing w:after="0"/>
              <w:rPr>
                <w:sz w:val="20"/>
                <w:szCs w:val="20"/>
                <w:color w:val="auto"/>
              </w:rPr>
            </w:pPr>
            <w:r>
              <w:rPr>
                <w:rFonts w:ascii="Arial" w:cs="Arial" w:eastAsia="Arial" w:hAnsi="Arial"/>
                <w:sz w:val="18"/>
                <w:szCs w:val="18"/>
                <w:color w:val="auto"/>
                <w:w w:val="85"/>
              </w:rPr>
              <w:t>(113,107)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(113,053)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reflects adjustments for items reclassified out of AOCI, by component, for the three month and six month periods ended June 30, 2014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14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left="30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26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of interest rate hedge (a)</w:t>
            </w:r>
          </w:p>
        </w:tc>
        <w:tc>
          <w:tcPr>
            <w:tcW w:w="2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40" w:type="dxa"/>
            <w:vAlign w:val="bottom"/>
            <w:gridSpan w:val="3"/>
          </w:tcPr>
          <w:p>
            <w:pPr>
              <w:spacing w:after="0"/>
              <w:rPr>
                <w:sz w:val="20"/>
                <w:szCs w:val="20"/>
                <w:color w:val="auto"/>
              </w:rPr>
            </w:pPr>
            <w:r>
              <w:rPr>
                <w:rFonts w:ascii="Arial" w:cs="Arial" w:eastAsia="Arial" w:hAnsi="Arial"/>
                <w:sz w:val="18"/>
                <w:szCs w:val="18"/>
                <w:color w:val="auto"/>
              </w:rPr>
              <w:t>Amortization relating to employee benefit plans (b)</w:t>
            </w: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1,612</w:t>
            </w:r>
          </w:p>
        </w:tc>
        <w:tc>
          <w:tcPr>
            <w:tcW w:w="1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related income taxes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Net of tax</w:t>
            </w:r>
          </w:p>
        </w:tc>
        <w:tc>
          <w:tcPr>
            <w:tcW w:w="2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3"/>
            <w:vMerge w:val="continue"/>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1,212</w:t>
            </w:r>
          </w:p>
        </w:tc>
        <w:tc>
          <w:tcPr>
            <w:tcW w:w="1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1,475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statements of operations.</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2014 and 2013 and noncontrolling interests as of June 30, 2014 and December 31, 2013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gridSpan w:val="7"/>
          </w:tcPr>
          <w:p>
            <w:pPr>
              <w:jc w:val="right"/>
              <w:ind w:right="212"/>
              <w:spacing w:after="0"/>
              <w:rPr>
                <w:sz w:val="20"/>
                <w:szCs w:val="20"/>
                <w:color w:val="auto"/>
              </w:rPr>
            </w:pPr>
            <w:r>
              <w:rPr>
                <w:rFonts w:ascii="Arial" w:cs="Arial" w:eastAsia="Arial" w:hAnsi="Arial"/>
                <w:sz w:val="14"/>
                <w:szCs w:val="14"/>
                <w:b w:val="1"/>
                <w:bCs w:val="1"/>
                <w:color w:val="auto"/>
                <w:w w:val="97"/>
              </w:rPr>
              <w:t>Net Income (Loss) Attributable To</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492"/>
              <w:spacing w:after="0"/>
              <w:rPr>
                <w:sz w:val="20"/>
                <w:szCs w:val="20"/>
                <w:color w:val="auto"/>
              </w:rPr>
            </w:pPr>
            <w:r>
              <w:rPr>
                <w:rFonts w:ascii="Arial" w:cs="Arial" w:eastAsia="Arial" w:hAnsi="Arial"/>
                <w:sz w:val="14"/>
                <w:szCs w:val="14"/>
                <w:b w:val="1"/>
                <w:bCs w:val="1"/>
                <w:color w:val="auto"/>
                <w:w w:val="87"/>
              </w:rPr>
              <w:t>Noncontrolling Interests</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6"/>
          </w:tcPr>
          <w:p>
            <w:pPr>
              <w:jc w:val="right"/>
              <w:ind w:right="420"/>
              <w:spacing w:after="0" w:line="129" w:lineRule="exact"/>
              <w:rPr>
                <w:sz w:val="20"/>
                <w:szCs w:val="20"/>
                <w:color w:val="auto"/>
              </w:rPr>
            </w:pPr>
            <w:r>
              <w:rPr>
                <w:rFonts w:ascii="Arial" w:cs="Arial" w:eastAsia="Arial" w:hAnsi="Arial"/>
                <w:sz w:val="14"/>
                <w:szCs w:val="14"/>
                <w:b w:val="1"/>
                <w:bCs w:val="1"/>
                <w:color w:val="auto"/>
                <w:w w:val="90"/>
              </w:rPr>
              <w:t>Three Months Ended</w:t>
            </w:r>
          </w:p>
        </w:tc>
        <w:tc>
          <w:tcPr>
            <w:tcW w:w="180" w:type="dxa"/>
            <w:vAlign w:val="bottom"/>
          </w:tcPr>
          <w:p>
            <w:pPr>
              <w:spacing w:after="0"/>
              <w:rPr>
                <w:sz w:val="11"/>
                <w:szCs w:val="11"/>
                <w:color w:val="auto"/>
              </w:rPr>
            </w:pPr>
          </w:p>
        </w:tc>
        <w:tc>
          <w:tcPr>
            <w:tcW w:w="1540" w:type="dxa"/>
            <w:vAlign w:val="bottom"/>
            <w:gridSpan w:val="3"/>
          </w:tcPr>
          <w:p>
            <w:pPr>
              <w:jc w:val="right"/>
              <w:ind w:right="157"/>
              <w:spacing w:after="0" w:line="129" w:lineRule="exact"/>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3"/>
              </w:rPr>
              <w:t>2014</w:t>
            </w:r>
          </w:p>
        </w:tc>
        <w:tc>
          <w:tcPr>
            <w:tcW w:w="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$4,672</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220" w:type="dxa"/>
            <w:vAlign w:val="bottom"/>
            <w:gridSpan w:val="3"/>
          </w:tcPr>
          <w:p>
            <w:pPr>
              <w:jc w:val="right"/>
              <w:ind w:right="472"/>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122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80" w:type="dxa"/>
            <w:vAlign w:val="bottom"/>
            <w:vMerge w:val="restart"/>
          </w:tcPr>
          <w:p>
            <w:pPr>
              <w:jc w:val="right"/>
              <w:ind w:right="1792"/>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Noncontrolling Interests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3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$ 65,869</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66,641</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w:t>
            </w:r>
          </w:p>
        </w:tc>
        <w:tc>
          <w:tcPr>
            <w:tcW w:w="3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$ 65,879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and six month periods ended June 30, 2014 and 2013,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units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six month periods ended June 30, 2014 and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w w:val="98"/>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7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RSUs (a)</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$40,931</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$52,147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93,216</w:t>
            </w:r>
          </w:p>
        </w:tc>
        <w:tc>
          <w:tcPr>
            <w:tcW w:w="660" w:type="dxa"/>
            <w:vAlign w:val="bottom"/>
          </w:tcPr>
          <w:p>
            <w:pPr>
              <w:jc w:val="right"/>
              <w:spacing w:after="0"/>
              <w:rPr>
                <w:sz w:val="20"/>
                <w:szCs w:val="20"/>
                <w:color w:val="auto"/>
              </w:rPr>
            </w:pPr>
            <w:r>
              <w:rPr>
                <w:rFonts w:ascii="Arial" w:cs="Arial" w:eastAsia="Arial" w:hAnsi="Arial"/>
                <w:sz w:val="18"/>
                <w:szCs w:val="18"/>
                <w:color w:val="auto"/>
                <w:w w:val="79"/>
              </w:rPr>
              <w:t>$ 117,089</w:t>
            </w: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4,244</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10,856</w:t>
            </w:r>
          </w:p>
        </w:tc>
        <w:tc>
          <w:tcPr>
            <w:tcW w:w="660" w:type="dxa"/>
            <w:vAlign w:val="bottom"/>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r>
      <w:tr>
        <w:trPr>
          <w:trHeight w:val="222"/>
        </w:trPr>
        <w:tc>
          <w:tcPr>
            <w:tcW w:w="754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50,794</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56,667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82"/>
              </w:rPr>
              <w:t>111,540</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127,344</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during the three month and six month periods ended June 30, 2013, charges relating to the cost saving initiatives of $4,644 and $9,099, respectively (see Note 14 of Notes to Condensed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during the three month and six month periods ended June 30, 2013, charges relating to the cost saving initiatives of $14 and $247, respectively.</w:t>
      </w:r>
    </w:p>
    <w:p>
      <w:pPr>
        <w:spacing w:after="0" w:line="194"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periods ended June 30, 2014 and 2013, dividend participation rights required the issuance of 203,537 and 135,044 RSUs, respectively.</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26,360 and 39,315 DSUs granted during the six month periods ended June 30, 2014 and 2013,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any ordinary quarterly dividends paid on Class A common stock, and resulted in nominal cash payments for the six month periods ended June 30, 2014 and 2013.</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periods ended June 30, 2014 and 2013, 4,383 and 3,916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2014 and 2013:</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RSUs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140" w:type="dxa"/>
            <w:vAlign w:val="bottom"/>
            <w:gridSpan w:val="4"/>
          </w:tcPr>
          <w:p>
            <w:pPr>
              <w:jc w:val="center"/>
              <w:ind w:left="17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16,630,009</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251,434</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Granted (including 203,537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3,625,734</w:t>
            </w:r>
          </w:p>
        </w:tc>
        <w:tc>
          <w:tcPr>
            <w:tcW w:w="32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42.87</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30,743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(77,368)</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(6,381,080)</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37.98</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13,797,295</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38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282,177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8"/>
                <w:szCs w:val="18"/>
                <w:color w:val="auto"/>
              </w:rPr>
            </w:pPr>
          </w:p>
        </w:tc>
      </w:tr>
      <w:tr>
        <w:trPr>
          <w:trHeight w:val="20"/>
        </w:trPr>
        <w:tc>
          <w:tcPr>
            <w:tcW w:w="62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22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21,481,131</w:t>
            </w:r>
          </w:p>
        </w:tc>
        <w:tc>
          <w:tcPr>
            <w:tcW w:w="32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33.92</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204,496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135,044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4,692,687</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(223,346)</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34.64</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(8,589,999)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Balance, June 30, 2013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17,360,473</w:t>
            </w:r>
          </w:p>
        </w:tc>
        <w:tc>
          <w:tcPr>
            <w:tcW w:w="320" w:type="dxa"/>
            <w:vAlign w:val="bottom"/>
          </w:tcPr>
          <w:p>
            <w:pPr>
              <w:spacing w:after="0"/>
              <w:rPr>
                <w:sz w:val="19"/>
                <w:szCs w:val="19"/>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34.20</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247,727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RSUs that vested during the six month periods ended June 30, 2014 and 2013, the Company satisfied its minimum statutory tax withholding requirements in lieu of issuing 1,853,416 and 3,309,900 shares of Class A common stock in the respective six month periods. Accordingly, 4,527,664 and 5,280,099 shares of Class A common stock held by the Company were delivered during the six month periods ended June 30, 2014 and 2013, respectively.</w:t>
      </w:r>
    </w:p>
    <w:p>
      <w:pPr>
        <w:spacing w:after="0" w:line="107"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During the fourth quarter of 2012, 958,213 RSUs were modified through forward purchase agreements into liability awards. Such liability awards were settled on March 1, 2013 for $28,612. During the six month period ended June 30, 2013, compensation expense of $1,690 was recorded for such liability awards.</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June 30, 2014, estimated unrecognized RSU compensation expense was approximately $203,008, with such expense expected to be recognized over a weighted average period of approximately 1.3 years subsequent to June 30, 2014.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2014 and 2013:</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575,054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449,911</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(9,438)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(205,075)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35.23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810,452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80" w:type="dxa"/>
            <w:vAlign w:val="bottom"/>
            <w:shd w:val="clear" w:color="auto" w:fill="CCEEFF"/>
          </w:tcPr>
          <w:p>
            <w:pPr>
              <w:spacing w:after="0"/>
              <w:rPr>
                <w:sz w:val="18"/>
                <w:szCs w:val="18"/>
                <w:color w:val="auto"/>
              </w:rPr>
            </w:pPr>
          </w:p>
        </w:tc>
      </w:tr>
      <w:tr>
        <w:trPr>
          <w:trHeight w:val="20"/>
        </w:trPr>
        <w:tc>
          <w:tcPr>
            <w:tcW w:w="70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20" w:type="dxa"/>
            <w:vAlign w:val="bottom"/>
            <w:gridSpan w:val="2"/>
          </w:tcPr>
          <w:p>
            <w:pPr>
              <w:spacing w:after="0"/>
              <w:rPr>
                <w:sz w:val="20"/>
                <w:szCs w:val="20"/>
                <w:color w:val="auto"/>
              </w:rPr>
            </w:pPr>
            <w:r>
              <w:rPr>
                <w:rFonts w:ascii="Arial" w:cs="Arial" w:eastAsia="Arial" w:hAnsi="Arial"/>
                <w:sz w:val="18"/>
                <w:szCs w:val="18"/>
                <w:color w:val="auto"/>
              </w:rPr>
              <w:t>Balance, January 1, 2013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368,736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(35,183)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33.29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(1,727,121)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80" w:type="dxa"/>
            <w:vAlign w:val="bottom"/>
            <w:shd w:val="clear" w:color="auto" w:fill="CCEEFF"/>
          </w:tcPr>
          <w:p>
            <w:pPr>
              <w:spacing w:after="0"/>
              <w:rPr>
                <w:sz w:val="18"/>
                <w:szCs w:val="18"/>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Balance, June 30, 2013</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579,041</w:t>
            </w:r>
          </w:p>
        </w:tc>
        <w:tc>
          <w:tcPr>
            <w:tcW w:w="30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32.73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six month periods ended June 30, 2014 and 2013, the Company satisfied its minimum statutory tax withholding requirements in lieu of delivering 29,999 and 17,915 shares of Class A common stock during the respective six month periods. Accordingly, 175,076 and 1,709,206 shares of Class A common stock held by the Company were delivered during the six month periods ended June 30, 2014 and 2013,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restricted stock awards include a cash dividend participation right equivalent to any ordinary quarterly dividends paid on Class A common stock during the period, which will vest concurrently with the underlying restricted stock award. At June 30, 2014, estimated unrecognized restricted stock expense was approximately $15,709, with such expense to be recognized over a weighted average period of approximately 1.6 years subsequent to June 30, 2014.</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can range from zero to two times the target number (or, for PRSUs granted in 2013, three times the target number in the event of a substantial increase in fiscal year 2014 revenue (adjusted for certain items)). The PRSUs granted in 2014 will vest on a single date three years following the date of the grant and the PRSUs granted in 2013 will vest 33% in March 2015 and 67% in March 2016, in each case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achievement of performance criteria. PRSUs include dividend participation rights that provide that during vesting periods the target number of PRSUs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PRSUs during the six month periods ended June 30, 2014 and 2013 at the target level:</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76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7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360,783</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9"/>
                <w:szCs w:val="19"/>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808,911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7620" w:type="dxa"/>
            <w:vAlign w:val="bottom"/>
          </w:tcPr>
          <w:p>
            <w:pPr>
              <w:spacing w:after="0"/>
              <w:rPr>
                <w:sz w:val="20"/>
                <w:szCs w:val="20"/>
                <w:color w:val="auto"/>
              </w:rPr>
            </w:pPr>
            <w:r>
              <w:rPr>
                <w:rFonts w:ascii="Arial" w:cs="Arial" w:eastAsia="Arial" w:hAnsi="Arial"/>
                <w:sz w:val="18"/>
                <w:szCs w:val="18"/>
                <w:color w:val="auto"/>
              </w:rPr>
              <w:t>Balance, January 1, 2013</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Balance, June 30, 2013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448,128</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2014, the total estimated unrecognized compensation expense was approximately $28,770, and the Company expects to amortize such expense over a weighted-average period of approximately 1.8 years subsequent to June 30, 2014.</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Commencing in February 2011, the Company granted LFI to eligible employees. In connection with the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activity relating to LFI and other similar deferred compensation arrangements during the six month periods ended June 30, 2014 and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811"/>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6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551"/>
              <w:spacing w:after="0"/>
              <w:rPr>
                <w:sz w:val="20"/>
                <w:szCs w:val="20"/>
                <w:color w:val="auto"/>
              </w:rPr>
            </w:pPr>
            <w:r>
              <w:rPr>
                <w:rFonts w:ascii="Arial" w:cs="Arial" w:eastAsia="Arial" w:hAnsi="Arial"/>
                <w:sz w:val="18"/>
                <w:szCs w:val="18"/>
                <w:color w:val="auto"/>
              </w:rPr>
              <w:t>92,711</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92,711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tcBorders>
              <w:left w:val="single" w:sz="8" w:color="CCEEFF"/>
            </w:tcBorders>
            <w:shd w:val="clear" w:color="auto" w:fill="CCEEFF"/>
          </w:tcPr>
          <w:p>
            <w:pPr>
              <w:jc w:val="right"/>
              <w:ind w:right="551"/>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(52,944)</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491"/>
              <w:spacing w:after="0"/>
              <w:rPr>
                <w:sz w:val="20"/>
                <w:szCs w:val="20"/>
                <w:color w:val="auto"/>
              </w:rPr>
            </w:pPr>
            <w:r>
              <w:rPr>
                <w:rFonts w:ascii="Arial" w:cs="Arial" w:eastAsia="Arial" w:hAnsi="Arial"/>
                <w:sz w:val="18"/>
                <w:szCs w:val="18"/>
                <w:color w:val="auto"/>
              </w:rPr>
              <w:t>(1,189)</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91"/>
              <w:spacing w:after="0"/>
              <w:rPr>
                <w:sz w:val="20"/>
                <w:szCs w:val="20"/>
                <w:color w:val="auto"/>
              </w:rPr>
            </w:pPr>
            <w:r>
              <w:rPr>
                <w:rFonts w:ascii="Arial" w:cs="Arial" w:eastAsia="Arial" w:hAnsi="Arial"/>
                <w:sz w:val="18"/>
                <w:szCs w:val="18"/>
                <w:color w:val="auto"/>
              </w:rPr>
              <w:t>(39,457)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jc w:val="right"/>
              <w:ind w:right="551"/>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ind w:right="551"/>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551"/>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June 30, 2014</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551"/>
              <w:spacing w:after="0"/>
              <w:rPr>
                <w:sz w:val="20"/>
                <w:szCs w:val="20"/>
                <w:color w:val="auto"/>
              </w:rPr>
            </w:pPr>
            <w:r>
              <w:rPr>
                <w:rFonts w:ascii="Arial" w:cs="Arial" w:eastAsia="Arial" w:hAnsi="Arial"/>
                <w:sz w:val="18"/>
                <w:szCs w:val="18"/>
                <w:color w:val="auto"/>
              </w:rPr>
              <w:t>112,535</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215,163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831"/>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911"/>
              <w:spacing w:after="0"/>
              <w:rPr>
                <w:sz w:val="20"/>
                <w:szCs w:val="20"/>
                <w:color w:val="auto"/>
              </w:rPr>
            </w:pPr>
            <w:r>
              <w:rPr>
                <w:rFonts w:ascii="Arial" w:cs="Arial" w:eastAsia="Arial" w:hAnsi="Arial"/>
                <w:sz w:val="14"/>
                <w:szCs w:val="14"/>
                <w:b w:val="1"/>
                <w:bCs w:val="1"/>
                <w:color w:val="auto"/>
                <w:w w:val="94"/>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72,217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72,217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(19,107)</w:t>
            </w:r>
          </w:p>
        </w:tc>
        <w:tc>
          <w:tcPr>
            <w:tcW w:w="0" w:type="dxa"/>
            <w:vAlign w:val="bottom"/>
          </w:tcPr>
          <w:p>
            <w:pPr>
              <w:spacing w:after="0"/>
              <w:rPr>
                <w:sz w:val="1"/>
                <w:szCs w:val="1"/>
                <w:color w:val="auto"/>
              </w:rPr>
            </w:pP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(30,226)</w:t>
            </w:r>
          </w:p>
        </w:tc>
        <w:tc>
          <w:tcPr>
            <w:tcW w:w="6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79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6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Balance, June 30, 2013</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vMerge w:val="continue"/>
          </w:tcPr>
          <w:p>
            <w:pPr>
              <w:spacing w:after="0"/>
              <w:rPr>
                <w:sz w:val="19"/>
                <w:szCs w:val="19"/>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88,355</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151,225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1.9 years subsequent to June 30, 2014.</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2014 and 2013: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2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Pr>
          <w:p>
            <w:pPr>
              <w:spacing w:after="0"/>
              <w:rPr>
                <w:sz w:val="14"/>
                <w:szCs w:val="14"/>
                <w:color w:val="auto"/>
              </w:rPr>
            </w:pPr>
          </w:p>
        </w:tc>
        <w:tc>
          <w:tcPr>
            <w:tcW w:w="11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2014</w:t>
            </w:r>
          </w:p>
        </w:tc>
        <w:tc>
          <w:tcPr>
            <w:tcW w:w="11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$21,603</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$19,052</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$41,916</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Change in the fair value of underlying investments</w:t>
            </w:r>
          </w:p>
        </w:tc>
        <w:tc>
          <w:tcPr>
            <w:tcW w:w="1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8,906</w:t>
            </w:r>
          </w:p>
        </w:tc>
        <w:tc>
          <w:tcPr>
            <w:tcW w:w="5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(3,477)</w:t>
            </w:r>
          </w:p>
        </w:tc>
        <w:tc>
          <w:tcPr>
            <w:tcW w:w="580" w:type="dxa"/>
            <w:vAlign w:val="bottom"/>
          </w:tcPr>
          <w:p>
            <w:pPr>
              <w:jc w:val="right"/>
              <w:spacing w:after="0"/>
              <w:rPr>
                <w:sz w:val="20"/>
                <w:szCs w:val="20"/>
                <w:color w:val="auto"/>
              </w:rPr>
            </w:pPr>
            <w:r>
              <w:rPr>
                <w:rFonts w:ascii="Arial" w:cs="Arial" w:eastAsia="Arial" w:hAnsi="Arial"/>
                <w:sz w:val="18"/>
                <w:szCs w:val="18"/>
                <w:color w:val="auto"/>
              </w:rPr>
              <w:t>11,532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30,509</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53,448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during the three month and six month periods ended June 30, 2013, charges relating to the cost saving initiatives of $1,748 and $2,665, respectively (see Note 14 of Notes to Condensed Consolidated Financial Statements).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connection with such valuations and a previously negotiated agreement with the Trustees, the Company and the Trustees agreed upon pension funding terms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 pursuant to which the Company agreed to make plan contributions of 1 million British pounds during each year from 2012 through 2020 inclusive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 make annual contributions of 1 million British pounds into an account security arrangement during each year from 2014 through 2020 inclusive. It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further agreed that, to the extent that the value of the plans’ assets falls short of the funding target for June 1, 2020 that has been agreed upon with the Trustees,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assets from the account security arrangement would be released into the plans at that date. Additionally, the Company agreed to fund the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administering the plans, including certain regulator levies and the cost of other professional advisors to the plans. The terms of the agreement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 based on the results of subsequent triennial valuations. The aggregate amount in the account security arrangement was approximately $19,100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$16,900 at June 30, 2014 and December 31, 2013, respectively, and has been recorded in “cash deposited with clearing organizations and other segregated cash”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 the accompanying condensed consolidated statements of financial condition. Income on the account security arrangement accretes to the Company and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in interest income.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six month periods ended June 30, 2014 and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Pension Plans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Medical Plan</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11"/>
          </w:tcPr>
          <w:p>
            <w:pPr>
              <w:jc w:val="right"/>
              <w:ind w:right="300"/>
              <w:spacing w:after="0" w:line="142" w:lineRule="exact"/>
              <w:rPr>
                <w:sz w:val="20"/>
                <w:szCs w:val="20"/>
                <w:color w:val="auto"/>
              </w:rPr>
            </w:pPr>
            <w:r>
              <w:rPr>
                <w:rFonts w:ascii="Arial" w:cs="Arial" w:eastAsia="Arial" w:hAnsi="Arial"/>
                <w:sz w:val="14"/>
                <w:szCs w:val="14"/>
                <w:b w:val="1"/>
                <w:bCs w:val="1"/>
                <w:color w:val="auto"/>
                <w:w w:val="87"/>
              </w:rPr>
              <w:t>Three Months Ended June 30,</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76"/>
              </w:rPr>
              <w:t>2013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7,640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6,689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(8,228)</w:t>
            </w:r>
          </w:p>
        </w:tc>
        <w:tc>
          <w:tcPr>
            <w:tcW w:w="8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(6,585)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9"/>
              </w:rPr>
              <w:t>(242)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220"/>
              <w:spacing w:after="0"/>
              <w:rPr>
                <w:sz w:val="20"/>
                <w:szCs w:val="20"/>
                <w:color w:val="auto"/>
              </w:rPr>
            </w:pPr>
            <w:r>
              <w:rPr>
                <w:rFonts w:ascii="Arial" w:cs="Arial" w:eastAsia="Arial" w:hAnsi="Arial"/>
                <w:sz w:val="18"/>
                <w:szCs w:val="18"/>
                <w:color w:val="auto"/>
              </w:rPr>
              <w:t>Net benefit cost</w:t>
            </w: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$ 2,025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5"/>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Pension Plans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Medical Plan</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80" w:type="dxa"/>
            <w:vAlign w:val="bottom"/>
            <w:tcBorders>
              <w:top w:val="single" w:sz="8" w:color="auto"/>
              <w:bottom w:val="single" w:sz="8" w:color="auto"/>
            </w:tcBorders>
            <w:gridSpan w:val="10"/>
          </w:tcPr>
          <w:p>
            <w:pPr>
              <w:jc w:val="right"/>
              <w:ind w:right="380"/>
              <w:spacing w:after="0" w:line="142" w:lineRule="exact"/>
              <w:rPr>
                <w:sz w:val="20"/>
                <w:szCs w:val="20"/>
                <w:color w:val="auto"/>
              </w:rPr>
            </w:pPr>
            <w:r>
              <w:rPr>
                <w:rFonts w:ascii="Arial" w:cs="Arial" w:eastAsia="Arial" w:hAnsi="Arial"/>
                <w:sz w:val="14"/>
                <w:szCs w:val="14"/>
                <w:b w:val="1"/>
                <w:bCs w:val="1"/>
                <w:color w:val="auto"/>
                <w:w w:val="87"/>
              </w:rPr>
              <w:t>Six Months Ended June 30,</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6"/>
              </w:rPr>
              <w:t>$ 27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15,171</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13,442</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w w:val="89"/>
              </w:rPr>
              <w:t>(16,307)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(13,382)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5"/>
              </w:rPr>
              <w:t>(265)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220"/>
              <w:spacing w:after="0"/>
              <w:rPr>
                <w:sz w:val="20"/>
                <w:szCs w:val="20"/>
                <w:color w:val="auto"/>
              </w:rPr>
            </w:pPr>
            <w:r>
              <w:rPr>
                <w:rFonts w:ascii="Arial" w:cs="Arial" w:eastAsia="Arial" w:hAnsi="Arial"/>
                <w:sz w:val="18"/>
                <w:szCs w:val="18"/>
                <w:color w:val="auto"/>
              </w:rPr>
              <w:t>Net benefit cost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40" w:type="dxa"/>
            <w:vAlign w:val="bottom"/>
            <w:vMerge w:val="continue"/>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3,012</w:t>
            </w:r>
          </w:p>
        </w:tc>
        <w:tc>
          <w:tcPr>
            <w:tcW w:w="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3,915</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3"/>
          </w:tcPr>
          <w:p>
            <w:pPr>
              <w:jc w:val="right"/>
              <w:ind w:right="260"/>
              <w:spacing w:after="0"/>
              <w:rPr>
                <w:sz w:val="20"/>
                <w:szCs w:val="20"/>
                <w:color w:val="auto"/>
              </w:rPr>
            </w:pPr>
            <w:r>
              <w:rPr>
                <w:rFonts w:ascii="Arial" w:cs="Arial" w:eastAsia="Arial" w:hAnsi="Arial"/>
                <w:sz w:val="18"/>
                <w:szCs w:val="18"/>
                <w:color w:val="auto"/>
                <w:w w:val="85"/>
              </w:rPr>
              <w:t>(151)</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October 2012, the Company announced cost saving initiatives (the “Cost Saving Initiatives”) relating to the Company’s operations. These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Expenses associated with the implementation of the Cost Saving Initiatives were completed during the second quarter of 2013. The Company incurred these expenses, by segment, as reflected in the tables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Financial</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Advisory</w:t>
            </w:r>
          </w:p>
        </w:tc>
        <w:tc>
          <w:tcPr>
            <w:tcW w:w="58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Management</w:t>
            </w:r>
          </w:p>
        </w:tc>
        <w:tc>
          <w:tcPr>
            <w:tcW w:w="3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 Period Ended June 30, 2013:</w:t>
            </w:r>
          </w:p>
        </w:tc>
        <w:tc>
          <w:tcPr>
            <w:tcW w:w="19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$25,352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1,376</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11,241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25,764</w:t>
            </w:r>
          </w:p>
        </w:tc>
        <w:tc>
          <w:tcPr>
            <w:tcW w:w="5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12,617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40" w:type="dxa"/>
            <w:vAlign w:val="bottom"/>
            <w:vMerge w:val="restart"/>
          </w:tcPr>
          <w:p>
            <w:pPr>
              <w:jc w:val="right"/>
              <w:ind w:right="692"/>
              <w:spacing w:after="0"/>
              <w:rPr>
                <w:sz w:val="20"/>
                <w:szCs w:val="20"/>
                <w:color w:val="auto"/>
              </w:rPr>
            </w:pPr>
            <w:r>
              <w:rPr>
                <w:rFonts w:ascii="Arial" w:cs="Arial" w:eastAsia="Arial" w:hAnsi="Arial"/>
                <w:sz w:val="18"/>
                <w:szCs w:val="18"/>
                <w:color w:val="auto"/>
              </w:rPr>
              <w:t>34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Six Month Period Ended June 30, 2013:</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45,746</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5,417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47,779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$ 16,689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80" w:type="dxa"/>
            <w:vAlign w:val="bottom"/>
          </w:tcPr>
          <w:p>
            <w:pPr>
              <w:spacing w:after="0"/>
              <w:rPr>
                <w:sz w:val="24"/>
                <w:szCs w:val="2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Financial</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4"/>
              </w:rPr>
              <w:t>Asset</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Advisory</w:t>
            </w:r>
          </w:p>
        </w:tc>
        <w:tc>
          <w:tcPr>
            <w:tcW w:w="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5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Cumulative October 2012 Through</w:t>
            </w: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June 30, 2013:</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$121,879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12,292</w:t>
            </w:r>
          </w:p>
        </w:tc>
        <w:tc>
          <w:tcPr>
            <w:tcW w:w="34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$ 17,215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$ 125,311</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13,024</w:t>
            </w:r>
          </w:p>
        </w:tc>
        <w:tc>
          <w:tcPr>
            <w:tcW w:w="340" w:type="dxa"/>
            <w:vAlign w:val="bottom"/>
          </w:tcPr>
          <w:p>
            <w:pPr>
              <w:spacing w:after="0"/>
              <w:rPr>
                <w:sz w:val="19"/>
                <w:szCs w:val="19"/>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$ 28,944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related to the obligations pursuant to the Cost Saving Initiatives during the six month period ended June 30, 2014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Accrued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8"/>
              </w:rPr>
              <w:t>and Benefits</w:t>
            </w:r>
          </w:p>
        </w:tc>
        <w:tc>
          <w:tcPr>
            <w:tcW w:w="3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5,356</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244</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Balance, June 30, 2014</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7,384</w:t>
            </w:r>
          </w:p>
        </w:tc>
        <w:tc>
          <w:tcPr>
            <w:tcW w:w="36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5,600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16" w:lineRule="exact"/>
        <w:rPr>
          <w:sz w:val="20"/>
          <w:szCs w:val="20"/>
          <w:color w:val="auto"/>
        </w:rPr>
      </w:pPr>
    </w:p>
    <w:p>
      <w:pPr>
        <w:ind w:right="220" w:firstLine="456"/>
        <w:spacing w:after="0" w:line="305" w:lineRule="auto"/>
        <w:rPr>
          <w:sz w:val="20"/>
          <w:szCs w:val="20"/>
          <w:color w:val="auto"/>
        </w:rPr>
      </w:pPr>
      <w:r>
        <w:rPr>
          <w:rFonts w:ascii="Arial" w:cs="Arial" w:eastAsia="Arial" w:hAnsi="Arial"/>
          <w:sz w:val="15"/>
          <w:szCs w:val="15"/>
          <w:color w:val="auto"/>
        </w:rPr>
        <w:t>The Company recorded income tax provisions of $15,878 and $33,735 for the three month and six month periods ended June 30, 2014, respectively, and $6,779 and $9,801 for the three month and six month periods ended June 30, 2013, respectively, representing effective tax rates of 14.4%, 15.5%, 16.2% and</w:t>
      </w:r>
    </w:p>
    <w:p>
      <w:pPr>
        <w:spacing w:after="0" w:line="255" w:lineRule="auto"/>
        <w:rPr>
          <w:sz w:val="20"/>
          <w:szCs w:val="20"/>
          <w:color w:val="auto"/>
        </w:rPr>
      </w:pPr>
      <w:r>
        <w:rPr>
          <w:rFonts w:ascii="Arial" w:cs="Arial" w:eastAsia="Arial" w:hAnsi="Arial"/>
          <w:sz w:val="18"/>
          <w:szCs w:val="18"/>
          <w:color w:val="auto"/>
        </w:rPr>
        <w:t>15.5%, respectively. The difference between the U.S. federal statutory rate of 35.0% and the effective tax rates reflected above principally relates to (i) Lazard Group primarily operating as a limited liability company in the U.S., (ii) taxes payable to foreign jurisdictions and (iii) U.S. state and local taxes (primarily UBT), which are incremental to the U.S. federal statutory tax rate.</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June 30,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160" w:type="dxa"/>
            <w:vAlign w:val="bottom"/>
            <w:tcBorders>
              <w:bottom w:val="single" w:sz="8" w:color="CCEEFF"/>
            </w:tcBorders>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3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LFCM Holdings</w:t>
            </w:r>
          </w:p>
        </w:tc>
        <w:tc>
          <w:tcPr>
            <w:tcW w:w="3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4,094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109,942</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EGCP III</w:t>
            </w: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Total</w:t>
            </w:r>
          </w:p>
        </w:tc>
        <w:tc>
          <w:tcPr>
            <w:tcW w:w="3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125,245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117,862</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LFCM Holdings</w:t>
            </w:r>
          </w:p>
        </w:tc>
        <w:tc>
          <w:tcPr>
            <w:tcW w:w="3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123,924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199,137</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3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202,919</w:t>
            </w:r>
          </w:p>
        </w:tc>
        <w:tc>
          <w:tcPr>
            <w:tcW w:w="10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LFCM Holdings owned and operated the capital markets business and fund management activities, as well as other specified non-operating assets and liabilities, that were transferred to it by Lazard Group (referred to as the “separated businesses”) in May 2005 and is owned by former and current managing directors of the Company (including the Company’s executive officers).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and insurance matters. In addition, LFCM Holdings and Lazard Group entered into a business alliance agreement (the “business alliance agreement”) and a license agreement (the “license agreement”). Certain of these agreements are described in more detail in the Company’s Form 10-K.</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For the three month and six month periods ended June 30, 2014, amounts recorded by Lazard Group relating to the administrative services agreement amounted to $223 and $592, respectively, and net referral fees for underwriting, private placement, M&amp;A and restructuring transactions under the business alliance agreement amounted to $198 and $741, respectively. For the three month and six month periods ended June 30, 2013, amounts recorded by Lazard Group relating to the administrative services agreement amounted to $300 and $932, respectively, and net referral fees for underwriting, private placement, M&amp;A and restructuring transactions under the business alliance agreement amounted to $(970) and $(470),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Receivables from LFCM Holdings and its subsidiaries as of June 30, 2014 and December 31, 2013 include $2,675 and $3,112, respectively, related to administrative and support services and other receivables which include sublease income and reimbursement of expenses incurred on behalf of LFCM Holdings, and $1,419 and $4,682, respectively, related to referral fees for underwriting and private placement transactions. Payables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LFCM Holdings and its subsidiaries at June 30, 2014 and December 31, 2013 include $1,207 and $3,051, respectively, primarily relating to referral fees for Financial Advisory transactions.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July 2014, the Company entered into arrangements with LFCM Holdings and certain of its subsidiaries (“LFCM”) pursuant to which, among other things, the Company expects to acquire certain assets from LFCM relating to its convertible securities business, expects that the business alliance provided for in the business alliance agreement will terminate, and expects that LFCM will relinquish certain license rights previously granted under the license agreement, in each case by the end of 2014. In addition, LFCM surrendered certain leasehold interests to the Company. The Company does not believe that any of these arrangements will have a material effect on its consolidated financial statements or results of operations.</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acquired assets will facilitate the execution of exchange offers and other transactions related to financial advice provided by the Company’s convertible securities practice group. In addition, the Company may act as an underwriter in public offerings and other distributions of securities from time to time, primarily relating to its Financial Advisory business.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receivables from subsidiaries of Lazard Ltd at June 30, 2014 and December 31, 2013 included interest-bearing loans of $95,806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$108,204, respectively, including accrued interest thereon. Interest income relating to interest-bearing loans with subsidiaries of Lazard Ltd amounted to $1,466</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$3,020 for the three month and six month periods ended June 30, 2014, respectively, and $1,579 and $3,121 for the three month and six month periods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30, 2013, respectively.</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both June 30, 2014 and December 31, 2013, Lazard Group’s payables to subsidiaries of Lazard Ltd included $3,125 in connection with Lazard Group’s prior year business acquisitions. In addition, as of June 30, 2014 and December 31, 2013, Lazard Group’s payables to subsidiaries of Lazard Ltd included interest-bearing loans, plus accrued interest thereon, of approximately $120,000 and $194,000, respectively. Interest expense relating to interest-bearing loans with subsidiaries of Lazard Ltd amounted to $1,595 and $3,216 for the three month and six month periods ended June 30, 2014, respectively, and $1,948 and $3,987 for the three month and six month periods ended June 30, 2013, respectively.</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EGCP III</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receivable from EGCP III at June 30, 2014 of $20,018 represents an interest-bearing loan to finance a certain fund investment (see Note 9 of Notes to Condensed Consolidated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Other payables at June 30, 2014 and December 31, 2013 primarily relate to referral fees for M&amp;A and restructuring transactions with MBA Lazard Holdings S.A. and its affiliates, an Argentina-based group in which the Company has a 50% ownership interest.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Group provides certain administrative and support services to LAZ-MD Holdings through the administrative services agreement as discussed above, with such services generally to be provided until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December 31, 2014 unless terminated earlier because of a change in control of either party. Lazard Group charges LAZ-MD Holdings for these services based on Lazard Group’s cost allocation methodology and, for the three month and six month periods ended June 30, 2014, such charges amounted to $250 and $500, respectively. For the three month and six month periods ending June 30, 2013, such charges amounted to $250 and $500, respectively.</w:t>
      </w:r>
    </w:p>
    <w:p>
      <w:pPr>
        <w:spacing w:after="0" w:line="22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June 30, 2014, LFNY’s regulatory net capital was $89,252, which exceeded the minimum requirement by $86,619.</w:t>
      </w:r>
    </w:p>
    <w:p>
      <w:pPr>
        <w:spacing w:after="0" w:line="11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At June 30, 2014, the aggregate regulatory net capital of the U.K. Subsidiaries was $94,756, which exceeded the minimum requirement by $75,526.</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June 30, 2014, the consolidated regulatory net capital of CFLF was $151,680, which exceeded the minimum requirement set for regulatory capital levels by $113,468.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periodic financial, regulatory net capital and other reporting obligations.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2014, for those subsidiaries with regulatory capital requirements, their aggregate net capital was $110,983, which exceeded the minimum required capital by $81,648.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2014, each of these subsidiaries individually was in compliance with its regulatory capital requirements.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2014 and 2013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1"/>
              </w:rPr>
              <w:t>2013(a)</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6"/>
              </w:rPr>
              <w:t>2013(a)</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280,769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263,307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556,265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431,769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60" w:type="dxa"/>
            <w:vAlign w:val="bottom"/>
          </w:tcPr>
          <w:p>
            <w:pPr>
              <w:ind w:left="11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253,804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239,766</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499,219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456,674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57,046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(24,905)</w:t>
            </w: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4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00" w:type="dxa"/>
            <w:vAlign w:val="bottom"/>
            <w:gridSpan w:val="3"/>
            <w:vMerge w:val="continue"/>
          </w:tcPr>
          <w:p>
            <w:pPr>
              <w:spacing w:after="0"/>
              <w:rPr>
                <w:sz w:val="24"/>
                <w:szCs w:val="24"/>
                <w:color w:val="auto"/>
              </w:rPr>
            </w:pPr>
          </w:p>
        </w:tc>
        <w:tc>
          <w:tcPr>
            <w:tcW w:w="4560" w:type="dxa"/>
            <w:vAlign w:val="bottom"/>
          </w:tcPr>
          <w:p>
            <w:pPr>
              <w:ind w:left="1140"/>
              <w:spacing w:after="0"/>
              <w:rPr>
                <w:sz w:val="20"/>
                <w:szCs w:val="20"/>
                <w:color w:val="auto"/>
              </w:rPr>
            </w:pPr>
            <w:r>
              <w:rPr>
                <w:rFonts w:ascii="Arial" w:cs="Arial" w:eastAsia="Arial" w:hAnsi="Arial"/>
                <w:sz w:val="18"/>
                <w:szCs w:val="18"/>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288,164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245,499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556,728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489,524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185,237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187,554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360,998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342,631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60" w:type="dxa"/>
            <w:vAlign w:val="bottom"/>
            <w:vMerge w:val="restart"/>
          </w:tcPr>
          <w:p>
            <w:pPr>
              <w:ind w:left="114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102,927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57,945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195,730</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146,893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Net Revenue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(18,479)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(12,893)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560" w:type="dxa"/>
            <w:vAlign w:val="bottom"/>
          </w:tcPr>
          <w:p>
            <w:pPr>
              <w:ind w:left="11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21,071</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22,607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(20,004)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(39,550)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(35,500)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(58,828)</w:t>
            </w:r>
          </w:p>
        </w:tc>
        <w:tc>
          <w:tcPr>
            <w:tcW w:w="0" w:type="dxa"/>
            <w:vAlign w:val="bottom"/>
          </w:tcPr>
          <w:p>
            <w:pPr>
              <w:spacing w:after="0"/>
              <w:rPr>
                <w:sz w:val="1"/>
                <w:szCs w:val="1"/>
                <w:color w:val="auto"/>
              </w:rPr>
            </w:pPr>
          </w:p>
        </w:tc>
      </w:tr>
      <w:tr>
        <w:trPr>
          <w:trHeight w:val="20"/>
        </w:trPr>
        <w:tc>
          <w:tcPr>
            <w:tcW w:w="2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4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600" w:type="dxa"/>
            <w:vAlign w:val="bottom"/>
            <w:gridSpan w:val="3"/>
            <w:vMerge w:val="continue"/>
          </w:tcPr>
          <w:p>
            <w:pPr>
              <w:spacing w:after="0"/>
              <w:rPr>
                <w:sz w:val="24"/>
                <w:szCs w:val="24"/>
                <w:color w:val="auto"/>
              </w:rPr>
            </w:pPr>
          </w:p>
        </w:tc>
        <w:tc>
          <w:tcPr>
            <w:tcW w:w="4560" w:type="dxa"/>
            <w:vAlign w:val="bottom"/>
          </w:tcPr>
          <w:p>
            <w:pPr>
              <w:ind w:left="1140"/>
              <w:spacing w:after="0"/>
              <w:rPr>
                <w:sz w:val="20"/>
                <w:szCs w:val="20"/>
                <w:color w:val="auto"/>
              </w:rPr>
            </w:pPr>
            <w:r>
              <w:rPr>
                <w:rFonts w:ascii="Arial" w:cs="Arial" w:eastAsia="Arial" w:hAnsi="Arial"/>
                <w:sz w:val="18"/>
                <w:szCs w:val="18"/>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566,805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490,327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1,100,100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891,511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5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456,917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448,391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882,824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828,351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60" w:type="dxa"/>
            <w:vAlign w:val="bottom"/>
            <w:vMerge w:val="restart"/>
          </w:tcPr>
          <w:p>
            <w:pPr>
              <w:ind w:left="114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109,888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41,936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217,276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14 of Notes to Condensed Consolidated Financial Statements for information regarding the Cost Saving Initiatives, and the impact on each of the Company’s business segments during the three month and six month periods ended June 30, 2013.</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6"/>
              </w:rPr>
              <w:t>June 30,</w:t>
            </w:r>
          </w:p>
        </w:tc>
        <w:tc>
          <w:tcPr>
            <w:tcW w:w="118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723,987</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714,708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596,955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1,766,303</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1,767,262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3,087,245</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3,093,988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80" w:type="dxa"/>
            <w:vAlign w:val="bottom"/>
            <w:vMerge w:val="restart"/>
          </w:tcPr>
          <w:p>
            <w:pPr>
              <w:jc w:val="right"/>
              <w:ind w:right="2612"/>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2013 (the “Form 10-K”). All references to “2014”, “2013”, “second quarter”, “first half” or “the period” refer to, as the context requires, the three month and six month periods ended June 30, 2014 and June 30,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operate in cyclical businesses across multiple geographies, industries and asset classes. In recent years, we have expanded our geographic reach, bolstered our industry expertise and continued to build in growth areas.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6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subsidiary, Lazard Frères Banque SA (“LFB”).</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for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Asset Management</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100%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288" w:lineRule="auto"/>
        <w:tabs>
          <w:tab w:leader="none" w:pos="21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10 of Notes to Condensed Consolidated Financial Statements), (ii) Lazard Australia Corporate Opportunities Fund 2 (“COF2”), a Lazard-managed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w:t>
      </w:r>
    </w:p>
    <w:p>
      <w:pPr>
        <w:spacing w:after="0" w:line="12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In July 2014, the Company and Natixis S.A. entered an arrangement that would allow them, on a non-exclusive and optional basis, to place and underwrite securities on the French equity capital markets under the common brand “Lazard-Natixis.” The arrangement may be terminated by either party at any time.</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July 2014, we entered into arrangements with LFCM Holdings LLC and certain of its subsidiaries (“LFCM Holdings”) pursuant to which, among other things, we expect to acquire certain assets from LFCM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Holdings relating to its convertible securities business, we expect that the business alliance provided for in the Business Alliance Agreement, dated as of May 10, 2005, between the Company and LFCM Holdings, will terminate, and we expect that LFCM Holdings will relinquish certain license rights previously granted under the License Agreement, dated as of May 10, 2005, between the Company and LFCM Holdings, in each case by the end of 2014. In addition, LFCM Holdings surrendered certain leasehold interests to the Company. We do not believe that any of these arrangements will have a material effect on our consolidated financial statements or results of operations.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acquired assets will facilitate the execution of exchange offers and other transactions related to financial advice provided by our convertible securities practice group. In addition, we may act as an underwriter in public offerings and other distributions of securities from time to time, primarily relating to our Financial Advisory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Equity market indices for developed and emerging markets at June 30, 2014 increased as compared to such indices at June 30, 2013. On an industry-wide basis, during the first half of 2014, the number of completed and announced M&amp;A transactions decreased as compared to the same period in the prior year, while the value of announced transactions increased as compared to the same period in the prior year. Global restructuring activity, as measured by the number of corporate defaults, was lower in the first half of 2014 as compared to the same period in the prior year, and the aggregate value of debt defaults remained low, consistent with the last several years.</w:t>
      </w:r>
    </w:p>
    <w:p>
      <w:pPr>
        <w:spacing w:after="0" w:line="143"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In mid-2014, interest rates remain low and corporate cash balances remain high. Macroeconomic conditions appear to be improving in the developed countries, particularly in North America, and CEO and board confidence appears to be returning. As such, companies based in these regions seem better positioned to make acquisitions for future growth and investors appear to be increasingly interested in deploying capital for investment purposes. Although market volatility may arise, we believe the long term trends appear positive.</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intend to leverage our existing infrastructure to capitalize on global macroeconomic recovery, positive momentum in the M&amp;A cycle, and strength in the global equity markets. We expect to generate revenue growth by remaining adequately staffed to capitalize on macroeconomic recovery and deploying our intellectual capital to generate new revenue streams. The cost saving initiatives that we began in 2012 are effectively complete, and through 2013, more than two-thirds of these savings were realized, with the full impact of all the savings expected to be reflected in our 2014 results. See “Cost Saving Initiatives” below and Note 14 of Notes to Condensed Consolidated Financial Statements.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340" w:hanging="345"/>
        <w:spacing w:after="0" w:line="294" w:lineRule="auto"/>
        <w:tabs>
          <w:tab w:leader="none" w:pos="92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short to intermediate term, we expect that the U.S. macroeconomic environment will likely be the strongest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economies. Certain legal decisions in the U.S. reinforce the importance of independent advice, and the global scale and breadth of our Financial Advisory business allows us to advise on large, complex cross-border transactions across a variety of industries. Conditions for our Financial Advisory business in Europe also appear to be improving. We continue to develop our range of advisory capabilities, in particular in Europe, with our Sovereign Advisory, Restructuring and Capital Advisory businesses. In addition, we believe our businesses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306" w:lineRule="auto"/>
        <w:rPr>
          <w:sz w:val="20"/>
          <w:szCs w:val="20"/>
          <w:color w:val="auto"/>
        </w:rPr>
      </w:pPr>
      <w:r>
        <w:rPr>
          <w:rFonts w:ascii="Arial" w:cs="Arial" w:eastAsia="Arial" w:hAnsi="Arial"/>
          <w:sz w:val="16"/>
          <w:szCs w:val="16"/>
          <w:color w:val="auto"/>
        </w:rPr>
        <w:t>throughout the emerging markets, Japan and Australia position us for growth in these markets, while enhancing our relationships with, and the services that we can provide to, clients in developed economies. We have also established the Lazard Africa initiative, to leverage our sovereign and corporate expertise in this rapidly growing region, for our clients in both developed and developing countries.</w:t>
      </w:r>
    </w:p>
    <w:p>
      <w:pPr>
        <w:spacing w:after="0" w:line="26" w:lineRule="exact"/>
        <w:rPr>
          <w:sz w:val="20"/>
          <w:szCs w:val="20"/>
          <w:color w:val="auto"/>
        </w:rPr>
      </w:pPr>
    </w:p>
    <w:p>
      <w:pPr>
        <w:ind w:left="920" w:hanging="345"/>
        <w:spacing w:after="0" w:line="308" w:lineRule="auto"/>
        <w:tabs>
          <w:tab w:leader="none" w:pos="920" w:val="left"/>
        </w:tabs>
        <w:numPr>
          <w:ilvl w:val="0"/>
          <w:numId w:val="4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Asset Management </w:t>
      </w:r>
      <w:r>
        <w:rPr>
          <w:rFonts w:ascii="Arial" w:cs="Arial" w:eastAsia="Arial" w:hAnsi="Arial"/>
          <w:sz w:val="15"/>
          <w:szCs w:val="15"/>
          <w:color w:val="auto"/>
        </w:rPr>
        <w:t>– Generally, we have seen increased investor demand across regions and investment platforms. In the short to intermediate 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 Management business by opening new offices in Zurich, Singapore and Dubai. We are continually developing and seeding new investment strategies that extend our existing platforms. Recent examples of growth initiatives include the following investment strategies: Emerging Markets Debt, Core Emerging Markets Equity, Emerging Markets Small Cap Equity, Real Estate, Managed Volatility Strategies, Middle East North African Equities and Asian Equities.</w:t>
      </w:r>
    </w:p>
    <w:p>
      <w:pPr>
        <w:spacing w:after="0" w:line="109"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reflected in the following table, which sets forth global M&amp;A industry statistics, the value and number of all completed transactions, including the value and number of transactions with values greater than $500 million, decreased in the first half of 2014 as compared to the first half of 2013. With respect to announced M&amp;A transactions, the value of all transactions, including transactions with values greater than $500 million, increased substantially in the first half of 2014 as compared to the first half of 2013, while the number of all announced transactions remained essentially flat.</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right"/>
              <w:ind w:right="218"/>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4"/>
              <w:spacing w:after="0"/>
              <w:rPr>
                <w:sz w:val="20"/>
                <w:szCs w:val="20"/>
                <w:color w:val="auto"/>
              </w:rPr>
            </w:pPr>
            <w:r>
              <w:rPr>
                <w:rFonts w:ascii="Arial" w:cs="Arial" w:eastAsia="Arial" w:hAnsi="Arial"/>
                <w:sz w:val="14"/>
                <w:szCs w:val="14"/>
                <w:b w:val="1"/>
                <w:bCs w:val="1"/>
                <w:color w:val="auto"/>
                <w:w w:val="83"/>
              </w:rPr>
              <w:t>2014</w:t>
            </w:r>
          </w:p>
        </w:tc>
        <w:tc>
          <w:tcPr>
            <w:tcW w:w="420" w:type="dxa"/>
            <w:vAlign w:val="bottom"/>
          </w:tcPr>
          <w:p>
            <w:pPr>
              <w:spacing w:after="0"/>
              <w:rPr>
                <w:sz w:val="14"/>
                <w:szCs w:val="14"/>
                <w:color w:val="auto"/>
              </w:rPr>
            </w:pPr>
          </w:p>
        </w:tc>
        <w:tc>
          <w:tcPr>
            <w:tcW w:w="680" w:type="dxa"/>
            <w:vAlign w:val="bottom"/>
          </w:tcPr>
          <w:p>
            <w:pPr>
              <w:jc w:val="right"/>
              <w:ind w:right="296"/>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Incr / (Decr)</w:t>
            </w:r>
          </w:p>
        </w:tc>
        <w:tc>
          <w:tcPr>
            <w:tcW w:w="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860" w:type="dxa"/>
            <w:vAlign w:val="bottom"/>
          </w:tcPr>
          <w:p>
            <w:pPr>
              <w:jc w:val="right"/>
              <w:ind w:right="456"/>
              <w:spacing w:after="0"/>
              <w:rPr>
                <w:sz w:val="20"/>
                <w:szCs w:val="20"/>
                <w:color w:val="auto"/>
              </w:rPr>
            </w:pPr>
            <w:r>
              <w:rPr>
                <w:rFonts w:ascii="Arial" w:cs="Arial" w:eastAsia="Arial" w:hAnsi="Arial"/>
                <w:sz w:val="14"/>
                <w:szCs w:val="14"/>
                <w:b w:val="1"/>
                <w:bCs w:val="1"/>
                <w:color w:val="auto"/>
                <w:w w:val="96"/>
              </w:rPr>
              <w:t>2013</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Incr / (Decr)</w:t>
            </w:r>
          </w:p>
        </w:tc>
      </w:tr>
      <w:tr>
        <w:trPr>
          <w:trHeight w:val="156"/>
        </w:trPr>
        <w:tc>
          <w:tcPr>
            <w:tcW w:w="3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4"/>
          </w:tcPr>
          <w:p>
            <w:pPr>
              <w:jc w:val="right"/>
              <w:ind w:right="434"/>
              <w:spacing w:after="0" w:line="155" w:lineRule="exact"/>
              <w:rPr>
                <w:sz w:val="20"/>
                <w:szCs w:val="20"/>
                <w:color w:val="auto"/>
              </w:rPr>
            </w:pPr>
            <w:r>
              <w:rPr>
                <w:rFonts w:ascii="Arial" w:cs="Arial" w:eastAsia="Arial" w:hAnsi="Arial"/>
                <w:sz w:val="14"/>
                <w:szCs w:val="14"/>
                <w:b w:val="1"/>
                <w:bCs w:val="1"/>
                <w:color w:val="auto"/>
              </w:rPr>
              <w:t>($ in billions)</w:t>
            </w:r>
          </w:p>
        </w:tc>
        <w:tc>
          <w:tcPr>
            <w:tcW w:w="3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672</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1,252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1,342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346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8,263</w:t>
            </w:r>
          </w:p>
        </w:tc>
        <w:tc>
          <w:tcPr>
            <w:tcW w:w="420" w:type="dxa"/>
            <w:vAlign w:val="bottom"/>
          </w:tcPr>
          <w:p>
            <w:pPr>
              <w:spacing w:after="0"/>
              <w:rPr>
                <w:sz w:val="18"/>
                <w:szCs w:val="18"/>
                <w:color w:val="auto"/>
              </w:rPr>
            </w:pPr>
          </w:p>
        </w:tc>
        <w:tc>
          <w:tcPr>
            <w:tcW w:w="680" w:type="dxa"/>
            <w:vAlign w:val="bottom"/>
          </w:tcPr>
          <w:p>
            <w:pPr>
              <w:jc w:val="right"/>
              <w:ind w:right="196"/>
              <w:spacing w:after="0"/>
              <w:rPr>
                <w:sz w:val="20"/>
                <w:szCs w:val="20"/>
                <w:color w:val="auto"/>
              </w:rPr>
            </w:pPr>
            <w:r>
              <w:rPr>
                <w:rFonts w:ascii="Arial" w:cs="Arial" w:eastAsia="Arial" w:hAnsi="Arial"/>
                <w:sz w:val="18"/>
                <w:szCs w:val="18"/>
                <w:color w:val="auto"/>
                <w:w w:val="84"/>
              </w:rPr>
              <w:t>9,326</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w w:val="87"/>
              </w:rPr>
              <w:t>16,897</w:t>
            </w:r>
          </w:p>
        </w:tc>
        <w:tc>
          <w:tcPr>
            <w:tcW w:w="380" w:type="dxa"/>
            <w:vAlign w:val="bottom"/>
          </w:tcPr>
          <w:p>
            <w:pPr>
              <w:spacing w:after="0"/>
              <w:rPr>
                <w:sz w:val="18"/>
                <w:szCs w:val="18"/>
                <w:color w:val="auto"/>
              </w:rPr>
            </w:pPr>
          </w:p>
        </w:tc>
        <w:tc>
          <w:tcPr>
            <w:tcW w:w="860" w:type="dxa"/>
            <w:vAlign w:val="bottom"/>
          </w:tcPr>
          <w:p>
            <w:pPr>
              <w:jc w:val="right"/>
              <w:ind w:right="296"/>
              <w:spacing w:after="0"/>
              <w:rPr>
                <w:sz w:val="20"/>
                <w:szCs w:val="20"/>
                <w:color w:val="auto"/>
              </w:rPr>
            </w:pPr>
            <w:r>
              <w:rPr>
                <w:rFonts w:ascii="Arial" w:cs="Arial" w:eastAsia="Arial" w:hAnsi="Arial"/>
                <w:sz w:val="18"/>
                <w:szCs w:val="18"/>
                <w:color w:val="auto"/>
                <w:w w:val="83"/>
              </w:rPr>
              <w:t>18,908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6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479</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912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6"/>
              <w:spacing w:after="0"/>
              <w:rPr>
                <w:sz w:val="20"/>
                <w:szCs w:val="20"/>
                <w:color w:val="auto"/>
              </w:rPr>
            </w:pPr>
            <w:r>
              <w:rPr>
                <w:rFonts w:ascii="Arial" w:cs="Arial" w:eastAsia="Arial" w:hAnsi="Arial"/>
                <w:sz w:val="18"/>
                <w:szCs w:val="18"/>
                <w:color w:val="auto"/>
              </w:rPr>
              <w:t>962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3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230</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446</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451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6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1,116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650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1,845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6"/>
              <w:spacing w:after="0"/>
              <w:rPr>
                <w:sz w:val="20"/>
                <w:szCs w:val="20"/>
                <w:color w:val="auto"/>
              </w:rPr>
            </w:pPr>
            <w:r>
              <w:rPr>
                <w:rFonts w:ascii="Arial" w:cs="Arial" w:eastAsia="Arial" w:hAnsi="Arial"/>
                <w:sz w:val="18"/>
                <w:szCs w:val="18"/>
                <w:color w:val="auto"/>
              </w:rPr>
              <w:t>1,297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3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9,448</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84"/>
              </w:rPr>
              <w:t>9,330</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7"/>
              </w:rPr>
              <w:t>18,677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83"/>
              </w:rPr>
              <w:t>18,850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451</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1,433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911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22"/>
        </w:trPr>
        <w:tc>
          <w:tcPr>
            <w:tcW w:w="346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308</w:t>
            </w:r>
          </w:p>
        </w:tc>
        <w:tc>
          <w:tcPr>
            <w:tcW w:w="420" w:type="dxa"/>
            <w:vAlign w:val="bottom"/>
          </w:tcPr>
          <w:p>
            <w:pPr>
              <w:spacing w:after="0"/>
              <w:rPr>
                <w:sz w:val="19"/>
                <w:szCs w:val="19"/>
                <w:color w:val="auto"/>
              </w:rPr>
            </w:pPr>
          </w:p>
        </w:tc>
        <w:tc>
          <w:tcPr>
            <w:tcW w:w="680" w:type="dxa"/>
            <w:vAlign w:val="bottom"/>
          </w:tcPr>
          <w:p>
            <w:pPr>
              <w:jc w:val="right"/>
              <w:ind w:right="196"/>
              <w:spacing w:after="0"/>
              <w:rPr>
                <w:sz w:val="20"/>
                <w:szCs w:val="20"/>
                <w:color w:val="auto"/>
              </w:rPr>
            </w:pPr>
            <w:r>
              <w:rPr>
                <w:rFonts w:ascii="Arial" w:cs="Arial" w:eastAsia="Arial" w:hAnsi="Arial"/>
                <w:sz w:val="18"/>
                <w:szCs w:val="18"/>
                <w:color w:val="auto"/>
              </w:rPr>
              <w:t>250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553</w:t>
            </w:r>
          </w:p>
        </w:tc>
        <w:tc>
          <w:tcPr>
            <w:tcW w:w="380" w:type="dxa"/>
            <w:vAlign w:val="bottom"/>
          </w:tcPr>
          <w:p>
            <w:pPr>
              <w:spacing w:after="0"/>
              <w:rPr>
                <w:sz w:val="19"/>
                <w:szCs w:val="19"/>
                <w:color w:val="auto"/>
              </w:rPr>
            </w:pPr>
          </w:p>
        </w:tc>
        <w:tc>
          <w:tcPr>
            <w:tcW w:w="860" w:type="dxa"/>
            <w:vAlign w:val="bottom"/>
          </w:tcPr>
          <w:p>
            <w:pPr>
              <w:jc w:val="right"/>
              <w:ind w:right="296"/>
              <w:spacing w:after="0"/>
              <w:rPr>
                <w:sz w:val="20"/>
                <w:szCs w:val="20"/>
                <w:color w:val="auto"/>
              </w:rPr>
            </w:pPr>
            <w:r>
              <w:rPr>
                <w:rFonts w:ascii="Arial" w:cs="Arial" w:eastAsia="Arial" w:hAnsi="Arial"/>
                <w:sz w:val="18"/>
                <w:szCs w:val="18"/>
                <w:color w:val="auto"/>
              </w:rPr>
              <w:t>459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July 8, 2014.</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Global restructuring activity during the first half of 2014, as measured by the number of corporate defaults, decreased as compared to the first half of 2013, and the aggregate value of debt defaults remained low, consistent with the last several years. The number of defaulting issuers decreased to 25 in the first half of 2014, according to Moody’s Investors Service, Inc., as compared to 40 in the first half of 2013. In the U.S., the number of corporate defaults decreased 9% in the first half of 2014 as compared to the first half of 2013, while the value of such defaults tripled due to one large default during the same period.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percentage change in major equity market indices at June 30, 2014, as compared to such indices at March 31, 2014, December 31, 2013, and at June 30, 2013,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Percentage Changes</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5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June 30, 2014 vs.</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10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March 31,</w:t>
            </w:r>
          </w:p>
        </w:tc>
        <w:tc>
          <w:tcPr>
            <w:tcW w:w="560" w:type="dxa"/>
            <w:vAlign w:val="bottom"/>
          </w:tcPr>
          <w:p>
            <w:pPr>
              <w:spacing w:after="0"/>
              <w:rPr>
                <w:sz w:val="11"/>
                <w:szCs w:val="11"/>
                <w:color w:val="auto"/>
              </w:rPr>
            </w:pPr>
          </w:p>
        </w:tc>
        <w:tc>
          <w:tcPr>
            <w:tcW w:w="1780" w:type="dxa"/>
            <w:vAlign w:val="bottom"/>
            <w:gridSpan w:val="2"/>
          </w:tcPr>
          <w:p>
            <w:pPr>
              <w:jc w:val="center"/>
              <w:ind w:right="10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1"/>
                <w:szCs w:val="11"/>
                <w:color w:val="auto"/>
              </w:rPr>
            </w:pPr>
          </w:p>
        </w:tc>
      </w:tr>
      <w:tr>
        <w:trPr>
          <w:trHeight w:val="161"/>
        </w:trPr>
        <w:tc>
          <w:tcPr>
            <w:tcW w:w="5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Euro Stoxx</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340" w:type="dxa"/>
            <w:vAlign w:val="bottom"/>
            <w:gridSpan w:val="3"/>
          </w:tcPr>
          <w:p>
            <w:pPr>
              <w:jc w:val="right"/>
              <w:ind w:right="840"/>
              <w:spacing w:after="0"/>
              <w:rPr>
                <w:sz w:val="20"/>
                <w:szCs w:val="20"/>
                <w:color w:val="auto"/>
              </w:rPr>
            </w:pPr>
            <w:r>
              <w:rPr>
                <w:rFonts w:ascii="Arial" w:cs="Arial" w:eastAsia="Arial" w:hAnsi="Arial"/>
                <w:sz w:val="18"/>
                <w:szCs w:val="18"/>
                <w:color w:val="auto"/>
              </w:rPr>
              <w:t>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3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S&amp;P 500</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340" w:type="dxa"/>
            <w:vAlign w:val="bottom"/>
            <w:gridSpan w:val="3"/>
          </w:tcPr>
          <w:p>
            <w:pPr>
              <w:jc w:val="right"/>
              <w:ind w:right="840"/>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bl>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June 30, 2014 increased 9% versus AUM at December 31, 2013, due to market and foreign exchange appreciation as well as net inflows. Average AUM in the first half of 2014 increased 13% as compared to average AUM in the first half of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October 2012, we announced cost saving initiatives which, at that time, were expected to result in approximately $125 million in annual savings from our compensation and non-compensation cost base. We currently expect total annual savings related to the cost saving initiatives to be approximately $160 million, partially offset by investment in our business.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Approximately $120 million of the expected annual savings relate to compensation expense associated with our headcount, and approximately $40 million to non-compensation expense. Through 2013, more than two-thirds of these savings were realized, with the full impact of all the savings expected to be reflected in our 2014 results.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Expenses associated with implementation of the cost saving initiatives were completed in the second quarter of 2013 and were reflected in our financial results. These implementation expenses were approximately: $38 million in the second quarter of 2013; $26 million in the first quarter of 2013; and $103 million in the fourth quarter of 2012, for a total of approximately $167 million.</w:t>
      </w:r>
    </w:p>
    <w:p>
      <w:pPr>
        <w:spacing w:after="0" w:line="140"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the settlement of certain contractual obligations; reducing occupancy costs; and creating greater flexibility to retain and attract the best people and invest in new growth areas.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2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Although Corporate segment net revenue during the first half of 2014 represented (1)% of Lazard’s net revenue, total assets in the Corporate segment represented 57% of Lazard’s consolidated total assets as of June 30, 2014, which are attributable to investments in government bonds and money market funds, fixed income funds, alternative investment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Incentive Compensation Plan (the “2008 Plan”)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competitive pay conditions and the nature of revenues earned, as well as the mix between current and deferred compensation.</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generally accepted accounting principles in the United States of America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grant date fair value of deferred incentive awards granted in 2014, 2013 and 2012 related to the 2013, 2012 and 2011 year-end compensation processes, respectively) and (ii) investments in people (</w:t>
      </w:r>
      <w:r>
        <w:rPr>
          <w:rFonts w:ascii="Arial" w:cs="Arial" w:eastAsia="Arial" w:hAnsi="Arial"/>
          <w:sz w:val="16"/>
          <w:szCs w:val="16"/>
          <w:i w:val="1"/>
          <w:iCs w:val="1"/>
          <w:color w:val="auto"/>
        </w:rPr>
        <w:t>i.e.</w:t>
      </w:r>
      <w:r>
        <w:rPr>
          <w:rFonts w:ascii="Arial" w:cs="Arial" w:eastAsia="Arial" w:hAnsi="Arial"/>
          <w:sz w:val="16"/>
          <w:szCs w:val="16"/>
          <w:color w:val="auto"/>
        </w:rPr>
        <w:t xml:space="preserve">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 to operating revenue in the mid-to-high-50s percentage range, which compares to 58.2% for the year ended December 31, 2013. While we have implemented initiatives, including the cost saving initiatives announced in October 2012 (see “Cost Saving Initiatives” above and Note 14 of Notes to Condensed Consolidated Financial Statements),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AUM levels and/or changes in the mix of revenues from our businesses or various other factors could prevent us from attaining this goal.</w:t>
      </w:r>
    </w:p>
    <w:p>
      <w:pPr>
        <w:spacing w:after="0" w:line="127"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and, in the 2013 period, the relevant portion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expense relating to the implementation of the cost saving initiatives. For all periods, the amortization of intangible assets related to acquisitions pertains primarily to the acquisition of Edgewater.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Income taxes shown on Lazard’s consolidated statements of operations are principally related to foreign taxes from non-U.S. entities and to New York City Unincorporated Business Tax (“UBT”) attributable to Lazard Group’s operations apportioned to New York City (see Note 15 of Notes to Condensed Consolidated Financial Statements for additional information).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Noncontrolling interests primarily relate to the amount attributable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20"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6"/>
          </w:tcPr>
          <w:p>
            <w:pPr>
              <w:ind w:left="48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566,805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490,327</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1,100,100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891,511</w:t>
            </w:r>
          </w:p>
        </w:tc>
        <w:tc>
          <w:tcPr>
            <w:tcW w:w="0" w:type="dxa"/>
            <w:vAlign w:val="bottom"/>
          </w:tcPr>
          <w:p>
            <w:pPr>
              <w:spacing w:after="0"/>
              <w:rPr>
                <w:sz w:val="1"/>
                <w:szCs w:val="1"/>
                <w:color w:val="auto"/>
              </w:rPr>
            </w:pPr>
          </w:p>
        </w:tc>
      </w:tr>
      <w:tr>
        <w:trPr>
          <w:trHeight w:val="330"/>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345,911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331,117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667,461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608,843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32"/>
              <w:spacing w:after="0"/>
              <w:rPr>
                <w:sz w:val="20"/>
                <w:szCs w:val="20"/>
                <w:color w:val="auto"/>
              </w:rPr>
            </w:pPr>
            <w:r>
              <w:rPr>
                <w:rFonts w:ascii="Arial" w:cs="Arial" w:eastAsia="Arial" w:hAnsi="Arial"/>
                <w:sz w:val="18"/>
                <w:szCs w:val="18"/>
                <w:color w:val="auto"/>
                <w:w w:val="86"/>
              </w:rPr>
              <w:t>110,300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116,270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213,437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217,627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32"/>
              <w:spacing w:after="0"/>
              <w:rPr>
                <w:sz w:val="20"/>
                <w:szCs w:val="20"/>
                <w:color w:val="auto"/>
              </w:rPr>
            </w:pPr>
            <w:r>
              <w:rPr>
                <w:rFonts w:ascii="Arial" w:cs="Arial" w:eastAsia="Arial" w:hAnsi="Arial"/>
                <w:sz w:val="18"/>
                <w:szCs w:val="18"/>
                <w:color w:val="auto"/>
                <w:w w:val="86"/>
              </w:rPr>
              <w:t>456,917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448,391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882,824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828,351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109,888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217,276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32"/>
              <w:spacing w:after="0"/>
              <w:rPr>
                <w:sz w:val="20"/>
                <w:szCs w:val="20"/>
                <w:color w:val="auto"/>
              </w:rPr>
            </w:pPr>
            <w:r>
              <w:rPr>
                <w:rFonts w:ascii="Arial" w:cs="Arial" w:eastAsia="Arial" w:hAnsi="Arial"/>
                <w:sz w:val="18"/>
                <w:szCs w:val="18"/>
                <w:color w:val="auto"/>
              </w:rPr>
              <w:t>15,878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33,735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9,801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94,010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183,541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32"/>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93,457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34,893</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50,998</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7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24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June 30,</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gridSpan w:val="4"/>
          </w:tcPr>
          <w:p>
            <w:pPr>
              <w:jc w:val="right"/>
              <w:ind w:right="920"/>
              <w:spacing w:after="0" w:line="142"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$566,805</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$490,327</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$1,100,100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$ 891,511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Interest expense (a)</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17,150</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21,884</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34,486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(2,512)</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(2,458)</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(8,778)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(Gains) losses on investments pertaining to LFI (c)</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(8,906)</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3,477</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(11,532)</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572,537</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513,230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1,114,276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928,254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460" w:right="64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40" w:type="dxa"/>
            <w:vAlign w:val="bottom"/>
            <w:gridSpan w:val="5"/>
          </w:tcPr>
          <w:p>
            <w:pPr>
              <w:jc w:val="right"/>
              <w:ind w:right="10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$ 345,911</w:t>
            </w:r>
          </w:p>
        </w:tc>
        <w:tc>
          <w:tcPr>
            <w:tcW w:w="5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2"/>
              </w:rPr>
              <w:t>$ 331,117</w:t>
            </w:r>
          </w:p>
        </w:tc>
        <w:tc>
          <w:tcPr>
            <w:tcW w:w="900" w:type="dxa"/>
            <w:vAlign w:val="bottom"/>
            <w:gridSpan w:val="2"/>
          </w:tcPr>
          <w:p>
            <w:pPr>
              <w:jc w:val="center"/>
              <w:ind w:left="152"/>
              <w:spacing w:after="0"/>
              <w:rPr>
                <w:sz w:val="20"/>
                <w:szCs w:val="20"/>
                <w:color w:val="auto"/>
              </w:rPr>
            </w:pPr>
            <w:r>
              <w:rPr>
                <w:rFonts w:ascii="Arial" w:cs="Arial" w:eastAsia="Arial" w:hAnsi="Arial"/>
                <w:sz w:val="18"/>
                <w:szCs w:val="18"/>
                <w:color w:val="auto"/>
                <w:w w:val="87"/>
              </w:rPr>
              <w:t>$667,461</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$608,843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260" w:type="dxa"/>
            <w:vAlign w:val="bottom"/>
            <w:gridSpan w:val="2"/>
          </w:tcPr>
          <w:p>
            <w:pPr>
              <w:jc w:val="right"/>
              <w:ind w:right="452"/>
              <w:spacing w:after="0"/>
              <w:rPr>
                <w:sz w:val="20"/>
                <w:szCs w:val="20"/>
                <w:color w:val="auto"/>
              </w:rPr>
            </w:pPr>
            <w:r>
              <w:rPr>
                <w:rFonts w:ascii="Arial" w:cs="Arial" w:eastAsia="Arial" w:hAnsi="Arial"/>
                <w:sz w:val="18"/>
                <w:szCs w:val="18"/>
                <w:color w:val="auto"/>
              </w:rPr>
              <w:t>(1,098)</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(1,063)</w:t>
            </w:r>
          </w:p>
        </w:tc>
        <w:tc>
          <w:tcPr>
            <w:tcW w:w="1500" w:type="dxa"/>
            <w:vAlign w:val="bottom"/>
            <w:gridSpan w:val="3"/>
          </w:tcPr>
          <w:p>
            <w:pPr>
              <w:jc w:val="right"/>
              <w:ind w:right="472"/>
              <w:spacing w:after="0"/>
              <w:rPr>
                <w:sz w:val="20"/>
                <w:szCs w:val="20"/>
                <w:color w:val="auto"/>
              </w:rPr>
            </w:pPr>
            <w:r>
              <w:rPr>
                <w:rFonts w:ascii="Arial" w:cs="Arial" w:eastAsia="Arial" w:hAnsi="Arial"/>
                <w:sz w:val="18"/>
                <w:szCs w:val="18"/>
                <w:color w:val="auto"/>
              </w:rPr>
              <w:t>(2,246)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(Charges) credits pertaining to LFI (b)</w:t>
            </w:r>
          </w:p>
        </w:tc>
        <w:tc>
          <w:tcPr>
            <w:tcW w:w="12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(8,906)</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3,477</w:t>
            </w:r>
          </w:p>
        </w:tc>
        <w:tc>
          <w:tcPr>
            <w:tcW w:w="15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(11,532)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(c)</w:t>
            </w:r>
          </w:p>
        </w:tc>
        <w:tc>
          <w:tcPr>
            <w:tcW w:w="126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(26,728)</w:t>
            </w:r>
          </w:p>
        </w:tc>
        <w:tc>
          <w:tcPr>
            <w:tcW w:w="240" w:type="dxa"/>
            <w:vAlign w:val="bottom"/>
          </w:tcPr>
          <w:p>
            <w:pPr>
              <w:spacing w:after="0"/>
              <w:rPr>
                <w:sz w:val="18"/>
                <w:szCs w:val="18"/>
                <w:color w:val="auto"/>
              </w:rPr>
            </w:pPr>
          </w:p>
        </w:tc>
        <w:tc>
          <w:tcPr>
            <w:tcW w:w="126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335,907</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306,803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653,683</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555,012</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260" w:type="dxa"/>
            <w:vAlign w:val="bottom"/>
            <w:gridSpan w:val="2"/>
          </w:tcPr>
          <w:p>
            <w:pPr>
              <w:jc w:val="right"/>
              <w:ind w:right="372"/>
              <w:spacing w:after="0"/>
              <w:rPr>
                <w:sz w:val="20"/>
                <w:szCs w:val="20"/>
                <w:color w:val="auto"/>
              </w:rPr>
            </w:pPr>
            <w:r>
              <w:rPr>
                <w:rFonts w:ascii="Arial" w:cs="Arial" w:eastAsia="Arial" w:hAnsi="Arial"/>
                <w:sz w:val="18"/>
                <w:szCs w:val="18"/>
                <w:color w:val="auto"/>
              </w:rPr>
              <w:t>58.7%</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1500" w:type="dxa"/>
            <w:vAlign w:val="bottom"/>
            <w:gridSpan w:val="3"/>
          </w:tcPr>
          <w:p>
            <w:pPr>
              <w:jc w:val="right"/>
              <w:ind w:right="372"/>
              <w:spacing w:after="0"/>
              <w:rPr>
                <w:sz w:val="20"/>
                <w:szCs w:val="20"/>
                <w:color w:val="auto"/>
              </w:rPr>
            </w:pPr>
            <w:r>
              <w:rPr>
                <w:rFonts w:ascii="Arial" w:cs="Arial" w:eastAsia="Arial" w:hAnsi="Arial"/>
                <w:sz w:val="18"/>
                <w:szCs w:val="18"/>
                <w:color w:val="auto"/>
              </w:rPr>
              <w:t>58.7%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the fair value of the compensation liability recorded in connection with LFI and other similar deferred compensation arrangements for which a corresponding equal amount is excluded from operating revenue.</w:t>
      </w:r>
    </w:p>
    <w:p>
      <w:pPr>
        <w:ind w:left="460" w:right="280" w:hanging="452"/>
        <w:spacing w:after="0" w:line="361"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Represents expenses related to the cost saving initiatives for (i) severance costs and benefit payments; (ii) the acceleration of unrecognized amortization expense of deferred incentive compensation previously granted to individuals terminated and (iii) the settlement of certain contractual obligations.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1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gridSpan w:val="5"/>
          </w:tcPr>
          <w:p>
            <w:pPr>
              <w:jc w:val="right"/>
              <w:ind w:right="97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2320" w:type="dxa"/>
            <w:vAlign w:val="bottom"/>
            <w:gridSpan w:val="3"/>
          </w:tcPr>
          <w:p>
            <w:pPr>
              <w:jc w:val="right"/>
              <w:ind w:right="472"/>
              <w:spacing w:after="0"/>
              <w:rPr>
                <w:sz w:val="20"/>
                <w:szCs w:val="20"/>
                <w:color w:val="auto"/>
              </w:rPr>
            </w:pPr>
            <w:r>
              <w:rPr>
                <w:rFonts w:ascii="Arial" w:cs="Arial" w:eastAsia="Arial" w:hAnsi="Arial"/>
                <w:sz w:val="18"/>
                <w:szCs w:val="18"/>
                <w:color w:val="auto"/>
              </w:rPr>
              <w:t>$ 110,300</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w w:val="82"/>
              </w:rPr>
              <w:t>$ 116,270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$213,437</w:t>
            </w:r>
          </w:p>
        </w:tc>
        <w:tc>
          <w:tcPr>
            <w:tcW w:w="5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$217,627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2320" w:type="dxa"/>
            <w:vAlign w:val="bottom"/>
            <w:gridSpan w:val="3"/>
          </w:tcPr>
          <w:p>
            <w:pPr>
              <w:jc w:val="right"/>
              <w:ind w:right="412"/>
              <w:spacing w:after="0"/>
              <w:rPr>
                <w:sz w:val="20"/>
                <w:szCs w:val="20"/>
                <w:color w:val="auto"/>
              </w:rPr>
            </w:pPr>
            <w:r>
              <w:rPr>
                <w:rFonts w:ascii="Arial" w:cs="Arial" w:eastAsia="Arial" w:hAnsi="Arial"/>
                <w:sz w:val="18"/>
                <w:szCs w:val="18"/>
                <w:color w:val="auto"/>
              </w:rPr>
              <w:t>(567)</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(681)</w:t>
            </w:r>
          </w:p>
        </w:tc>
        <w:tc>
          <w:tcPr>
            <w:tcW w:w="1440" w:type="dxa"/>
            <w:vAlign w:val="bottom"/>
            <w:gridSpan w:val="3"/>
          </w:tcPr>
          <w:p>
            <w:pPr>
              <w:jc w:val="right"/>
              <w:ind w:right="432"/>
              <w:spacing w:after="0"/>
              <w:rPr>
                <w:sz w:val="20"/>
                <w:szCs w:val="20"/>
                <w:color w:val="auto"/>
              </w:rPr>
            </w:pPr>
            <w:r>
              <w:rPr>
                <w:rFonts w:ascii="Arial" w:cs="Arial" w:eastAsia="Arial" w:hAnsi="Arial"/>
                <w:sz w:val="18"/>
                <w:szCs w:val="18"/>
                <w:color w:val="auto"/>
              </w:rPr>
              <w:t>(1,001)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(b)</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(11,653)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(13,304)</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1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109,733</w:t>
            </w:r>
          </w:p>
        </w:tc>
        <w:tc>
          <w:tcPr>
            <w:tcW w:w="540" w:type="dxa"/>
            <w:vAlign w:val="bottom"/>
          </w:tcPr>
          <w:p>
            <w:pPr>
              <w:spacing w:after="0"/>
              <w:rPr>
                <w:sz w:val="19"/>
                <w:szCs w:val="19"/>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103,936</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212,436</w:t>
            </w:r>
          </w:p>
        </w:tc>
        <w:tc>
          <w:tcPr>
            <w:tcW w:w="5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203,184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23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19.2%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144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19.1%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expenses related to the cost saving initiatives for occupancy cost reduction and other non-compensation related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40" w:type="dxa"/>
            <w:vAlign w:val="bottom"/>
            <w:gridSpan w:val="5"/>
          </w:tcPr>
          <w:p>
            <w:pPr>
              <w:jc w:val="right"/>
              <w:ind w:right="1192"/>
              <w:spacing w:after="0" w:line="155" w:lineRule="exact"/>
              <w:rPr>
                <w:sz w:val="20"/>
                <w:szCs w:val="20"/>
                <w:color w:val="auto"/>
              </w:rPr>
            </w:pPr>
            <w:r>
              <w:rPr>
                <w:rFonts w:ascii="Arial" w:cs="Arial" w:eastAsia="Arial" w:hAnsi="Arial"/>
                <w:sz w:val="14"/>
                <w:szCs w:val="14"/>
                <w:b w:val="1"/>
                <w:bCs w:val="1"/>
                <w:color w:val="auto"/>
              </w:rPr>
              <w:t>($ in thousands)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revenue</w:t>
            </w:r>
          </w:p>
        </w:tc>
        <w:tc>
          <w:tcPr>
            <w:tcW w:w="2800" w:type="dxa"/>
            <w:vAlign w:val="bottom"/>
            <w:gridSpan w:val="3"/>
          </w:tcPr>
          <w:p>
            <w:pPr>
              <w:jc w:val="right"/>
              <w:ind w:right="572"/>
              <w:spacing w:after="0"/>
              <w:rPr>
                <w:sz w:val="20"/>
                <w:szCs w:val="20"/>
                <w:color w:val="auto"/>
              </w:rPr>
            </w:pPr>
            <w:r>
              <w:rPr>
                <w:rFonts w:ascii="Arial" w:cs="Arial" w:eastAsia="Arial" w:hAnsi="Arial"/>
                <w:sz w:val="18"/>
                <w:szCs w:val="18"/>
                <w:color w:val="auto"/>
              </w:rPr>
              <w:t>$ 572,537</w:t>
            </w: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w w:val="94"/>
              </w:rPr>
              <w:t>$ 513,230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52"/>
              <w:spacing w:after="0"/>
              <w:rPr>
                <w:sz w:val="20"/>
                <w:szCs w:val="20"/>
                <w:color w:val="auto"/>
              </w:rPr>
            </w:pPr>
            <w:r>
              <w:rPr>
                <w:rFonts w:ascii="Arial" w:cs="Arial" w:eastAsia="Arial" w:hAnsi="Arial"/>
                <w:sz w:val="18"/>
                <w:szCs w:val="18"/>
                <w:color w:val="auto"/>
                <w:w w:val="84"/>
              </w:rPr>
              <w:t>1,114,276</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$ 928,254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2800" w:type="dxa"/>
            <w:vAlign w:val="bottom"/>
            <w:gridSpan w:val="3"/>
          </w:tcPr>
          <w:p>
            <w:pPr>
              <w:jc w:val="right"/>
              <w:ind w:right="512"/>
              <w:spacing w:after="0"/>
              <w:rPr>
                <w:sz w:val="20"/>
                <w:szCs w:val="20"/>
                <w:color w:val="auto"/>
              </w:rPr>
            </w:pPr>
            <w:r>
              <w:rPr>
                <w:rFonts w:ascii="Arial" w:cs="Arial" w:eastAsia="Arial" w:hAnsi="Arial"/>
                <w:sz w:val="18"/>
                <w:szCs w:val="18"/>
                <w:color w:val="auto"/>
              </w:rPr>
              <w:t>(335,907)</w:t>
            </w: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(306,803)</w:t>
            </w:r>
          </w:p>
        </w:tc>
        <w:tc>
          <w:tcPr>
            <w:tcW w:w="100" w:type="dxa"/>
            <w:vAlign w:val="bottom"/>
          </w:tcPr>
          <w:p>
            <w:pPr>
              <w:spacing w:after="0"/>
              <w:rPr>
                <w:sz w:val="18"/>
                <w:szCs w:val="18"/>
                <w:color w:val="auto"/>
              </w:rPr>
            </w:pPr>
          </w:p>
        </w:tc>
        <w:tc>
          <w:tcPr>
            <w:tcW w:w="1320" w:type="dxa"/>
            <w:vAlign w:val="bottom"/>
            <w:gridSpan w:val="2"/>
          </w:tcPr>
          <w:p>
            <w:pPr>
              <w:jc w:val="right"/>
              <w:ind w:right="492"/>
              <w:spacing w:after="0"/>
              <w:rPr>
                <w:sz w:val="20"/>
                <w:szCs w:val="20"/>
                <w:color w:val="auto"/>
              </w:rPr>
            </w:pPr>
            <w:r>
              <w:rPr>
                <w:rFonts w:ascii="Arial" w:cs="Arial" w:eastAsia="Arial" w:hAnsi="Arial"/>
                <w:sz w:val="18"/>
                <w:szCs w:val="18"/>
                <w:color w:val="auto"/>
                <w:w w:val="95"/>
              </w:rPr>
              <w:t>(653,683)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(555,012)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4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(109,733)</w:t>
            </w: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(103,936)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5"/>
              </w:rPr>
              <w:t>(212,436)</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(203,184)</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4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$ 126,897</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$ 102,491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248,157</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$ 170,058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80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22.2%</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22.3%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20" w:type="dxa"/>
            <w:vAlign w:val="bottom"/>
            <w:vMerge w:val="restart"/>
          </w:tcPr>
          <w:p>
            <w:pPr>
              <w:jc w:val="right"/>
              <w:ind w:right="272"/>
              <w:spacing w:after="0"/>
              <w:rPr>
                <w:sz w:val="20"/>
                <w:szCs w:val="20"/>
                <w:color w:val="auto"/>
              </w:rPr>
            </w:pPr>
            <w:r>
              <w:rPr>
                <w:rFonts w:ascii="Arial" w:cs="Arial" w:eastAsia="Arial" w:hAnsi="Arial"/>
                <w:sz w:val="18"/>
                <w:szCs w:val="18"/>
                <w:color w:val="auto"/>
              </w:rPr>
              <w:t>52</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Headcount information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4"/>
                <w:szCs w:val="14"/>
                <w:b w:val="1"/>
                <w:bCs w:val="1"/>
                <w:color w:val="auto"/>
                <w:w w:val="90"/>
              </w:rPr>
              <w:t>As Of</w:t>
            </w: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144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660" w:type="dxa"/>
            <w:vAlign w:val="bottom"/>
            <w:gridSpan w:val="4"/>
          </w:tcPr>
          <w:p>
            <w:pPr>
              <w:jc w:val="center"/>
              <w:ind w:right="8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61"/>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Headcount:</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86"/>
              </w:rPr>
              <w:t>2013(a)</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60" w:type="dxa"/>
            <w:vAlign w:val="bottom"/>
            <w:gridSpan w:val="2"/>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8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88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72</w:t>
            </w:r>
          </w:p>
        </w:tc>
        <w:tc>
          <w:tcPr>
            <w:tcW w:w="8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7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8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c>
          <w:tcPr>
            <w:tcW w:w="8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1,082</w:t>
            </w: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1,122</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1,102</w:t>
            </w:r>
          </w:p>
        </w:tc>
        <w:tc>
          <w:tcPr>
            <w:tcW w:w="8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2,461</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2,403</w:t>
            </w:r>
          </w:p>
        </w:tc>
        <w:tc>
          <w:tcPr>
            <w:tcW w:w="8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headcount reductions relating to the cost saving initiatives were substantially complete as of December 31, 2013. Such reductions have been partially offset by additional investments and managing director promotions.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versus June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reported net income attributable to Lazard Group of $93 million, as compared to net income of $35 million in the 2013 period.</w:t>
      </w:r>
    </w:p>
    <w:p>
      <w:pPr>
        <w:spacing w:after="0" w:line="19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Net revenue increased $76 million, or 16%, with operating revenue increasing $59 million, or 12%, as compared to the 2013 period. Fee revenue from investment banking and other advisory activities increased $20 million, or 8%, primarily due to increases in M&amp;A and Other Advisory fees. The increase in M&amp;A and Other Advisory fee revenue was primarily due to an increase in the absolute number of completed transactions involving fees greater than $1 million as compared to the 2013 period. Asset management fees, including incentive fees, increased $41 million, or 17%, principally reflecting a $31 billion, or 18%, increase in average AUM as compared to the 2013 period. In the aggregate, interest income, other revenue and interest expense reflected an increase in net revenue of $16 million as compared to the 2013 period. Such increase was primarily due to investment gains recorded in connection with LFI, as well as a decrease in interest expense as a result of the refinancing of the Company’s 7.125% senior notes due 2015 (the “2015 Notes”) (see Note 9 of Notes to Condensed Consolidated Financial Statements for additional information).</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Compensation and benefits expense increased $15 million, or 4%, as compared to the 2013 period (which included a $27 million charge related to the cost saving initiatives), primarily driven by higher operating revenue.</w:t>
      </w:r>
    </w:p>
    <w:p>
      <w:pPr>
        <w:spacing w:after="0" w:line="13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$336 million, an increase of $29 million, or 9%, as compared to $307 million in the 2013 period, primarily driven by higher operating revenue. The ratio of adjusted compensation and benefits expense to operating revenue was 58.7% for the 2014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period, which is consistent with the 2013 full year adjusted compensation ratio, as compared to 59.8% for the 2013 period. As described above, when analyzing compensation and benefits expense on an interim basis, we believe that adjusted compensation and benefits expense provides the most meaningful basis for comparison of compensation and benefits expense between present, historical and future interim periods.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Non-compensation expense decreased $6 million, or 5%, as compared to the 2013 period (which included a charge of $11 million related to the cost saving initiatives). When excluding such charge, as well as non-compensation costs relating to noncontrolling interests, adjusted non-compensation expense increased $6 million, or 6%, as compared to the 2013 period, reflecting increased activity levels and investment in our business. The ratio of adjusted non-compensation expense to operating revenue was 19.2%, as compared to 20.3% in the 2013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2013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income increased $68 million, as compared to the 2013 period (including the charges relating to the cost saving initiatives of $38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as a percentage of net revenue, was 19.4%, as compared to 8.6% in the 2013 period.</w:t>
      </w:r>
    </w:p>
    <w:p>
      <w:pPr>
        <w:spacing w:after="0" w:line="16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Earnings from operations increased $25 million, or 25%, as compared to the 2013 period, and, as a percentage of operating revenue, was 22.2%, as compared to 20.0% in the 2013 period.</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provision for income taxes reflects an effective tax rate of 14.4%, as compared to 16.2% for the 2013 period. The decrease in the effective tax rate is primarily reflective of the change in the geographic mix of earnings (see Note 15 of Notes to Condensed Consolidated Financial Statements for additional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the 2013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versus June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reported net income attributable to Lazard Group of $179 million, as compared to net income of $51 million in the 2013 period.</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revenue increased $209 million, or 23%, with operating revenue increasing $186 million, or 20%, as compared to the 2013 period. Fee revenue from investment banking and other advisory activities increased $124 million, or 29%, primarily due to increases in M&amp;A and Other Advisory fees. The increase in M&amp;A and Other Advisory fee revenue was primarily due to an increase in the number of completed transactions involving fees greater than $1 million as compared to the 2013 period, as well as an increase in the average transaction fee. Asset management fees, including incentive fees, increased $63 million, or 13%, principally reflecting a $23 billion, or 13%, increase in average AUM as compared to the 2013 period. In the aggregate, interest income, other revenue and interest expense reflected an increase in net revenue of $22 million as compared to the 2013 period. Such increase was primarily due to investment gains recorded in connection with LFI, as well as a decrease in interest expense as a result of the refinancing of the 2015 Notes (see Note 9 of Notes to Condensed Consolidated Financial Statements for additional information).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Compensation and benefits expense increased $59 million, or 10%, as compared to the 2013 period (which included a $51 million charge related to the cost saving initiatives), primarily driven by higher operating revenue.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$654 million, an increase of $99 million, or 18%, as compared to $555 million in the 2013 period, primarily driven by higher operating revenue. The ratio of adjusted compensation and benefits expense to operating revenue was 58.7% for the 2014 period, which is consistent with the 2013 full year adjusted compensation ratio, as compared to 59.8% for the 2013 period. As described above, when analyzing compensation and benefits expense on an interim basis, we believe that adjusted compensation and benefits expense provides the most meaningful basis for comparison of compensation and benefits expense between present, historical and future interim periods.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Non-compensation expense decreased $4 million, or 2%, as compared to the 2013 period (which included a charge of $13 million related to the cost saving initiatives). When excluding such charge, as well as non-compensation costs relating to noncontrolling interests, adjusted non-compensation expense increased $9 million, or 5%, as compared to the 2013 period, primarily reflecting increased business activity, and investment in our businesses. The ratio of adjusted non-compensation expense to operating revenue was 19.1%, as compared to 21.9% in the 2013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2013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income increased $154 million, as compared to the 2013 period (including the charges relating to the cost saving initiatives of $64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as a percentage of net revenue, was 19.8%, as compared to 7.1% in the 2013 period.</w:t>
      </w:r>
    </w:p>
    <w:p>
      <w:pPr>
        <w:spacing w:after="0" w:line="16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Earnings from operations increased $78 million, or 46%, as compared to the 2013 period, and, as a percentage of operating revenue, was 22.3%, as compared to 18.3% in the 2013 period.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 for income taxes reflects an effective tax rate of 15.5% for both the 2014 and 2013 periods (see Note 15 of Notes to Condensed Consolidated Financial Statements for additional information).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$2 million as compared to the 2013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June 30,</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6"/>
          </w:tcPr>
          <w:p>
            <w:pPr>
              <w:jc w:val="right"/>
              <w:ind w:right="1132"/>
              <w:spacing w:after="0" w:line="155" w:lineRule="exact"/>
              <w:rPr>
                <w:sz w:val="20"/>
                <w:szCs w:val="20"/>
                <w:color w:val="auto"/>
              </w:rPr>
            </w:pPr>
            <w:r>
              <w:rPr>
                <w:rFonts w:ascii="Arial" w:cs="Arial" w:eastAsia="Arial" w:hAnsi="Arial"/>
                <w:sz w:val="14"/>
                <w:szCs w:val="14"/>
                <w:b w:val="1"/>
                <w:bCs w:val="1"/>
                <w:color w:val="auto"/>
              </w:rPr>
              <w:t>($ in thousands)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233,313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218,488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472,457</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$339,244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26,574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21,583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32,790</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36,269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259,887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240,071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505,247</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20,882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23,236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51,018</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56,256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280,769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263,307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556,265</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431,769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w w:val="86"/>
              </w:rPr>
              <w:t>253,804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239,766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w w:val="86"/>
              </w:rPr>
              <w:t>499,219</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456,674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26,965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23,541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57,046</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 (24,905)</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12"/>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32"/>
              <w:spacing w:after="0"/>
              <w:rPr>
                <w:sz w:val="20"/>
                <w:szCs w:val="20"/>
                <w:color w:val="auto"/>
              </w:rPr>
            </w:pPr>
            <w:r>
              <w:rPr>
                <w:rFonts w:ascii="Arial" w:cs="Arial" w:eastAsia="Arial" w:hAnsi="Arial"/>
                <w:sz w:val="18"/>
                <w:szCs w:val="18"/>
                <w:color w:val="auto"/>
              </w:rPr>
              <w:t>10.3%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2013, includes $25,764 and $47,779 for the three month and six month periods, respectively, associated with the implementation of the cost saving initiatives.</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in the first half of 2014, the industry statistics for global M&amp;A transactions described above reflect a 7% decrease in the value, and an 11% decrease in the number, of all completed transactions as compared to the 2013 period. For M&amp;A deals with values greater than $500 million, the value of completed transactions also decreased 5%, while the number of such deals decreased 1%, as compared to the 2013 period. Our M&amp;A and Other Advisory revenue, however, which includes Sovereign and Capital Structure Advisory revenue, increased 39% as compared to the 2013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8"/>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Pr>
          <w:p>
            <w:pPr>
              <w:spacing w:after="0"/>
              <w:rPr>
                <w:sz w:val="12"/>
                <w:szCs w:val="12"/>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78"/>
              </w:rPr>
              <w:t>70</w:t>
            </w: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58</w:t>
            </w:r>
          </w:p>
        </w:tc>
        <w:tc>
          <w:tcPr>
            <w:tcW w:w="160" w:type="dxa"/>
            <w:vAlign w:val="bottom"/>
          </w:tcPr>
          <w:p>
            <w:pPr>
              <w:spacing w:after="0"/>
              <w:rPr>
                <w:sz w:val="18"/>
                <w:szCs w:val="18"/>
                <w:color w:val="auto"/>
              </w:rPr>
            </w:pPr>
          </w:p>
        </w:tc>
        <w:tc>
          <w:tcPr>
            <w:tcW w:w="2000" w:type="dxa"/>
            <w:vAlign w:val="bottom"/>
            <w:gridSpan w:val="3"/>
          </w:tcPr>
          <w:p>
            <w:pPr>
              <w:ind w:left="1020"/>
              <w:spacing w:after="0"/>
              <w:rPr>
                <w:sz w:val="20"/>
                <w:szCs w:val="20"/>
                <w:color w:val="auto"/>
              </w:rPr>
            </w:pPr>
            <w:r>
              <w:rPr>
                <w:rFonts w:ascii="Arial" w:cs="Arial" w:eastAsia="Arial" w:hAnsi="Arial"/>
                <w:sz w:val="18"/>
                <w:szCs w:val="18"/>
                <w:color w:val="auto"/>
              </w:rPr>
              <w:t>46</w:t>
            </w: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3"/>
              </w:rPr>
              <w:t>30%</w:t>
            </w:r>
          </w:p>
        </w:tc>
        <w:tc>
          <w:tcPr>
            <w:tcW w:w="20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39%</w:t>
            </w:r>
          </w:p>
        </w:tc>
        <w:tc>
          <w:tcPr>
            <w:tcW w:w="13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12</w:t>
            </w:r>
          </w:p>
        </w:tc>
        <w:tc>
          <w:tcPr>
            <w:tcW w:w="160" w:type="dxa"/>
            <w:vAlign w:val="bottom"/>
          </w:tcPr>
          <w:p>
            <w:pPr>
              <w:spacing w:after="0"/>
              <w:rPr>
                <w:sz w:val="19"/>
                <w:szCs w:val="19"/>
                <w:color w:val="auto"/>
              </w:rPr>
            </w:pPr>
          </w:p>
        </w:tc>
        <w:tc>
          <w:tcPr>
            <w:tcW w:w="2000" w:type="dxa"/>
            <w:vAlign w:val="bottom"/>
            <w:gridSpan w:val="3"/>
          </w:tcPr>
          <w:p>
            <w:pPr>
              <w:ind w:left="1020"/>
              <w:spacing w:after="0"/>
              <w:rPr>
                <w:sz w:val="20"/>
                <w:szCs w:val="20"/>
                <w:color w:val="auto"/>
              </w:rPr>
            </w:pPr>
            <w:r>
              <w:rPr>
                <w:rFonts w:ascii="Arial" w:cs="Arial" w:eastAsia="Arial" w:hAnsi="Arial"/>
                <w:sz w:val="18"/>
                <w:szCs w:val="18"/>
                <w:color w:val="auto"/>
              </w:rPr>
              <w:t>18</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July 2, 2014.</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Europe (primarily in the U.K., France, Italy, Spain and Germany) and the rest of the world (primarily in Australia) and therefore may not be reflective of the geography in which the clients are located.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versus June 30, 2013</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$20 million, or 8%, and Restructuring revenue decreased $2 million, or 10%, as compared to the 2013 period.</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M&amp;A and Other Advisory revenue increased $15 million, or 7%, along with an increase in Capital Raising revenue of $5 million, or 23%, as compared to the 2013 period. The increase in M&amp;A and Other Advisory revenue was primarily due to an increase in the absolute number of completed transactions involving fees greater than $1 million as compared to the 2013 period. Our major clients, which in the aggregate represented a significant portion of our M&amp;A and Other Advisory revenue for the 2014 period, included Carrefour, Ceva Santé Animale, Cia Providência, Fieldglass, GlaxoSmithKline, The Hellenic Financial Stability Fund, Marvin Engineering, National Asset Management Agency, Oil States International and Vivendi.</w:t>
      </w:r>
    </w:p>
    <w:p>
      <w:pPr>
        <w:spacing w:after="0" w:line="1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the timing of which may not correspond to industry announced defaults. The decrease in Restructuring revenue in the 2014 period was generally in line with the continued industry-wide low level of corporate restructuring activity. Our major clients, which in the aggregate represented a significant portion of our restructuring revenue for the 2014 period, included Mercator, Midwest Generation and Quiznos.</w:t>
      </w:r>
    </w:p>
    <w:p>
      <w:pPr>
        <w:spacing w:after="0" w:line="113"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Operating expenses increased $14 million, or 6%, as compared to the 2013 period (which included a $26 million charge related to the cost saving initiatives). Excluding such charge, operating expenses increased $40 million, or 19%, primarily due to an increase in compensation and benefits expense.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Financial Advisory operating income was $27 million, an increase of $3 million as compared to operating income of $24 million (including the impact of the $26 million charge related to the cost saving initiatives) in the 2013 period and, as a percentage of net revenue, was 9.6%, as compared to 8.9% in the 2013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versus June 30, 2013</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our M&amp;A and Other Advisory and Capital Raising businesses, increased $130 million, or 35%, and Restructuring revenue decreased $5 million, or 9%, as compared to the 2013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M&amp;A and Other Advisory revenue increased $133 million, or 39%, while Capital Raising revenue decreased by $3 million, or 10%, as compared to the 2013 period. The increase in M&amp;A and Other Advisory revenue was primarily due to an increase in the number of completed transactions involving fees greater than $1 million as compared to the 2013 period, as well as an increase in the average transaction fee. The decrease in Restructuring revenue in the 2014 period was generally in line with the continued industry-wide low level of corporate restructuring activity.</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Operating expenses increased $43 million, or 9%, as compared to the 2013 period (which included a $48 million charge related to the cost saving initiatives). Excluding such charge, operating expenses increased $91 million, or 22%, primarily due to an increase in compensation and benefits expense related to increased operating revenue.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Financial Advisory operating income was $57 million, an increase of $82 million as compared to operating loss of $25 million (including the impact of the $48 million charge related to the cost saving initiatives) in the 2013 period and, as a percentage of net revenue, was 10.3%, as compared to (5.8%) in the 2013 period.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52,994</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47,450</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37,089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35,521</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31,232</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45,075</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167,374</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154,062</w:t>
            </w:r>
          </w:p>
        </w:tc>
        <w:tc>
          <w:tcPr>
            <w:tcW w:w="100" w:type="dxa"/>
            <w:vAlign w:val="bottom"/>
            <w:shd w:val="clear" w:color="auto" w:fill="CCEEFF"/>
          </w:tcPr>
          <w:p>
            <w:pPr>
              <w:spacing w:after="0"/>
              <w:rPr>
                <w:sz w:val="18"/>
                <w:szCs w:val="18"/>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10,604</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31,264</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4,628</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204,525</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186,924</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Total AUM at June 30, 2014 was $205 billion, an increase of $18 billion, or 9%, as compared to total AUM of $187 billion at December 31, 2013, due to market and foreign exchange appreciation and net inflows. Average AUM for the three month and six month periods ended June 30, 2014 was 18% and 13%, respectively, higher than the corresponding periods in 2013.</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June 30, 2014,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individuals, and was substantially unchanged from the corresponding percentages at December 31, 2013.</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2014, AUM denominated in foreign currencies represented approximately 64% of our total AUM, as compared to 63% at December 31, 2013. Foreign denominated AUM generally declines in value with the strengthening of the U.S. Dollar and increases in value as the U.S. Dollar weakens, with all other factors held constant.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by asset class for the three month and six month periods ended June 30,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0"/>
          </w:tcPr>
          <w:p>
            <w:pPr>
              <w:ind w:left="280"/>
              <w:spacing w:after="0"/>
              <w:rPr>
                <w:sz w:val="20"/>
                <w:szCs w:val="20"/>
                <w:color w:val="auto"/>
              </w:rPr>
            </w:pPr>
            <w:r>
              <w:rPr>
                <w:rFonts w:ascii="Arial" w:cs="Arial" w:eastAsia="Arial" w:hAnsi="Arial"/>
                <w:sz w:val="14"/>
                <w:szCs w:val="14"/>
                <w:b w:val="1"/>
                <w:bCs w:val="1"/>
                <w:color w:val="auto"/>
              </w:rPr>
              <w:t>Three Months Ended June 30, 2014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AUM</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Beginning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11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20" w:type="dxa"/>
            <w:vAlign w:val="bottom"/>
          </w:tcPr>
          <w:p>
            <w:pPr>
              <w:spacing w:after="0"/>
              <w:rPr>
                <w:sz w:val="12"/>
                <w:szCs w:val="12"/>
                <w:color w:val="auto"/>
              </w:rPr>
            </w:pPr>
          </w:p>
        </w:tc>
        <w:tc>
          <w:tcPr>
            <w:tcW w:w="11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Balance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Inflows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Outflows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Flows</w:t>
            </w:r>
          </w:p>
        </w:tc>
        <w:tc>
          <w:tcPr>
            <w:tcW w:w="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 in millions)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155,259</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$ 7,529</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$(5,305)</w:t>
            </w: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$2,224</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9,036</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$167,374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28,378</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3,384</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(966)</w:t>
            </w: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2,418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660" w:type="dxa"/>
            <w:vAlign w:val="bottom"/>
          </w:tcPr>
          <w:p>
            <w:pPr>
              <w:jc w:val="right"/>
              <w:spacing w:after="0"/>
              <w:rPr>
                <w:sz w:val="20"/>
                <w:szCs w:val="20"/>
                <w:color w:val="auto"/>
              </w:rPr>
            </w:pPr>
            <w:r>
              <w:rPr>
                <w:rFonts w:ascii="Arial" w:cs="Arial" w:eastAsia="Arial" w:hAnsi="Arial"/>
                <w:sz w:val="18"/>
                <w:szCs w:val="18"/>
                <w:color w:val="auto"/>
              </w:rPr>
              <w:t>31,264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0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189,453</w:t>
            </w:r>
          </w:p>
        </w:tc>
        <w:tc>
          <w:tcPr>
            <w:tcW w:w="6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11,378</w:t>
            </w:r>
          </w:p>
        </w:tc>
        <w:tc>
          <w:tcPr>
            <w:tcW w:w="1940" w:type="dxa"/>
            <w:vAlign w:val="bottom"/>
            <w:gridSpan w:val="8"/>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(6,669)   </w:t>
            </w:r>
            <w:r>
              <w:rPr>
                <w:rFonts w:ascii="Arial" w:cs="Arial" w:eastAsia="Arial" w:hAnsi="Arial"/>
                <w:sz w:val="18"/>
                <w:szCs w:val="18"/>
                <w:u w:val="single" w:color="auto"/>
                <w:color w:val="auto"/>
              </w:rPr>
              <w:t>$</w:t>
            </w:r>
            <w:r>
              <w:rPr>
                <w:rFonts w:ascii="Arial" w:cs="Arial" w:eastAsia="Arial" w:hAnsi="Arial"/>
                <w:sz w:val="18"/>
                <w:szCs w:val="18"/>
                <w:color w:val="auto"/>
              </w:rPr>
              <w:t>4,709</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9,589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774</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204,525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ind w:left="260"/>
              <w:spacing w:after="0"/>
              <w:rPr>
                <w:sz w:val="20"/>
                <w:szCs w:val="20"/>
                <w:color w:val="auto"/>
              </w:rPr>
            </w:pPr>
            <w:r>
              <w:rPr>
                <w:rFonts w:ascii="Arial" w:cs="Arial" w:eastAsia="Arial" w:hAnsi="Arial"/>
                <w:sz w:val="14"/>
                <w:szCs w:val="14"/>
                <w:b w:val="1"/>
                <w:bCs w:val="1"/>
                <w:color w:val="auto"/>
              </w:rPr>
              <w:t>Six Months Ended June 30, 2014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Foreign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rPr>
              <w:t>AUM</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Exchange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Beginning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Appreciation/</w:t>
            </w:r>
          </w:p>
        </w:tc>
        <w:tc>
          <w:tcPr>
            <w:tcW w:w="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Inflows</w:t>
            </w:r>
          </w:p>
        </w:tc>
        <w:tc>
          <w:tcPr>
            <w:tcW w:w="14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Outflows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Flows</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(Depreciation)</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7"/>
              </w:rPr>
              <w:t>($ in millions)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154,062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$14,370</w:t>
            </w: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(12,180)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32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300" w:type="dxa"/>
            <w:vAlign w:val="bottom"/>
            <w:tcBorders>
              <w:left w:val="single" w:sz="8" w:color="CCEEFF"/>
            </w:tcBorders>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34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$167,374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26,874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color w:val="auto"/>
              </w:rPr>
              <w:t>5,069</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(1,592)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3,477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660" w:type="dxa"/>
            <w:vAlign w:val="bottom"/>
          </w:tcPr>
          <w:p>
            <w:pPr>
              <w:jc w:val="right"/>
              <w:spacing w:after="0"/>
              <w:rPr>
                <w:sz w:val="20"/>
                <w:szCs w:val="20"/>
                <w:color w:val="auto"/>
              </w:rPr>
            </w:pPr>
            <w:r>
              <w:rPr>
                <w:rFonts w:ascii="Arial" w:cs="Arial" w:eastAsia="Arial" w:hAnsi="Arial"/>
                <w:sz w:val="18"/>
                <w:szCs w:val="18"/>
                <w:color w:val="auto"/>
              </w:rPr>
              <w:t>31,264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(889)</w:t>
            </w:r>
          </w:p>
        </w:tc>
        <w:tc>
          <w:tcPr>
            <w:tcW w:w="9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186,924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20,218</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(14,661)</w:t>
            </w:r>
          </w:p>
        </w:tc>
        <w:tc>
          <w:tcPr>
            <w:tcW w:w="6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5,557</w:t>
            </w:r>
          </w:p>
        </w:tc>
        <w:tc>
          <w:tcPr>
            <w:tcW w:w="3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10,525</w:t>
            </w:r>
          </w:p>
        </w:tc>
        <w:tc>
          <w:tcPr>
            <w:tcW w:w="30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1,519</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204,525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Inflows in the Equity asset class were primarily attributable to the Emerging Markets and Multi-Regional platforms, and inflows in the Fixed Income asset class were primarily attributable to the Emerging Markets platform. Outflows in the Equity asset class were primarily attributable to the Emerging Markets and Global equity platforms, and outflows in the Fixed Income asset class were primarily attributable to the Local and Multi-Regional platforms.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2"/>
          </w:tcPr>
          <w:p>
            <w:pPr>
              <w:jc w:val="right"/>
              <w:ind w:right="480"/>
              <w:spacing w:after="0"/>
              <w:rPr>
                <w:sz w:val="20"/>
                <w:szCs w:val="20"/>
                <w:color w:val="auto"/>
              </w:rPr>
            </w:pPr>
            <w:r>
              <w:rPr>
                <w:rFonts w:ascii="Arial" w:cs="Arial" w:eastAsia="Arial" w:hAnsi="Arial"/>
                <w:sz w:val="14"/>
                <w:szCs w:val="14"/>
                <w:b w:val="1"/>
                <w:bCs w:val="1"/>
                <w:color w:val="auto"/>
              </w:rPr>
              <w:t>Three Months Ended June 30, 2013</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5"/>
              </w:rPr>
              <w:t>Foreign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rPr>
              <w:t>AUM</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Market Value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Exchange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Beginning</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Appreciation/</w:t>
            </w:r>
          </w:p>
        </w:tc>
        <w:tc>
          <w:tcPr>
            <w:tcW w:w="10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Appreciation/</w:t>
            </w:r>
          </w:p>
        </w:tc>
        <w:tc>
          <w:tcPr>
            <w:tcW w:w="1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AUM Ending</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Balance</w:t>
            </w:r>
          </w:p>
        </w:tc>
        <w:tc>
          <w:tcPr>
            <w:tcW w:w="1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Inflows</w:t>
            </w:r>
          </w:p>
        </w:tc>
        <w:tc>
          <w:tcPr>
            <w:tcW w:w="9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3"/>
              </w:rPr>
              <w:t>Outflows</w:t>
            </w:r>
          </w:p>
        </w:tc>
        <w:tc>
          <w:tcPr>
            <w:tcW w:w="9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4"/>
              </w:rPr>
              <w:t>Net Flows</w:t>
            </w: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(Depreciation)</w:t>
            </w:r>
          </w:p>
        </w:tc>
        <w:tc>
          <w:tcPr>
            <w:tcW w:w="1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(Depreciation)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5"/>
          </w:tcPr>
          <w:p>
            <w:pPr>
              <w:jc w:val="right"/>
              <w:ind w:right="132"/>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142,802</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$6,452</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(11,224)</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$(4,772)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(2,737)</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Fixed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23,130</w:t>
            </w:r>
          </w:p>
        </w:tc>
        <w:tc>
          <w:tcPr>
            <w:tcW w:w="14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1,526</w:t>
            </w:r>
          </w:p>
        </w:tc>
        <w:tc>
          <w:tcPr>
            <w:tcW w:w="1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(839)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171,965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8,264</w:t>
            </w:r>
          </w:p>
        </w:tc>
        <w:tc>
          <w:tcPr>
            <w:tcW w:w="1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(12,391)</w:t>
            </w:r>
          </w:p>
        </w:tc>
        <w:tc>
          <w:tcPr>
            <w:tcW w:w="2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8"/>
              </w:rPr>
              <w:t>$ (4,127)</w:t>
            </w:r>
          </w:p>
        </w:tc>
        <w:tc>
          <w:tcPr>
            <w:tcW w:w="260" w:type="dxa"/>
            <w:vAlign w:val="bottom"/>
          </w:tcPr>
          <w:p>
            <w:pPr>
              <w:spacing w:after="0"/>
              <w:rPr>
                <w:sz w:val="19"/>
                <w:szCs w:val="19"/>
                <w:color w:val="auto"/>
              </w:rPr>
            </w:pPr>
          </w:p>
        </w:tc>
        <w:tc>
          <w:tcPr>
            <w:tcW w:w="280" w:type="dxa"/>
            <w:vAlign w:val="bottom"/>
            <w:gridSpan w:val="2"/>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(1,735)</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(2,814)</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163,289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1"/>
          </w:tcPr>
          <w:p>
            <w:pPr>
              <w:jc w:val="right"/>
              <w:ind w:right="540"/>
              <w:spacing w:after="0"/>
              <w:rPr>
                <w:sz w:val="20"/>
                <w:szCs w:val="20"/>
                <w:color w:val="auto"/>
              </w:rPr>
            </w:pPr>
            <w:r>
              <w:rPr>
                <w:rFonts w:ascii="Arial" w:cs="Arial" w:eastAsia="Arial" w:hAnsi="Arial"/>
                <w:sz w:val="14"/>
                <w:szCs w:val="14"/>
                <w:b w:val="1"/>
                <w:bCs w:val="1"/>
                <w:color w:val="auto"/>
                <w:w w:val="86"/>
              </w:rPr>
              <w:t>Six Months Ended June 30, 2013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AUM</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Exchange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1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60" w:type="dxa"/>
            <w:vAlign w:val="bottom"/>
          </w:tcPr>
          <w:p>
            <w:pPr>
              <w:spacing w:after="0"/>
              <w:rPr>
                <w:sz w:val="12"/>
                <w:szCs w:val="12"/>
                <w:color w:val="auto"/>
              </w:rPr>
            </w:pPr>
          </w:p>
        </w:tc>
        <w:tc>
          <w:tcPr>
            <w:tcW w:w="10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1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AUM Ending</w:t>
            </w: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8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Inflows</w:t>
            </w:r>
          </w:p>
        </w:tc>
        <w:tc>
          <w:tcPr>
            <w:tcW w:w="12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Outflows</w:t>
            </w:r>
          </w:p>
        </w:tc>
        <w:tc>
          <w:tcPr>
            <w:tcW w:w="120" w:type="dxa"/>
            <w:vAlign w:val="bottom"/>
          </w:tcPr>
          <w:p>
            <w:pPr>
              <w:spacing w:after="0"/>
              <w:rPr>
                <w:sz w:val="14"/>
                <w:szCs w:val="14"/>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6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(Depreciation)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5"/>
          </w:tcPr>
          <w:p>
            <w:pPr>
              <w:jc w:val="right"/>
              <w:ind w:right="112"/>
              <w:spacing w:after="0" w:line="142" w:lineRule="exact"/>
              <w:rPr>
                <w:sz w:val="20"/>
                <w:szCs w:val="20"/>
                <w:color w:val="auto"/>
              </w:rPr>
            </w:pPr>
            <w:r>
              <w:rPr>
                <w:rFonts w:ascii="Arial" w:cs="Arial" w:eastAsia="Arial" w:hAnsi="Arial"/>
                <w:sz w:val="14"/>
                <w:szCs w:val="14"/>
                <w:b w:val="1"/>
                <w:bCs w:val="1"/>
                <w:color w:val="auto"/>
                <w:w w:val="97"/>
              </w:rPr>
              <w:t>($ in millions)</w:t>
            </w: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138,171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$13,931</w:t>
            </w:r>
          </w:p>
        </w:tc>
        <w:tc>
          <w:tcPr>
            <w:tcW w:w="1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 (20,355)</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$(6,424)</w:t>
            </w: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(5,434)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Fixed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22,718</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2,984</w:t>
            </w:r>
          </w:p>
        </w:tc>
        <w:tc>
          <w:tcPr>
            <w:tcW w:w="18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color w:val="auto"/>
              </w:rPr>
              <w:t>(1,562)</w:t>
            </w:r>
          </w:p>
        </w:tc>
        <w:tc>
          <w:tcPr>
            <w:tcW w:w="920" w:type="dxa"/>
            <w:vAlign w:val="bottom"/>
            <w:gridSpan w:val="4"/>
          </w:tcPr>
          <w:p>
            <w:pPr>
              <w:jc w:val="right"/>
              <w:ind w:right="260"/>
              <w:spacing w:after="0"/>
              <w:rPr>
                <w:sz w:val="20"/>
                <w:szCs w:val="20"/>
                <w:color w:val="auto"/>
              </w:rPr>
            </w:pPr>
            <w:r>
              <w:rPr>
                <w:rFonts w:ascii="Arial" w:cs="Arial" w:eastAsia="Arial" w:hAnsi="Arial"/>
                <w:sz w:val="18"/>
                <w:szCs w:val="18"/>
                <w:color w:val="auto"/>
              </w:rPr>
              <w:t>1,422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(782)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(561)</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167,060</w:t>
            </w:r>
          </w:p>
        </w:tc>
        <w:tc>
          <w:tcPr>
            <w:tcW w:w="1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17,356</w:t>
            </w:r>
          </w:p>
        </w:tc>
        <w:tc>
          <w:tcPr>
            <w:tcW w:w="180" w:type="dxa"/>
            <w:vAlign w:val="bottom"/>
          </w:tcPr>
          <w:p>
            <w:pPr>
              <w:spacing w:after="0"/>
              <w:rPr>
                <w:sz w:val="19"/>
                <w:szCs w:val="19"/>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(22,478)</w:t>
            </w:r>
          </w:p>
        </w:tc>
        <w:tc>
          <w:tcPr>
            <w:tcW w:w="92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(5,122)</w:t>
            </w: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7,340</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(5,989)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163,289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July 18, 2014, AUM was 205.4 billion, a $0.9 billion increase since June 30, 2014, with such increase primarily due to net inflows and market and foreign exchange appreciation.</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Average AUM for the three month and six month periods ended June 30, 2014 and 2013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102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56"/>
        </w:trPr>
        <w:tc>
          <w:tcPr>
            <w:tcW w:w="7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Equity</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$ 162,148</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$ 138,614</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$ 157,453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140,463</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30,496</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23,200</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28,908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22,890</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4,621</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4,565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4,580</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4,586</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1,263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r>
      <w:tr>
        <w:trPr>
          <w:trHeight w:val="223"/>
        </w:trPr>
        <w:tc>
          <w:tcPr>
            <w:tcW w:w="752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$ 198,537</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$ 167,783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$ 192,211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169,370</w:t>
            </w:r>
          </w:p>
        </w:tc>
      </w:tr>
      <w:tr>
        <w:trPr>
          <w:trHeight w:val="20"/>
        </w:trPr>
        <w:tc>
          <w:tcPr>
            <w:tcW w:w="7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right"/>
              <w:ind w:right="11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$257,507</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217,700</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$497,030</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$437,692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26,152</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14,883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11,950</w:t>
            </w:r>
          </w:p>
        </w:tc>
        <w:tc>
          <w:tcPr>
            <w:tcW w:w="680" w:type="dxa"/>
            <w:vAlign w:val="bottom"/>
          </w:tcPr>
          <w:p>
            <w:pPr>
              <w:jc w:val="right"/>
              <w:spacing w:after="0"/>
              <w:rPr>
                <w:sz w:val="20"/>
                <w:szCs w:val="20"/>
                <w:color w:val="auto"/>
              </w:rPr>
            </w:pPr>
            <w:r>
              <w:rPr>
                <w:rFonts w:ascii="Arial" w:cs="Arial" w:eastAsia="Arial" w:hAnsi="Arial"/>
                <w:sz w:val="18"/>
                <w:szCs w:val="18"/>
                <w:color w:val="auto"/>
              </w:rPr>
              <w:t>33,546</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288,164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245,499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556,728</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680" w:type="dxa"/>
            <w:vAlign w:val="bottom"/>
          </w:tcPr>
          <w:p>
            <w:pPr>
              <w:jc w:val="right"/>
              <w:spacing w:after="0"/>
              <w:rPr>
                <w:sz w:val="20"/>
                <w:szCs w:val="20"/>
                <w:color w:val="auto"/>
              </w:rPr>
            </w:pPr>
            <w:r>
              <w:rPr>
                <w:rFonts w:ascii="Arial" w:cs="Arial" w:eastAsia="Arial" w:hAnsi="Arial"/>
                <w:sz w:val="18"/>
                <w:szCs w:val="18"/>
                <w:color w:val="auto"/>
              </w:rPr>
              <w:t>185,237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187,554</w:t>
            </w:r>
          </w:p>
        </w:tc>
        <w:tc>
          <w:tcPr>
            <w:tcW w:w="680" w:type="dxa"/>
            <w:vAlign w:val="bottom"/>
          </w:tcPr>
          <w:p>
            <w:pPr>
              <w:jc w:val="right"/>
              <w:spacing w:after="0"/>
              <w:rPr>
                <w:sz w:val="20"/>
                <w:szCs w:val="20"/>
                <w:color w:val="auto"/>
              </w:rPr>
            </w:pPr>
            <w:r>
              <w:rPr>
                <w:rFonts w:ascii="Arial" w:cs="Arial" w:eastAsia="Arial" w:hAnsi="Arial"/>
                <w:sz w:val="18"/>
                <w:szCs w:val="18"/>
                <w:color w:val="auto"/>
              </w:rPr>
              <w:t>360,998</w:t>
            </w:r>
          </w:p>
        </w:tc>
        <w:tc>
          <w:tcPr>
            <w:tcW w:w="7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342,631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102,927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57,945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195,730</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146,893</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40" w:type="dxa"/>
            <w:vAlign w:val="bottom"/>
            <w:gridSpan w:val="3"/>
            <w:vMerge w:val="continue"/>
          </w:tcPr>
          <w:p>
            <w:pPr>
              <w:spacing w:after="0"/>
              <w:rPr>
                <w:sz w:val="18"/>
                <w:szCs w:val="18"/>
                <w:color w:val="auto"/>
              </w:rPr>
            </w:pPr>
          </w:p>
        </w:tc>
        <w:tc>
          <w:tcPr>
            <w:tcW w:w="1400" w:type="dxa"/>
            <w:vAlign w:val="bottom"/>
            <w:gridSpan w:val="2"/>
          </w:tcPr>
          <w:p>
            <w:pPr>
              <w:jc w:val="right"/>
              <w:ind w:right="512"/>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23.6%</w:t>
            </w:r>
          </w:p>
        </w:tc>
        <w:tc>
          <w:tcPr>
            <w:tcW w:w="1400" w:type="dxa"/>
            <w:vAlign w:val="bottom"/>
            <w:gridSpan w:val="2"/>
          </w:tcPr>
          <w:p>
            <w:pPr>
              <w:jc w:val="right"/>
              <w:ind w:right="512"/>
              <w:spacing w:after="0"/>
              <w:rPr>
                <w:sz w:val="20"/>
                <w:szCs w:val="20"/>
                <w:color w:val="auto"/>
              </w:rPr>
            </w:pPr>
            <w:r>
              <w:rPr>
                <w:rFonts w:ascii="Arial" w:cs="Arial" w:eastAsia="Arial" w:hAnsi="Arial"/>
                <w:sz w:val="18"/>
                <w:szCs w:val="18"/>
                <w:color w:val="auto"/>
              </w:rPr>
              <w:t>35.2%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2013, includes $0 and $235 for the three month and six month periods, respectively, associated with the implementation of the cost saving initiatives.</w:t>
      </w:r>
    </w:p>
    <w:p>
      <w:pPr>
        <w:spacing w:after="0" w:line="19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4000" w:type="dxa"/>
            <w:vAlign w:val="bottom"/>
            <w:gridSpan w:val="3"/>
          </w:tcPr>
          <w:p>
            <w:pPr>
              <w:jc w:val="right"/>
              <w:ind w:right="140"/>
              <w:spacing w:after="0"/>
              <w:rPr>
                <w:sz w:val="20"/>
                <w:szCs w:val="20"/>
                <w:color w:val="auto"/>
              </w:rPr>
            </w:pPr>
            <w:r>
              <w:rPr>
                <w:rFonts w:ascii="Arial" w:cs="Arial" w:eastAsia="Arial" w:hAnsi="Arial"/>
                <w:sz w:val="18"/>
                <w:szCs w:val="18"/>
                <w:color w:val="auto"/>
              </w:rPr>
              <w:t>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40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320" w:type="dxa"/>
            <w:vAlign w:val="bottom"/>
            <w:vMerge w:val="restart"/>
          </w:tcPr>
          <w:p>
            <w:pPr>
              <w:jc w:val="right"/>
              <w:ind w:right="732"/>
              <w:spacing w:after="0"/>
              <w:rPr>
                <w:sz w:val="20"/>
                <w:szCs w:val="20"/>
                <w:color w:val="auto"/>
              </w:rPr>
            </w:pPr>
            <w:r>
              <w:rPr>
                <w:rFonts w:ascii="Arial" w:cs="Arial" w:eastAsia="Arial" w:hAnsi="Arial"/>
                <w:sz w:val="18"/>
                <w:szCs w:val="18"/>
                <w:color w:val="auto"/>
              </w:rPr>
              <w:t>61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14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versus June 30, 2013</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Asset Management net revenue increased $43 million, or 17%, as compared to the 2013 period. Management fees increased $40 million, or 18%, as compared to the 2013 period, reflecting a $31 billion, or 18%, increase in average AUM. Incentive fees remained substantially unchanged as compared to the 2013 period. Other revenue increased $3 million, or 25%, as compared to the 2013 period, primarily due to increases in custody fees and transaction-based commission revenue as a result of increased market activity.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decreased $2 million, or 1%, as compared to the 2013 period.</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Asset Management operating income was $103 million, an increase of $45 million, or 78%, as compared to operating income of $58 million in the 2013 period and, as a percentage of net revenue, was 35.7%, as compared to 23.6% in the 2013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versus June 30, 2013</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Asset Management net revenue increased $67 million, or 14%, as compared to the 2013 period. Management fees increased $59 million, or 14%, as compared to the 2013 period, reflecting a $23 billion, or 13%, increase in average AUM. Incentive fees increased $2 million, or 6%, as compared to the 2013 period, primarily due to fees related to traditional investment products. Other revenue increased $6 million, or 23%, as compared to the 2013 period, primarily due to higher transaction-based commission revenue as a result of increased market activity and custody fees.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Operating expenses increased $18 million, or 5%, as compared to the 2013 period, primarily due to increases in compensation and benefits expense related to the increase in operating revenue, and other expenses related to increased business activity.</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Asset Management operating income was $196 million, an increase of $49 million, or 33%, as compared to operating income of $147 million (including the impact of the $0.2 million charge related to the cost saving initiatives) in the 2013 period and, as a percentage of net revenue, was 35.2%, as compared to 30.0% in the 2013 period.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w:t>
            </w: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2,505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(17,299)</w:t>
            </w:r>
          </w:p>
        </w:tc>
        <w:tc>
          <w:tcPr>
            <w:tcW w:w="1860" w:type="dxa"/>
            <w:vAlign w:val="bottom"/>
            <w:gridSpan w:val="3"/>
          </w:tcPr>
          <w:p>
            <w:pPr>
              <w:jc w:val="right"/>
              <w:ind w:right="480"/>
              <w:spacing w:after="0"/>
              <w:rPr>
                <w:sz w:val="20"/>
                <w:szCs w:val="20"/>
                <w:color w:val="auto"/>
              </w:rPr>
            </w:pPr>
            <w:r>
              <w:rPr>
                <w:rFonts w:ascii="Arial" w:cs="Arial" w:eastAsia="Arial" w:hAnsi="Arial"/>
                <w:sz w:val="18"/>
                <w:szCs w:val="18"/>
                <w:color w:val="auto"/>
              </w:rPr>
              <w:t>(22,257)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(34,871)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(44,447)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(14,832)</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(19,752)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(29,869)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12,704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1,273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16,976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(2,128)</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(18,479)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(12,893)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(29,782)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17,876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21,071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22,607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29,046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(20,004)</w:t>
            </w: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(39,550)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(35,500)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(58,828)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2013, includes $12,617 and $16,689 for the three month and six month periods, respectively, associated with the implementation of the cost saving initiatives.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versus June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$5 million, or 25%, as compared to the 2013 period, primarily due to the refinancing of the 2015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increased $11 million as compared to the 2013 period, primarily due to investment gains recorded in connection with LFI.</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Operating expenses decreased $3 million, or 15%, as compared to the 2013 period (which included charges of $12 million associated with the cost saving initiatives). Excluding the impact of such charges, operating expenses increased $9 million as compared to the 2013 period. The increase was primarily due to increased compensation and benefits expense related to LFI and other similar deferred compensation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2014 versus June 30,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$10 million, or 25%, as compared to the 2013 period, primarily due to the refinancing of the 2015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 increased $7 million, or 71%, as compared to the 2013 period, primarily due to investment gains recorded in connection with LFI.</w:t>
      </w:r>
    </w:p>
    <w:p>
      <w:pPr>
        <w:spacing w:after="0" w:line="19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Operating expenses decreased $6 million, or 22%, as compared to the 2013 period (which included charges of $16 million associated with the cost saving initiatives). Excluding the impact of such charges, operating expenses increased $10 million compared to the 2013 period. The increase was primarily due to increased compensation and benefits expense related to LFI and other similar deferred compensation arrangements.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makes cash payments for, or in respect of, a significant portion of its incentive compensation during the first three months of each calendar year with respect to the prior year’s results. In addition, during 2014 and 2013, the Company made cash payments, including severance payments, associated with the cost saving initiatives (see “Cost Saving Initiatives” above and Note 14 of Notes to Condensed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center"/>
              <w:ind w:left="355"/>
              <w:spacing w:after="0"/>
              <w:rPr>
                <w:sz w:val="20"/>
                <w:szCs w:val="20"/>
                <w:color w:val="auto"/>
              </w:rPr>
            </w:pPr>
            <w:r>
              <w:rPr>
                <w:rFonts w:ascii="Arial" w:cs="Arial" w:eastAsia="Arial" w:hAnsi="Arial"/>
                <w:sz w:val="14"/>
                <w:szCs w:val="14"/>
                <w:b w:val="1"/>
                <w:bCs w:val="1"/>
                <w:color w:val="auto"/>
                <w:w w:val="87"/>
              </w:rPr>
              <w:t>Six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(293.9)</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7960" w:type="dxa"/>
            <w:vAlign w:val="bottom"/>
          </w:tcPr>
          <w:p>
            <w:pPr>
              <w:ind w:left="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(284.4)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(220.6)</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18"/>
        </w:trPr>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0" w:type="dxa"/>
            <w:vAlign w:val="bottom"/>
            <w:tcBorders>
              <w:bottom w:val="single" w:sz="8" w:color="auto"/>
            </w:tcBorders>
          </w:tcPr>
          <w:p>
            <w:pPr>
              <w:spacing w:after="0"/>
              <w:rPr>
                <w:sz w:val="8"/>
                <w:szCs w:val="8"/>
                <w:color w:val="auto"/>
              </w:rPr>
            </w:pPr>
          </w:p>
        </w:tc>
        <w:tc>
          <w:tcPr>
            <w:tcW w:w="7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76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8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and distributions to members and noncontrolling interest 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0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During 2013, liquidity was also impacted by cash payments, including severance payments, associated with the cost saving initiatives (see “Cost Saving Initiatives” above and Note 14 of Notes to Condensed Consolidated Financial Statements).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June 30, 2014, Lazard had approximately $612 million of cash, with such amount including approximately $340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lines of credit in excess of anticipated liquidity requirements. As of June 30, 2014, Lazard had approximately $238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$48 million (at June 30, 2014 exchange rates) and Edgewater of $35 million. At June 30, 2014, Edgewater had $55 million of available lines of credit, of which $20 million was drawn down by the general partner of Edgewater Growth Capital Partners III, L.P. (“EGCP III”) in the second quarter of 2014 to provide a loan to EGCP III to finance a certain fund investment. The loan to EGCP III is expected to be repaid in the third quarter of 2014 from a capital call made by EGCP III to its investors. In addition, LFB has access to the Eurosystem Covered Bond Purchase Program of the Banque de France.</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June 30, 2014 and December 31, 2013.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7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2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jc w:val="right"/>
              <w:ind w:right="5652"/>
              <w:spacing w:after="0"/>
              <w:rPr>
                <w:sz w:val="20"/>
                <w:szCs w:val="20"/>
                <w:color w:val="auto"/>
              </w:rPr>
            </w:pPr>
            <w:r>
              <w:rPr>
                <w:rFonts w:ascii="Arial" w:cs="Arial" w:eastAsia="Arial" w:hAnsi="Arial"/>
                <w:sz w:val="18"/>
                <w:szCs w:val="18"/>
                <w:color w:val="auto"/>
                <w:w w:val="87"/>
              </w:rPr>
              <w:t>Senior Debt: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jc w:val="right"/>
              <w:ind w:right="5652"/>
              <w:spacing w:after="0"/>
              <w:rPr>
                <w:sz w:val="20"/>
                <w:szCs w:val="20"/>
                <w:color w:val="auto"/>
              </w:rPr>
            </w:pPr>
            <w:r>
              <w:rPr>
                <w:rFonts w:ascii="Arial" w:cs="Arial" w:eastAsia="Arial" w:hAnsi="Arial"/>
                <w:sz w:val="18"/>
                <w:szCs w:val="18"/>
                <w:color w:val="auto"/>
              </w:rPr>
              <w:t>6.85%</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548.4</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jc w:val="right"/>
              <w:ind w:right="5652"/>
              <w:spacing w:after="0"/>
              <w:rPr>
                <w:sz w:val="20"/>
                <w:szCs w:val="20"/>
                <w:color w:val="auto"/>
              </w:rPr>
            </w:pPr>
            <w:r>
              <w:rPr>
                <w:rFonts w:ascii="Arial" w:cs="Arial" w:eastAsia="Arial" w:hAnsi="Arial"/>
                <w:sz w:val="18"/>
                <w:szCs w:val="18"/>
                <w:color w:val="auto"/>
              </w:rPr>
              <w:t>4.25%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tcPr>
          <w:p>
            <w:pPr>
              <w:jc w:val="right"/>
              <w:ind w:right="5292"/>
              <w:spacing w:after="0"/>
              <w:rPr>
                <w:sz w:val="20"/>
                <w:szCs w:val="20"/>
                <w:color w:val="auto"/>
              </w:rPr>
            </w:pPr>
            <w:r>
              <w:rPr>
                <w:rFonts w:ascii="Arial" w:cs="Arial" w:eastAsia="Arial" w:hAnsi="Arial"/>
                <w:sz w:val="18"/>
                <w:szCs w:val="18"/>
                <w:color w:val="auto"/>
                <w:w w:val="88"/>
              </w:rPr>
              <w:t>Total Senior Debt</w:t>
            </w: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1,048.4</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1,048.4</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fourth quarter of 2013, the Company completed a refinancing of the 2015 Notes by issuing a tender and redemption notice for the 2015 Notes and issuing $500 million of 4.25% senior notes maturing in 2020 (the “2020 Notes”).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At June 30, 2014, the general partner of EGCP III had drawn down $20 million on its line of credit. See Note 9 of Notes to Condensed Consolidated Financial Statements and “—Operating Activities” above for additional information.</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due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2014, Lazard Group was in compliance with such ratios, with its Consolidated Leverage Ratio being 1.41 to 1.00 and its Consolidated Interest Coverage Ratio being 11.92 to 1.00. In any event, no amounts were outstanding under the Credit Facility as of June 30, 2014.</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June 30, 2014,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June 30, 2014, total members’ equity was $531 million, as compared to $536 million at December 31, 2013, including $465 million and $469 million attributable to Lazard Group on the respective dates. The net activity in members’ equity during the six month period ended June 30, 2014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Equity—January 1, 2014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$ 536</w:t>
            </w:r>
          </w:p>
        </w:tc>
        <w:tc>
          <w:tcPr>
            <w:tcW w:w="100" w:type="dxa"/>
            <w:vAlign w:val="bottom"/>
            <w:shd w:val="clear" w:color="auto" w:fill="CCEEFF"/>
          </w:tcPr>
          <w:p>
            <w:pPr>
              <w:spacing w:after="0"/>
              <w:rPr>
                <w:sz w:val="18"/>
                <w:szCs w:val="18"/>
                <w:color w:val="auto"/>
              </w:rPr>
            </w:pPr>
          </w:p>
        </w:tc>
      </w:tr>
      <w:tr>
        <w:trPr>
          <w:trHeight w:val="283"/>
        </w:trPr>
        <w:tc>
          <w:tcPr>
            <w:tcW w:w="99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Purchase of Class A common stock</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net of related tax benefit of $2 (a)</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Distributions to members and noncontrolling interests, net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Members’ Equity—June 30, 2014</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$ 531</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tax withholding portion of share-based compensation is settled in cash, not shares.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of Directors of Lazard Ltd has issued a series of authorizations to repurchase Class A common stock and Lazard Group common membership interests,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the Company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 Per</w:t>
            </w: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102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Membership</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 Purchased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r>
      <w:tr>
        <w:trPr>
          <w:trHeight w:val="129"/>
        </w:trPr>
        <w:tc>
          <w:tcPr>
            <w:tcW w:w="20" w:type="dxa"/>
            <w:vAlign w:val="bottom"/>
          </w:tcPr>
          <w:p>
            <w:pPr>
              <w:spacing w:after="0"/>
              <w:rPr>
                <w:sz w:val="11"/>
                <w:szCs w:val="11"/>
                <w:color w:val="auto"/>
              </w:rPr>
            </w:pPr>
          </w:p>
        </w:tc>
        <w:tc>
          <w:tcPr>
            <w:tcW w:w="168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1"/>
              </w:rPr>
              <w:t>Six Months Ended June 30:</w:t>
            </w:r>
          </w:p>
        </w:tc>
        <w:tc>
          <w:tcPr>
            <w:tcW w:w="6540" w:type="dxa"/>
            <w:vAlign w:val="bottom"/>
            <w:tcBorders>
              <w:top w:val="single" w:sz="8" w:color="CCEEFF"/>
              <w:bottom w:val="single" w:sz="8" w:color="CCEEFF"/>
            </w:tcBorders>
            <w:shd w:val="clear" w:color="auto" w:fill="CCEEFF"/>
          </w:tcPr>
          <w:p>
            <w:pPr>
              <w:spacing w:after="0"/>
              <w:rPr>
                <w:sz w:val="11"/>
                <w:szCs w:val="11"/>
                <w:color w:val="auto"/>
              </w:rPr>
            </w:pPr>
          </w:p>
        </w:tc>
        <w:tc>
          <w:tcPr>
            <w:tcW w:w="114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2013</w:t>
            </w:r>
          </w:p>
        </w:tc>
        <w:tc>
          <w:tcPr>
            <w:tcW w:w="7680" w:type="dxa"/>
            <w:vAlign w:val="bottom"/>
            <w:gridSpan w:val="2"/>
          </w:tcPr>
          <w:p>
            <w:pPr>
              <w:jc w:val="right"/>
              <w:spacing w:after="0"/>
              <w:rPr>
                <w:sz w:val="20"/>
                <w:szCs w:val="20"/>
                <w:color w:val="auto"/>
              </w:rPr>
            </w:pPr>
            <w:r>
              <w:rPr>
                <w:rFonts w:ascii="Arial" w:cs="Arial" w:eastAsia="Arial" w:hAnsi="Arial"/>
                <w:sz w:val="18"/>
                <w:szCs w:val="18"/>
                <w:color w:val="auto"/>
              </w:rPr>
              <w:t>1,434,657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4,114,206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shares purchased in the six months ended June 30, 2014 included 1,000,000 shares purchased from Natixis S.A. on June 26, 2014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 million in connection with the sale by Natixis S.A. of its entire investment in Lazard Ltd’s Class A common stock. The purchase transaction closed on July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As of June 30, 2014, a total of $129 million of share repurchase authorization remained available under the Company’s share repurchase program,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expire on December 31, 2015.</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six months ended June 30, 2014, the Company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plans to continue to deploy excess cash and may do so in a variety of ways, which may include repurchasing outstanding shares of Class A common stock, distributions to members and noncontrolling interest holders and repurchasing its outstanding debt.</w:t>
      </w:r>
    </w:p>
    <w:p>
      <w:pPr>
        <w:spacing w:after="0" w:line="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members’ equity and incentive plans,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$ 1,299,161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58,812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$ 665,974</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531,875</w:t>
            </w: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w w:val="98"/>
              </w:rPr>
              <w:t>Operating Leases (exclusive of $169,041 of committed sublease income) (b)</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991,783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84,623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154,157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132,084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620,919</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(c)</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26,441</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26,441</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$ 2,333,796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$ 173,014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$ 833,404</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174,584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1,152,794</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Committed sublease income was reduced by approximately $79,600 in July 2014 pursuant to arrangements we entered into with LFCM Holdings. See Note 16 of Notes to Condensed Consolidated Financial Statements.</w:t>
      </w:r>
    </w:p>
    <w:p>
      <w:pPr>
        <w:ind w:left="460" w:right="8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 These amounts are generally due on demand and therefore are presented in the “less than 1 year” category.</w:t>
      </w:r>
    </w:p>
    <w:p>
      <w:pPr>
        <w:ind w:left="460" w:right="40" w:hanging="452"/>
        <w:spacing w:after="0" w:line="30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10, 12, 13 and 15 of Notes to Condensed Consolidated Financial Statements regarding information in connection with commitments, incentive plans, employee benefit plans and income taxes,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condensed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Differences that are temporary in nature result in deferred tax assets and liabilities. Significant judgment is required in determining our provision for income taxes, our deferred tax assets and liabilities as discussed below, any valuation allowance recorded against our deferred tax assets and our unrecognized tax benefits.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At December 31, 2013, the Company recorded gross deferred tax assets of approximately $242 million with such amount partially offset by a valuation allowance of approximately $117 million due to the uncertainty of realizing the benefits of the book versus tax basis differences and certain net operating loss carry-forwards. In assessing the realizability of deferred tax assets, we 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increased or reduced or is no longer necessary. A change in the valuation allowance would affect the provision for income taxes and could materially impact Lazard’s consolidated financial position and results of operations.</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1A, “Risk Factors” and see Note 17 of Notes to Consolidated Financial Statements in our Form 10-K for additional information related to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Investments consist primarily of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investments, with the exception of equity method investments, are carried at fair value on the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1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60" w:type="dxa"/>
            <w:vAlign w:val="bottom"/>
            <w:tcBorders>
              <w:top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1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$ 112,693</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118,535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13,668</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27,668</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151,369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162,123</w:t>
            </w:r>
          </w:p>
        </w:tc>
        <w:tc>
          <w:tcPr>
            <w:tcW w:w="100" w:type="dxa"/>
            <w:vAlign w:val="bottom"/>
            <w:shd w:val="clear" w:color="auto" w:fill="CCEEFF"/>
          </w:tcPr>
          <w:p>
            <w:pPr>
              <w:spacing w:after="0"/>
              <w:rPr>
                <w:sz w:val="18"/>
                <w:szCs w:val="18"/>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1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107,926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104,405</w:t>
            </w:r>
          </w:p>
        </w:tc>
        <w:tc>
          <w:tcPr>
            <w:tcW w:w="10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Short-term investments and other</w:t>
            </w:r>
          </w:p>
        </w:tc>
        <w:tc>
          <w:tcPr>
            <w:tcW w:w="15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21,749</w:t>
            </w:r>
          </w:p>
        </w:tc>
        <w:tc>
          <w:tcPr>
            <w:tcW w:w="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 owned</w:t>
            </w:r>
          </w:p>
        </w:tc>
        <w:tc>
          <w:tcPr>
            <w:tcW w:w="1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129,675</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116,049</w:t>
            </w:r>
          </w:p>
        </w:tc>
        <w:tc>
          <w:tcPr>
            <w:tcW w:w="100" w:type="dxa"/>
            <w:vAlign w:val="bottom"/>
            <w:shd w:val="clear" w:color="auto" w:fill="CCEEFF"/>
          </w:tcPr>
          <w:p>
            <w:pPr>
              <w:spacing w:after="0"/>
              <w:rPr>
                <w:sz w:val="18"/>
                <w:szCs w:val="18"/>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281,044</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278,172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1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method (c)</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7,994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consolidated, not owned (d)</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LFI (e)</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228,393</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169,095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526,400</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466,542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June 30, 2014 and December 31, 2013, seed investments in directly owned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2"/>
              </w:rPr>
              <w:t>June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1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196"/>
        </w:trPr>
        <w:tc>
          <w:tcPr>
            <w:tcW w:w="818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18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81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r>
      <w:tr>
        <w:trPr>
          <w:trHeight w:val="216"/>
        </w:trPr>
        <w:tc>
          <w:tcPr>
            <w:tcW w:w="818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r>
      <w:tr>
        <w:trPr>
          <w:trHeight w:val="216"/>
        </w:trPr>
        <w:tc>
          <w:tcPr>
            <w:tcW w:w="81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180" w:type="dxa"/>
            <w:vAlign w:val="bottom"/>
          </w:tcPr>
          <w:p>
            <w:pPr>
              <w:ind w:left="1480"/>
              <w:spacing w:after="0"/>
              <w:rPr>
                <w:sz w:val="20"/>
                <w:szCs w:val="20"/>
                <w:color w:val="auto"/>
              </w:rPr>
            </w:pPr>
            <w:r>
              <w:rPr>
                <w:rFonts w:ascii="Arial" w:cs="Arial" w:eastAsia="Arial" w:hAnsi="Arial"/>
                <w:sz w:val="18"/>
                <w:szCs w:val="18"/>
                <w:color w:val="auto"/>
              </w:rPr>
              <w:t>Energy</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81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2"/>
        </w:trPr>
        <w:tc>
          <w:tcPr>
            <w:tcW w:w="8180" w:type="dxa"/>
            <w:vAlign w:val="bottom"/>
          </w:tcPr>
          <w:p>
            <w:pPr>
              <w:ind w:left="1900"/>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500" w:hanging="452"/>
        <w:spacing w:after="0" w:line="33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$21 million and $18 million as of June 30, 2014 and December 31, 2013, respectively.</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4" w:lineRule="exact"/>
        <w:rPr>
          <w:rFonts w:ascii="Arial" w:cs="Arial" w:eastAsia="Arial" w:hAnsi="Arial"/>
          <w:sz w:val="16"/>
          <w:szCs w:val="16"/>
          <w:color w:val="auto"/>
        </w:rPr>
      </w:pPr>
    </w:p>
    <w:p>
      <w:pPr>
        <w:ind w:left="460" w:right="120" w:hanging="452"/>
        <w:spacing w:after="0" w:line="25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June 30, 2014 and December 31, 2013, $118 million and $116 million, respectively, of our total investments at a fair value of $518 and $457 million, respectively, or 23% and 25%, respectively, were classified as Level 3 investments. Substantially all of our Level 3 investments at both dates are priced based on NAV.</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During the six months ended June 30, 2014 and 2013, gains of approximately $7 million and $3 million, respectively, were recognized in “revenue-other” on the consolidated statement of operations pertaining to Level 3 investments. See Notes 4 and 5 of Notes to Condensed Consolidated Financial Statements for additional information regarding investments measured at fair value, including the levels of fair value within which such measurements of fair value fall.</w:t>
      </w:r>
    </w:p>
    <w:p>
      <w:pPr>
        <w:spacing w:after="0" w:line="10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As of June 30, 2014 and December 31, 2013, the Company held seed investments of approximately $151 million and $162 million, respectively. Seed investments held in entities in which the Company maintained a controlling interest were $42 million in six entities as of June 30, 2014, as compared to $46 million in eight entities as of December 31, 2013.</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June 30, 2014 and December 31, 2013, the Company did not consolidate or deconsolidate any seed investment entities. As such, 100% of the recorded balance of seed investments as of June 30, 2014 and December 31, 2013 represented the Company’s economic interest in the seed investments. See “— Consolidation of Variable Interest Entities” below for more information on the Company’s policy regarding the consolidation of seed investment entities.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During the fourth quarter of 2013, the Company changed the date of its annual impairment testing from December 31 to November 1. See Note 8 of Notes to Condensed Consolidated Financial Statements for additional information regarding goodwill.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Lazard makes seed investments in certain entities that are considered VOEs and often require consolidation as a result of our investment. The impact of seed investment entities that require consolidation on the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w:t>
      </w:r>
      <w:r>
        <w:rPr>
          <w:rFonts w:ascii="Arial" w:cs="Arial" w:eastAsia="Arial" w:hAnsi="Arial"/>
          <w:sz w:val="15"/>
          <w:szCs w:val="15"/>
          <w:i w:val="1"/>
          <w:iCs w:val="1"/>
          <w:color w:val="auto"/>
        </w:rPr>
        <w:t>Investments</w:t>
      </w:r>
      <w:r>
        <w:rPr>
          <w:rFonts w:ascii="Arial" w:cs="Arial" w:eastAsia="Arial" w:hAnsi="Arial"/>
          <w:sz w:val="15"/>
          <w:szCs w:val="15"/>
          <w:color w:val="auto"/>
        </w:rPr>
        <w:t>” above for more information regarding our investments.</w:t>
      </w:r>
    </w:p>
    <w:p>
      <w:pPr>
        <w:spacing w:after="0" w:line="98"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and (ii) investments in funds owned entirely by the noncontrolling interest holders of certain acquired entities.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Equity Market Price Risk—As of June 30, 2014 and December 31, 2013, the Company’s exposure to equity market price risk in its investment portfolio, which primarily relates to investments in equity securities, equity funds and hedge funds, was approximately $128 million and $134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$1.1 million and $1.7 million in the carrying value of such investments as of June 30, 2014 and December 31, 2013, respectively, including the effect of the hedging transactions.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Rate/Credit Spread Risk—As of June 30, 2014 and December 31, 2013, the Company’s exposure to interest rate and credit spread risk in its investment portfolio related to investments in debt securities or funds which invest primarily in debt securities was $42 million and $37 million, respectively. The Company hedges market exposure arising from a portion of our debt investment portfolios by entering into total return swaps. The Company estimates that a hypothetical 100 basis point adverse change in interest rates or credit spreads would result in an insignificant decrease in the carrying value of such investments as of June 30, 2014 and December 31, 2013, including the effect of the hedging transactions.</w:t>
      </w:r>
    </w:p>
    <w:p>
      <w:pPr>
        <w:spacing w:after="0" w:line="1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Foreign Exchange Rate Risk—As of June 30, 2014 and December 31, 2013, the Company’s exposure to foreign exchange rate risk in its investment portfolio, which primarily relates to investments in foreign currency denominated equity and debt securities, was $76 million and $85 million, respectively. A significant portion of the Company’s foreign currency exposure relating to our equity and debt investment portfolios is hedged through the aforementioned total return swaps. The Company estimates that a 10% adverse change in foreign exchange rates versus US dollars would result in a decrease of approximately $0.6 million and $1.4 million in the carrying value of such investments as of June 30, 2014 and December 31, 2013, respectively, including the effect of the hedging transactions.</w:t>
      </w:r>
    </w:p>
    <w:p>
      <w:pPr>
        <w:spacing w:after="0" w:line="144"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As of June 30, 2014 and December 31, 2013, the Company’s exposure to changes in the fair value of such investments was approximately $108 million and $104 million, respectively. The Company estimates that a hypothetical 10% adverse change in fair value would result in a decrease of approximately $10.8 million and $10.4 million in the carrying value of such investments as of June 30, 2014 and December 31, 2013,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June 30, 2014, total receivables amounted to $645 million, net of an allowance for doubtful accounts of $30 million. As of that date, Financial Advisory and Asset Management fees, and customer and related party receivables comprised 68%, 12% and 20% of total receivables, respectively. At December 31, 2013, total receivables amounted to $623 million, net of an allowance for doubtful accounts of $29 million. As of that date, Financial Advisory and Asset Management fees, and customer and related party receivables comprised 73%, 8% and 19% of total receivables, respectively. At June 30, 2014 and December 31, 2013, the Company had receivables past due or deemed uncollectible of approximately $34 million and $39 million, respectively. See also “Critical Accounting Policies and Estimates—Revenue Recognition” above and Note 3 of Notes to Condensed Consolidated Financial Statements for additional information regarding receivables.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June 30, 2014 and December 31, 2013, customer receivables included $28 million and $15 million of LFB loans, respectively. Such loans are closely monitored for counterparty creditworthiness to help minimize exposure. In addition, as of June 30, 2014, LFB’s commitments to lend, which are fully collateralized and generally contain requirements for the counterparty to maintain a minimum collateral level, were not significant.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As of June 30, 2014, the Company’s largest individual counterparty exposure was a Financial Advisory fee receivable of $12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Lazard enters into interest rate swaps and forward foreign currency exchange contracts to hedge exposures to interest rates and currency exchange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$0.1 million and $1 million at June 30, 2014 and December 31, 2013, respectively, and derivative liabilities, excluding the derivative liability arising from the Company’s obligation pertaining to LFI and other similar deferred compensation arrangements, amounted to $7 million and $2 million at such respective dates.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Derivative liabilities relating to LFI amounted to $215 million and $162 million at June 30, 2014 and December 31, 2013, respectively.</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currency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June 30, 2014, we do not believe that the impact of potential significant movements in either the currency or interest rate markets on LFB’s positions would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short-term investments generally have floating interest rates. Based on account balances as of June 30, 2014, Lazard estimates that its annual operating income relating to cash and short-term investments and corporate indebtedness would increase by approximately $6 million in the event interest rates were to increase by 1% and decrease by approximately $2 million if rates were to decrease by 1%.</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June 30, 2014, the Company’s cash and cash equivalents totaled approximately $612 million. Substantially all of the Company’s cash and cash equivalents were invested in highly liquid institutional money market funds (a significant majority of which were invested solely in U.S. Government or agency money market funds), in short-term interest earning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62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2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1 to the Operating Agreement of Lazard Group LLC, dated as of December 19, 2005 (incorporated by reference to Exhibit</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3.01 to the Registrant’s Current Report on Form 8-K (File No. 333-126751) filed on December 19,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2, dated as of May 7, 2008,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3.6</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First Supplemental Indenture, dated as of May 10, 2005, by and between the Registrant and The Bank of New York, as trustee (incorporated</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8"/>
              </w:rPr>
              <w:t>by reference to Exhibit 4.2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Fifth Supplemental Indenture, dated as of November 14, 2013,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(incorporated by reference to Exhibit 4.1 to the Registrant’s Current Report on Form 8-K (File No. 333-126751) filed on November 14, 2013).</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20" w:type="dxa"/>
            <w:vAlign w:val="bottom"/>
          </w:tcPr>
          <w:p>
            <w:pPr>
              <w:ind w:left="600"/>
              <w:spacing w:after="0"/>
              <w:rPr>
                <w:sz w:val="20"/>
                <w:szCs w:val="20"/>
                <w:color w:val="auto"/>
              </w:rPr>
            </w:pPr>
            <w:r>
              <w:rPr>
                <w:rFonts w:ascii="Arial" w:cs="Arial" w:eastAsia="Arial" w:hAnsi="Arial"/>
                <w:sz w:val="18"/>
                <w:szCs w:val="18"/>
                <w:color w:val="auto"/>
              </w:rPr>
              <w:t>Form of Senior Notes (included in Exhibits 4.2, 4.3 and 4.4).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60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Ltd, LAZ-MD Holdings LLC and LFCM</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5"/>
              </w:rPr>
              <w:t>Holdings LLC (incorporated by reference to Exhibit 2.1 to Lazard Ltd’s Quarterly Report (File No. 001-32492) on Form 10-Q filed on</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620" w:type="dxa"/>
            <w:vAlign w:val="bottom"/>
          </w:tcPr>
          <w:p>
            <w:pPr>
              <w:ind w:left="600"/>
              <w:spacing w:after="0"/>
              <w:rPr>
                <w:sz w:val="20"/>
                <w:szCs w:val="20"/>
                <w:color w:val="auto"/>
              </w:rPr>
            </w:pPr>
            <w:r>
              <w:rPr>
                <w:rFonts w:ascii="Arial" w:cs="Arial" w:eastAsia="Arial" w:hAnsi="Arial"/>
                <w:sz w:val="18"/>
                <w:szCs w:val="18"/>
                <w:color w:val="auto"/>
                <w:w w:val="94"/>
              </w:rPr>
              <w:t>Amendment No. 1, dated as of November 6, 2006, to the Master Separation Agreement, dated as of May 10, 2005, by and among to</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Registrant, Lazard Ltd and LAZ-MD Holdings LLC (incorporated by reference to Exhibit 10.2 to the Registrant’s Quarterly Report (File No.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333-126751) on Form 10-Q filed on November 7, 2006).</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620" w:type="dxa"/>
            <w:vAlign w:val="bottom"/>
          </w:tcPr>
          <w:p>
            <w:pPr>
              <w:ind w:left="60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the</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Registrant, Lazard Ltd and LAZ-MD Holdings LLC (incorporated by reference to Exhibit 2.1 to the Registrant’s Current Report on Form 8-K</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(File No. 333-126751) filed on May 9, 2008).</w:t>
            </w:r>
          </w:p>
        </w:tc>
      </w:tr>
      <w:tr>
        <w:trPr>
          <w:trHeight w:val="365"/>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Class B-l and Class C Members Transaction Agreement (incorporated by reference to Exhibit 2.2 to Lazard Ltd’s Registration Statement (File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No. 333-121407) on Form S-l filed on December 17,</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2004).</w:t>
            </w: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Lazard Ltd and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certain members of LAZ-MD Holdings LLC (incorporated by reference to Exhibit 10.4 to the Registrant’s Quarterly Report</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(File No. 333-126751) on Form 10-Q filed on November 7, 2006).</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480"/>
              <w:spacing w:after="0"/>
              <w:rPr>
                <w:sz w:val="20"/>
                <w:szCs w:val="20"/>
                <w:color w:val="auto"/>
              </w:rPr>
            </w:pPr>
            <w:r>
              <w:rPr>
                <w:rFonts w:ascii="Arial" w:cs="Arial" w:eastAsia="Arial" w:hAnsi="Arial"/>
                <w:sz w:val="18"/>
                <w:szCs w:val="18"/>
                <w:color w:val="auto"/>
              </w:rPr>
              <w:t>First Amendment, dated as of May 7, 2008, to the Amended and Restated Stockholders’</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Agreement dated as of November 6, 2006, between LAZ-MD Holdings LLC and Lazard Ltd (incorporated by reference to Exhibit 10.6 to the</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Registrant’s Quarterly Report (File No. 333-126751) on Form 10-Q filed on May 9, 2008).</w:t>
            </w:r>
          </w:p>
        </w:tc>
      </w:tr>
      <w:tr>
        <w:trPr>
          <w:trHeight w:val="331"/>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Ltd, LAZ-MD Holdings LLC and LFCM</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Holdings LLC (incorporated by reference to Exhibit 10.4 to Lazard Ltd’s Quarterly Report (File No. 001-32492) on Form 10-Q filed on</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Insurance Matters Agreement, dated as of May 10, 2005, by and between Lazard Group LLC and LFCM Holdings LLC (incorporated by</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License Agreement, dated as of May 10, 2005, by and among Lazard Strategic Coordination Company LLC, Lazard Frères &amp; Co LLC, Lazard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Frères S.A.S., Lazard &amp; Co., Holdings Limited and LFCM Holdings LLC (incorporated by reference to Exhibit 10.6 to Lazard Ltd’s Quarterly</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Administrative Services Agreement, dated as of May 10, 2005, by and among LAZ-MD Holdings LLC, LFCM Holdings LLC and the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Registrant (incorporated by reference to Exhibit 10.7 to Lazard Ltd’s Quarterly Report (File No. 001-32492) on Form 10-Q filed on June 16,</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Business Alliance Agreement, dated as of May 10, 2005, by and between the Registrant and LFCM Holdings LLC (incorporated by reference</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to Exhibit 10.8 to Lazard Ltd’s Quarterly Report (File No. 001-32492) on Form 10-Q filed on 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Amendment and Consent, dated February 9, 2009, to the Business Alliance Agreement, dated as of May 10, 2005, by and between the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Registrant and LFCM Holdings LLC (incorporated by reference to Exhibit 10.12 to Lazard Ltd’s Annual Report (File No. 001-32492) on</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Amended and Restated Operating Agreement of Lazard Strategic Coordination Company LLC, dated as of January 1, 2002 (incorporated by</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S-l/A filed on February 11,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4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to Exhibit 10.19 to Lazard Ltd’s Registration Statement (File No. 333-121407) on Form S-l/A filed on February 11,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Amendment dated as of February 16, 2001, by and among RCPI Landmark Properties, L.L.C. (as the successor in interest to Rockefeller</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Center Properties), RCPI 30 Rock 22234849, L.L.C. and Lazard Group LLC (as the successor in interest to Lazard Frères &amp; Co. LLC), to the</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88"/>
              </w:rPr>
              <w:t>Lease dated as of January 27, 1994, by and among Rockefeller Center Properties and Lazard Frères &amp; Co. LLC (incorporated by reference to</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Exhibit 10.15 to the Registrant’s Quarterly Report (File No. 333-126751) on Form 10-Q filed on April 29, 2011).</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480"/>
              <w:spacing w:after="0"/>
              <w:rPr>
                <w:sz w:val="20"/>
                <w:szCs w:val="20"/>
                <w:color w:val="auto"/>
              </w:rPr>
            </w:pPr>
            <w:r>
              <w:rPr>
                <w:rFonts w:ascii="Arial" w:cs="Arial" w:eastAsia="Arial" w:hAnsi="Arial"/>
                <w:sz w:val="18"/>
                <w:szCs w:val="18"/>
                <w:color w:val="auto"/>
                <w:w w:val="89"/>
              </w:rPr>
              <w:t>Occupational Lease, dated as of August 9, 2002, by and among Burford (Stratton) Nominee 1 Limited, Burford (Stratton) Nominee 2 Limited,</w:t>
            </w:r>
          </w:p>
        </w:tc>
      </w:tr>
      <w:tr>
        <w:trPr>
          <w:trHeight w:val="216"/>
        </w:trPr>
        <w:tc>
          <w:tcPr>
            <w:tcW w:w="900" w:type="dxa"/>
            <w:vAlign w:val="bottom"/>
          </w:tcPr>
          <w:p>
            <w:pPr>
              <w:spacing w:after="0"/>
              <w:rPr>
                <w:sz w:val="18"/>
                <w:szCs w:val="18"/>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Burford (Stratton) Limited, Lazard &amp; Co., Limited and Lazard LLC (incorporated by reference to Exhibit 10.21 to Lazard Ltd’s Registration</w:t>
            </w:r>
          </w:p>
        </w:tc>
      </w:tr>
      <w:tr>
        <w:trPr>
          <w:trHeight w:val="222"/>
        </w:trPr>
        <w:tc>
          <w:tcPr>
            <w:tcW w:w="900" w:type="dxa"/>
            <w:vAlign w:val="bottom"/>
          </w:tcPr>
          <w:p>
            <w:pPr>
              <w:spacing w:after="0"/>
              <w:rPr>
                <w:sz w:val="19"/>
                <w:szCs w:val="19"/>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Statement (File No. 333-121407) on Form S-l/A filed on February 11, 2005).</w:t>
            </w:r>
          </w:p>
        </w:tc>
      </w:tr>
      <w:tr>
        <w:trPr>
          <w:trHeight w:val="365"/>
        </w:trPr>
        <w:tc>
          <w:tcPr>
            <w:tcW w:w="90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10.17*</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Lazard Ltd’s 2005 Equity Incentive Plan (incorporated by reference to Exhibit 10.21 to Lazard Ltd’s Registration Statement (File No. 333-</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121407) on Form S-l/A filed on May 2, 2005).</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10.18*</w:t>
            </w:r>
          </w:p>
        </w:tc>
        <w:tc>
          <w:tcPr>
            <w:tcW w:w="10420" w:type="dxa"/>
            <w:vAlign w:val="bottom"/>
          </w:tcPr>
          <w:p>
            <w:pPr>
              <w:ind w:left="440"/>
              <w:spacing w:after="0"/>
              <w:rPr>
                <w:sz w:val="20"/>
                <w:szCs w:val="20"/>
                <w:color w:val="auto"/>
              </w:rPr>
            </w:pPr>
            <w:r>
              <w:rPr>
                <w:rFonts w:ascii="Arial" w:cs="Arial" w:eastAsia="Arial" w:hAnsi="Arial"/>
                <w:sz w:val="18"/>
                <w:szCs w:val="18"/>
                <w:color w:val="auto"/>
                <w:w w:val="94"/>
              </w:rPr>
              <w:t>Lazard Ltd’s 2008 Incentive Compensation Plan (incorporated by reference to Annex B to Lazard Ltd’s Definitive Proxy Statement on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10.19*</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Lazard Ltd’s 2005 Bonus Plan (incorporated by reference to Exhibit 10.23 to Lazard Ltd’s Registration Statement (File No. 333-121407) on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Form S-l/A filed on March 21, 2005).</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10.20*</w:t>
            </w: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Form of Agreement Relating to Retention and Noncompetition and Other Covenants, dated as of May 4, 2005, applicable to and related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Schedule I for, Scott D. Hoffman (incorporated by reference to Exhibit 10.26 to Lazard Ltd’s Quarterly Report (File No. 001-32492) on Form</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10-Q filed on June 16, 2005.</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10.21*</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of May 4, 2005, for Scott D. Hoffman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333-126751) filed on May 9, 2008).</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10.22*</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Amendment, dated as of February 23,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May 4, 2005 and amended as of May 7, 2008 for Scott D. Hoffman (incorporated by reference to Exhibit 10.24 to the Registrant’s Quarterly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10.23*</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Form of Agreement Relating to Retention and Noncompetition and other Covenants (incorporated by reference to Exhibit 10.27 to Lazard</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Ltd’s Registration Statement (File No. 333-121407) on Form S-l/A filed on April 11, 2005).</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10.24*</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Alexander F. Stern (incorporated by reference to Exhibit 10.28 to Registrant’s Annual Report (File No. 333-126751) on Form 10-K filed on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March 2, 2009).</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10.25*</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October 4, 2004, with Alexander F. Stern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10.26*</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March 18, 2005,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Kenneth M. Jacobs (incorporated by reference to Exhibit 10.29 to the Registrant’s Annual Report on Form 10-K (File No. 333-126751) filed</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on March 1, 2010).</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10.27*</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March 18, 2005, with Kenneth M. Jacobs (incorporated by reference to Exhibit 10.1 to the Registrant’s Current Report on Form 8-K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10.28*</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Matthieu Bucaille (incorporated by reference to Exhibit 10.30 to the Registrant’s Quarterly Report (File No. 333-126751) on Form 10-Q filed</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on April 29, 2011).</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10.29*</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First Amendment, dated as of April 1,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October 4, 2004, between the Registrant and Matthieu Bucaille (incorporated by reference to Exhibit 10.31 to the Registrant’s Quarterly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65"/>
        </w:trPr>
        <w:tc>
          <w:tcPr>
            <w:tcW w:w="940" w:type="dxa"/>
            <w:vAlign w:val="bottom"/>
          </w:tcPr>
          <w:p>
            <w:pPr>
              <w:spacing w:after="0"/>
              <w:rPr>
                <w:sz w:val="24"/>
                <w:szCs w:val="24"/>
                <w:color w:val="auto"/>
              </w:rPr>
            </w:pPr>
          </w:p>
        </w:tc>
        <w:tc>
          <w:tcPr>
            <w:tcW w:w="10420" w:type="dxa"/>
            <w:vAlign w:val="bottom"/>
          </w:tcPr>
          <w:p>
            <w:pPr>
              <w:ind w:left="468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10.30*</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Acknowledgement Letter, dated as of November 6, 2006 from the Registrant to certain managing directors of the Registrant modifying the</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terms of the retention agreements of persons party to the Amended and Restated Stockholders’ Agreement, dated as of November 6, 2006</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(incorporated by reference to Exhibit 10.23 to the Registrant’s Quarterly Report (File No. 333-126751) on Form 10-Q filed on November 7,</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10.31</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Letter Agreement, dated as of March 15, 2005 from IXIS Corporate and investment Bank to Lazard LLC and Lazard Ltd (incorporated by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7"/>
              </w:rPr>
              <w:t>reference to Exhibit 10.27 to Lazard Ltd’s Registration Statement (File No. 333-121407) on Form S-1/A filed on March 21,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10.32</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Ltd and IXIS</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Corporate and Investment Bank (incorporated by reference to Exhibit 10.30 to Lazard Ltd’s Quarterly Report (File No. 001-32492) on Form</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10-Q filed on June 16,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10.33*</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Description of Non-Executive Director Compensation (incorporated by reference to Exhibit 10.33 to Lazard Ltd’s Quarterly Report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10.34*</w:t>
            </w: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10.35*</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2005 Equity Incentive Plan (incorporated by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10.36*</w:t>
            </w:r>
          </w:p>
        </w:tc>
        <w:tc>
          <w:tcPr>
            <w:tcW w:w="10420" w:type="dxa"/>
            <w:vAlign w:val="bottom"/>
          </w:tcPr>
          <w:p>
            <w:pPr>
              <w:ind w:left="440"/>
              <w:spacing w:after="0"/>
              <w:rPr>
                <w:sz w:val="20"/>
                <w:szCs w:val="20"/>
                <w:color w:val="auto"/>
              </w:rPr>
            </w:pPr>
            <w:r>
              <w:rPr>
                <w:rFonts w:ascii="Arial" w:cs="Arial" w:eastAsia="Arial" w:hAnsi="Arial"/>
                <w:sz w:val="18"/>
                <w:szCs w:val="18"/>
                <w:color w:val="auto"/>
                <w:w w:val="95"/>
              </w:rPr>
              <w:t>Form of Agreement evidencing a grant of Restricted Stock Units to Executive Officers under the 2008 Incentive Compensation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10.41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10.37*</w:t>
            </w:r>
          </w:p>
        </w:tc>
        <w:tc>
          <w:tcPr>
            <w:tcW w:w="10420" w:type="dxa"/>
            <w:vAlign w:val="bottom"/>
          </w:tcPr>
          <w:p>
            <w:pPr>
              <w:ind w:left="440"/>
              <w:spacing w:after="0"/>
              <w:rPr>
                <w:sz w:val="20"/>
                <w:szCs w:val="20"/>
                <w:color w:val="auto"/>
              </w:rPr>
            </w:pPr>
            <w:r>
              <w:rPr>
                <w:rFonts w:ascii="Arial" w:cs="Arial" w:eastAsia="Arial" w:hAnsi="Arial"/>
                <w:sz w:val="18"/>
                <w:szCs w:val="18"/>
                <w:color w:val="auto"/>
                <w:w w:val="95"/>
              </w:rPr>
              <w:t>Form of Agreement evidencing a grant of Deferred Cash Award to Executive Officers under the 2008 incentive Compensation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10.42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10.38*</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Directors Fee Deferral Unit Plan (incorporated by reference to Exhibit 10.39 to Lazard Ltd’s Quarterly Report (File No. 001-32492) on Form</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10-Q filed on May 11,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10.39*</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2005 Equity Incentive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10.43 to Lazard Ltd’s Annual Report (File No. 001-32492) on Form 10-K filed on March 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10.40</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Agreement and Plan of Merger, dated as of August 14, 2008, by and among Lazard Ltd, LAZ Sub I, Lazard Asset Management LLC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Lazard Asset Management Limited (incorporated by reference to Exhibit 2.1 to Lazard Ltd’s Current Report on Form 8-K (File No. 001-</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32492) filed on August 15,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10.41</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Senior Revolving Credit Agreement, dated as of September 25, 2012, among the Registrant, the Banks from time to time parties thereto,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4"/>
              </w:rPr>
              <w:t>Citibank, N.A., as Administrative Agent (incorporated by reference to Exhibit 10.46 to the Registrant’s Quarterly Report (File No. 333-</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126751) on Form 10-Q filed on November 1, 2012).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10.42*</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Form of Agreement evidencing a grant of Restricted Stock under the 2008 Incentive Compensation Plan (incorporated by reference to Exhibit</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10.43*</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Lazard Fund Interests under the 2008 Incentive Compensation Plan (incorporated by reference to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65"/>
        </w:trPr>
        <w:tc>
          <w:tcPr>
            <w:tcW w:w="940" w:type="dxa"/>
            <w:vAlign w:val="bottom"/>
          </w:tcPr>
          <w:p>
            <w:pPr>
              <w:spacing w:after="0"/>
              <w:rPr>
                <w:sz w:val="24"/>
                <w:szCs w:val="24"/>
                <w:color w:val="auto"/>
              </w:rPr>
            </w:pPr>
          </w:p>
        </w:tc>
        <w:tc>
          <w:tcPr>
            <w:tcW w:w="10420" w:type="dxa"/>
            <w:vAlign w:val="bottom"/>
          </w:tcPr>
          <w:p>
            <w:pPr>
              <w:ind w:left="468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10.44*</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Restricted Stock Units and Restricted Stock to Executive Officers who are or may become eligible</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 retirement under the 2008 Incentive Compensation Plan (incorporated by reference to Exhibit 10.52 to the Registrant’s Quarterly Report</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(File No. 333-126751) on Form 10-Q filed on May 2, 2012).</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10.45*</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March 15, 2005, between the Registrant and Ashish Bhutani (incorporated by reference to Exhibit 10.55 to the Registrant’s Quarterly Report</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(File No. 333-126751) on Form 10-Q filed on August 4, 2011).</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10.46*</w:t>
            </w:r>
          </w:p>
        </w:tc>
        <w:tc>
          <w:tcPr>
            <w:tcW w:w="10460" w:type="dxa"/>
            <w:vAlign w:val="bottom"/>
          </w:tcPr>
          <w:p>
            <w:pPr>
              <w:ind w:left="440"/>
              <w:spacing w:after="0"/>
              <w:rPr>
                <w:sz w:val="20"/>
                <w:szCs w:val="20"/>
                <w:color w:val="auto"/>
              </w:rPr>
            </w:pPr>
            <w:r>
              <w:rPr>
                <w:rFonts w:ascii="Arial" w:cs="Arial" w:eastAsia="Arial" w:hAnsi="Arial"/>
                <w:sz w:val="18"/>
                <w:szCs w:val="18"/>
                <w:color w:val="auto"/>
                <w:w w:val="87"/>
              </w:rPr>
              <w:t>Second Amendment, dated as of October 24, 2012,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of March 18, 2005, and amended on March 23, 2010, among the Registrant, Lazard Ltd and Kenneth M. Jacobs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10.51 to the Registrant’s Quarterly Report (File No. 333-126751) on Form 10-Q filed on November 1, 2012).</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10.47*</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of March 15, 2005 and amended on August 2, 2011, among the Registrant, Lazard Ltd and Ashish Bhutani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10.49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10.48*</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of October 4, 2004 and amended on April 1, 2011, among the Registrant, Lazard Ltd and Matthieu Bucaille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10.50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10.49*</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of May 4, 2005 and amended on May 7, 2008 and February 23, 2011, among the Registrant, Lazard Ltd and Scott D. Hoffman (incorporated</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9"/>
              </w:rPr>
              <w:t>by reference to Exhibit 10.51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10.50*</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of October 4, 2004 and amended on March 23, 2010, among the Registrant, Lazard Ltd and Alexander F. Stern (incorporated by reference to</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10.51*</w:t>
            </w: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Form of Agreement evidencing a grant of Performance-Based Stock Units under the 2008 Incentive Compensation Plan (incorporated by</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reference to Exhibit 10.53 to the Registrant’s Quarterly Report (File No. 333-126751) on Form 10-Q filed on April 30, 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10.52*</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Lazard Fund Interests to Named Executive Officers under the 2008 Incentive Compensation Plan</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10.54 to the Registrant’s Quarterly Report (File No. 333-126751) on Form 10-Q filed on April 30,</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10.53*</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grant of Restricted Stock Units to Named Executive Officers under the 2008 Incentive Compensation Plan</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333-126751) on Form 10-Q filed on April 30,</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2013).</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10.54*</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Form of Agreement evidencing a February 20, 2014 grant of Performance-Based Stock Units under the 2008 Incentive Compensation Plan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(incorporated by reference to Exhibit 10.54 to the Registrant’s Quarterly Report (File No. 333-126751) on Form 10-Q filed on May 6, 2014).</w:t>
            </w:r>
          </w:p>
        </w:tc>
      </w:tr>
      <w:tr>
        <w:trPr>
          <w:trHeight w:val="318"/>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2"/>
              </w:rPr>
              <w:t>10.55*</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Agreement between Lazard Ltd and Kenneth M. Jacobs, dated as of February 20, 2014, evidencing a grant of Performance-Based Stock Units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under the 2008 Incentive Compensation Plan (incorporated by reference to Exhibit 10.55 to the Registrant’s Quarterly Report (File</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No. 333-126751) on Form 10-Q filed on May 6, 2014).</w:t>
            </w:r>
          </w:p>
        </w:tc>
      </w:tr>
      <w:tr>
        <w:trPr>
          <w:trHeight w:val="365"/>
        </w:trPr>
        <w:tc>
          <w:tcPr>
            <w:tcW w:w="94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ind w:left="100"/>
              <w:spacing w:after="0"/>
              <w:rPr>
                <w:sz w:val="20"/>
                <w:szCs w:val="20"/>
                <w:color w:val="auto"/>
              </w:rPr>
            </w:pPr>
            <w:r>
              <w:rPr>
                <w:rFonts w:ascii="Arial" w:cs="Arial" w:eastAsia="Arial" w:hAnsi="Arial"/>
                <w:sz w:val="18"/>
                <w:szCs w:val="18"/>
                <w:color w:val="auto"/>
              </w:rPr>
              <w:t>12.1</w:t>
            </w:r>
          </w:p>
        </w:tc>
        <w:tc>
          <w:tcPr>
            <w:tcW w:w="4040" w:type="dxa"/>
            <w:vAlign w:val="bottom"/>
          </w:tcPr>
          <w:p>
            <w:pPr>
              <w:ind w:left="360"/>
              <w:spacing w:after="0"/>
              <w:rPr>
                <w:sz w:val="20"/>
                <w:szCs w:val="20"/>
                <w:color w:val="auto"/>
              </w:rPr>
            </w:pPr>
            <w:r>
              <w:rPr>
                <w:rFonts w:ascii="Arial" w:cs="Arial" w:eastAsia="Arial" w:hAnsi="Arial"/>
                <w:sz w:val="18"/>
                <w:szCs w:val="18"/>
                <w:color w:val="auto"/>
                <w:w w:val="88"/>
              </w:rPr>
              <w:t>Computation of Ratio of Earnings to Fixed Charges.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4040" w:type="dxa"/>
            <w:vAlign w:val="bottom"/>
          </w:tcPr>
          <w:p>
            <w:pPr>
              <w:ind w:left="360"/>
              <w:spacing w:after="0"/>
              <w:rPr>
                <w:sz w:val="20"/>
                <w:szCs w:val="20"/>
                <w:color w:val="auto"/>
              </w:rPr>
            </w:pPr>
            <w:r>
              <w:rPr>
                <w:rFonts w:ascii="Arial" w:cs="Arial" w:eastAsia="Arial" w:hAnsi="Arial"/>
                <w:sz w:val="18"/>
                <w:szCs w:val="18"/>
                <w:color w:val="auto"/>
                <w:w w:val="90"/>
              </w:rPr>
              <w:t>Rule 13a-14(a) Certification of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4040" w:type="dxa"/>
            <w:vAlign w:val="bottom"/>
          </w:tcPr>
          <w:p>
            <w:pPr>
              <w:ind w:left="360"/>
              <w:spacing w:after="0"/>
              <w:rPr>
                <w:sz w:val="20"/>
                <w:szCs w:val="20"/>
                <w:color w:val="auto"/>
              </w:rPr>
            </w:pPr>
            <w:r>
              <w:rPr>
                <w:rFonts w:ascii="Arial" w:cs="Arial" w:eastAsia="Arial" w:hAnsi="Arial"/>
                <w:sz w:val="18"/>
                <w:szCs w:val="18"/>
                <w:color w:val="auto"/>
                <w:w w:val="94"/>
              </w:rPr>
              <w:t>Rule 13a-14(a) Certification of Matthieu Bucaille.</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4040" w:type="dxa"/>
            <w:vAlign w:val="bottom"/>
          </w:tcPr>
          <w:p>
            <w:pPr>
              <w:ind w:left="360"/>
              <w:spacing w:after="0"/>
              <w:rPr>
                <w:sz w:val="20"/>
                <w:szCs w:val="20"/>
                <w:color w:val="auto"/>
              </w:rPr>
            </w:pPr>
            <w:r>
              <w:rPr>
                <w:rFonts w:ascii="Arial" w:cs="Arial" w:eastAsia="Arial" w:hAnsi="Arial"/>
                <w:sz w:val="18"/>
                <w:szCs w:val="18"/>
                <w:color w:val="auto"/>
                <w:w w:val="92"/>
              </w:rPr>
              <w:t>Section 1350 Certification for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4040" w:type="dxa"/>
            <w:vAlign w:val="bottom"/>
          </w:tcPr>
          <w:p>
            <w:pPr>
              <w:ind w:left="360"/>
              <w:spacing w:after="0"/>
              <w:rPr>
                <w:sz w:val="20"/>
                <w:szCs w:val="20"/>
                <w:color w:val="auto"/>
              </w:rPr>
            </w:pPr>
            <w:r>
              <w:rPr>
                <w:rFonts w:ascii="Arial" w:cs="Arial" w:eastAsia="Arial" w:hAnsi="Arial"/>
                <w:sz w:val="18"/>
                <w:szCs w:val="18"/>
                <w:color w:val="auto"/>
                <w:w w:val="96"/>
              </w:rPr>
              <w:t>Section 1350 Certification for Matthieu Bucaille.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404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404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4040" w:type="dxa"/>
            <w:vAlign w:val="bottom"/>
          </w:tcPr>
          <w:p>
            <w:pPr>
              <w:ind w:left="360"/>
              <w:spacing w:after="0"/>
              <w:rPr>
                <w:sz w:val="20"/>
                <w:szCs w:val="20"/>
                <w:color w:val="auto"/>
              </w:rPr>
            </w:pPr>
            <w:r>
              <w:rPr>
                <w:rFonts w:ascii="Arial" w:cs="Arial" w:eastAsia="Arial" w:hAnsi="Arial"/>
                <w:sz w:val="18"/>
                <w:szCs w:val="18"/>
                <w:color w:val="auto"/>
                <w:w w:val="93"/>
              </w:rPr>
              <w:t>XBRL Taxonomy Extension Calculation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4040" w:type="dxa"/>
            <w:vAlign w:val="bottom"/>
          </w:tcPr>
          <w:p>
            <w:pPr>
              <w:ind w:left="36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404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4040" w:type="dxa"/>
            <w:vAlign w:val="bottom"/>
          </w:tcPr>
          <w:p>
            <w:pPr>
              <w:ind w:left="360"/>
              <w:spacing w:after="0"/>
              <w:rPr>
                <w:sz w:val="20"/>
                <w:szCs w:val="20"/>
                <w:color w:val="auto"/>
              </w:rPr>
            </w:pPr>
            <w:r>
              <w:rPr>
                <w:rFonts w:ascii="Arial" w:cs="Arial" w:eastAsia="Arial" w:hAnsi="Arial"/>
                <w:sz w:val="18"/>
                <w:szCs w:val="18"/>
                <w:color w:val="auto"/>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219"/>
          </w:cols>
          <w:pgMar w:left="240" w:top="459"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2014</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Matthieu Bucaille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Dominick Ragone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20" w:type="dxa"/>
            <w:vAlign w:val="bottom"/>
            <w:gridSpan w:val="7"/>
            <w:vMerge w:val="restart"/>
          </w:tcPr>
          <w:p>
            <w:pPr>
              <w:jc w:val="right"/>
              <w:ind w:right="1040"/>
              <w:spacing w:after="0"/>
              <w:rPr>
                <w:sz w:val="20"/>
                <w:szCs w:val="20"/>
                <w:color w:val="auto"/>
              </w:rPr>
            </w:pPr>
            <w:r>
              <w:rPr>
                <w:rFonts w:ascii="Arial" w:cs="Arial" w:eastAsia="Arial" w:hAnsi="Arial"/>
                <w:sz w:val="14"/>
                <w:szCs w:val="14"/>
                <w:b w:val="1"/>
                <w:bCs w:val="1"/>
                <w:color w:val="auto"/>
                <w:w w:val="90"/>
              </w:rPr>
              <w:t>Year Ended December 31,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8"/>
              <w:spacing w:after="0" w:line="148"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7"/>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2014</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40" w:type="dxa"/>
            <w:vAlign w:val="bottom"/>
            <w:gridSpan w:val="5"/>
          </w:tcPr>
          <w:p>
            <w:pPr>
              <w:jc w:val="right"/>
              <w:ind w:right="14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217,276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219,009</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121,593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241,791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$ 246,809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(181,988)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46,824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111,317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w w:val="86"/>
              </w:rPr>
              <w:t>116,255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114,998</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121,656</w:t>
            </w:r>
          </w:p>
        </w:tc>
        <w:tc>
          <w:tcPr>
            <w:tcW w:w="1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132,785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264,100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330,326</w:t>
            </w:r>
          </w:p>
        </w:tc>
        <w:tc>
          <w:tcPr>
            <w:tcW w:w="3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237,848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356,789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$ 368,465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(49,203)</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87,039</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91,359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94,211</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$ 102,249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24,278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24,896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20,787</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19,407</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19,505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111,317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116,255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114,998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$ 121,656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132,785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0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2.97(d)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2.05(e)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3.10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3.03(f)</w:t>
            </w:r>
          </w:p>
        </w:tc>
        <w:tc>
          <w:tcPr>
            <w:tcW w:w="14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Deficiency in the coverage of operating income (loss) before fixed</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 to total fixed charges</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181,988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80" w:hanging="452"/>
        <w:spacing w:after="0" w:line="305" w:lineRule="auto"/>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charges of (i) $64,703 associated with the cost saving initiatives announced by the Company in October 2012, (ii) $54,087 pertaining to the refinancing of the 2015 Notes and the issuance of the 2020 Notes and</w:t>
      </w:r>
    </w:p>
    <w:p>
      <w:pPr>
        <w:ind w:left="460" w:right="3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charges, the ratio of earnings to fixed charges would have been 4.14.</w:t>
      </w:r>
    </w:p>
    <w:p>
      <w:pPr>
        <w:spacing w:after="0" w:line="56" w:lineRule="exact"/>
        <w:rPr>
          <w:rFonts w:ascii="Arial" w:cs="Arial" w:eastAsia="Arial" w:hAnsi="Arial"/>
          <w:sz w:val="15"/>
          <w:szCs w:val="15"/>
          <w:color w:val="auto"/>
        </w:rPr>
      </w:pPr>
    </w:p>
    <w:p>
      <w:pPr>
        <w:ind w:left="460" w:right="80" w:hanging="452"/>
        <w:spacing w:after="0" w:line="323" w:lineRule="auto"/>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charges, the ratio of earnings to fixed charges would have been 3.14.</w:t>
      </w:r>
    </w:p>
    <w:p>
      <w:pPr>
        <w:spacing w:after="0" w:line="16" w:lineRule="exact"/>
        <w:rPr>
          <w:rFonts w:ascii="Arial" w:cs="Arial" w:eastAsia="Arial" w:hAnsi="Arial"/>
          <w:sz w:val="15"/>
          <w:szCs w:val="15"/>
          <w:color w:val="auto"/>
        </w:rPr>
      </w:pPr>
    </w:p>
    <w:p>
      <w:pPr>
        <w:ind w:left="460" w:right="40" w:hanging="452"/>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and (ii) a charge of $24,860 relating to the amendment of Lazard’s retirement policy with respect to RSU awards. Excluding the impact of such charges, the ratio of earnings to fixed charges would have been 3.95.</w:t>
      </w:r>
    </w:p>
    <w:p>
      <w:pPr>
        <w:sectPr>
          <w:pgSz w:w="11900" w:h="16838" w:orient="portrait"/>
          <w:cols w:equalWidth="0" w:num="1">
            <w:col w:w="11420"/>
          </w:cols>
          <w:pgMar w:left="240" w:top="125" w:right="239" w:bottom="1440" w:gutter="0" w:footer="0" w:header="0"/>
        </w:sectPr>
      </w:pPr>
    </w:p>
    <w:bookmarkStart w:id="87" w:name="page88"/>
    <w:bookmarkEnd w:id="87"/>
    <w:p>
      <w:pPr>
        <w:ind w:left="452" w:hanging="452"/>
        <w:spacing w:after="0" w:line="298" w:lineRule="auto"/>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share-based incentive awards previously granted to our former Chairman and Chief Executive Officer and (iii) the acceleration of amortization expense of $60,512 relating to the accelerated vesting of the unamortized portion of previously awarded deferred cash incentive awards. Excluding the impact of such charges, the ratio of earnings to fixed charges would have been 1.21.</w:t>
      </w:r>
    </w:p>
    <w:p>
      <w:pPr>
        <w:sectPr>
          <w:pgSz w:w="11900" w:h="16838" w:orient="portrait"/>
          <w:cols w:equalWidth="0" w:num="1">
            <w:col w:w="11312"/>
          </w:cols>
          <w:pgMar w:left="248" w:top="280"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2014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2014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2014</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28,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28, 2014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2014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2"/>
    </w:lvl>
  </w:abstractNum>
  <w:abstractNum w:abstractNumId="7">
    <w:nsid w:val="614FD4A1"/>
    <w:multiLevelType w:val="hybridMultilevel"/>
    <w:lvl w:ilvl="0">
      <w:lvlJc w:val="left"/>
      <w:lvlText w:val="%1."/>
      <w:numFmt w:val="decimal"/>
      <w:start w:val="3"/>
    </w:lvl>
  </w:abstractNum>
  <w:abstractNum w:abstractNumId="8">
    <w:nsid w:val="419AC241"/>
    <w:multiLevelType w:val="hybridMultilevel"/>
    <w:lvl w:ilvl="0">
      <w:lvlJc w:val="left"/>
      <w:lvlText w:val="%1."/>
      <w:numFmt w:val="decimal"/>
      <w:start w:val="4"/>
    </w:lvl>
  </w:abstractNum>
  <w:abstractNum w:abstractNumId="9">
    <w:nsid w:val="5577F8E1"/>
    <w:multiLevelType w:val="hybridMultilevel"/>
    <w:lvl w:ilvl="0">
      <w:lvlJc w:val="left"/>
      <w:lvlText w:val="(%1)"/>
      <w:numFmt w:val="lowerLetter"/>
      <w:start w:val="1"/>
    </w:lvl>
  </w:abstractNum>
  <w:abstractNum w:abstractNumId="10">
    <w:nsid w:val="440BADFC"/>
    <w:multiLevelType w:val="hybridMultilevel"/>
    <w:lvl w:ilvl="0">
      <w:lvlJc w:val="left"/>
      <w:lvlText w:val="%1."/>
      <w:numFmt w:val="decimal"/>
      <w:start w:val="5"/>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1)"/>
      <w:numFmt w:val="lowerLetter"/>
      <w:start w:val="1"/>
    </w:lvl>
  </w:abstractNum>
  <w:abstractNum w:abstractNumId="14">
    <w:nsid w:val="7724C67E"/>
    <w:multiLevelType w:val="hybridMultilevel"/>
    <w:lvl w:ilvl="0">
      <w:lvlJc w:val="left"/>
      <w:lvlText w:val="%1."/>
      <w:numFmt w:val="decimal"/>
      <w:start w:val="6"/>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1."/>
      <w:numFmt w:val="decimal"/>
      <w:start w:val="7"/>
    </w:lvl>
  </w:abstractNum>
  <w:abstractNum w:abstractNumId="17">
    <w:nsid w:val="5E884ADC"/>
    <w:multiLevelType w:val="hybridMultilevel"/>
    <w:lvl w:ilvl="0">
      <w:lvlJc w:val="left"/>
      <w:lvlText w:val="%1."/>
      <w:numFmt w:val="decimal"/>
      <w:start w:val="8"/>
    </w:lvl>
  </w:abstractNum>
  <w:abstractNum w:abstractNumId="18">
    <w:nsid w:val="51EAD36B"/>
    <w:multiLevelType w:val="hybridMultilevel"/>
    <w:lvl w:ilvl="0">
      <w:lvlJc w:val="left"/>
      <w:lvlText w:val="%1"/>
      <w:numFmt w:val="decimal"/>
      <w:start w:val="1"/>
    </w:lvl>
    <w:lvl w:ilvl="1">
      <w:lvlJc w:val="left"/>
      <w:lvlText w:val="(%2)"/>
      <w:numFmt w:val="lowerLetter"/>
      <w:start w:val="1"/>
    </w:lvl>
  </w:abstractNum>
  <w:abstractNum w:abstractNumId="19">
    <w:nsid w:val="2D517796"/>
    <w:multiLevelType w:val="hybridMultilevel"/>
    <w:lvl w:ilvl="0">
      <w:lvlJc w:val="left"/>
      <w:lvlText w:val="%1."/>
      <w:numFmt w:val="decimal"/>
      <w:start w:val="9"/>
    </w:lvl>
    <w:lvl w:ilvl="1">
      <w:lvlJc w:val="left"/>
      <w:lvlText w:val="%2"/>
      <w:numFmt w:val="lowerLetter"/>
      <w:start w:val="1"/>
    </w:lvl>
  </w:abstractNum>
  <w:abstractNum w:abstractNumId="20">
    <w:nsid w:val="580BD78F"/>
    <w:multiLevelType w:val="hybridMultilevel"/>
    <w:lvl w:ilvl="0">
      <w:lvlJc w:val="left"/>
      <w:lvlText w:val="%1."/>
      <w:numFmt w:val="decimal"/>
      <w:start w:val="10"/>
    </w:lvl>
  </w:abstractNum>
  <w:abstractNum w:abstractNumId="21">
    <w:nsid w:val="153EA438"/>
    <w:multiLevelType w:val="hybridMultilevel"/>
    <w:lvl w:ilvl="0">
      <w:lvlJc w:val="left"/>
      <w:lvlText w:val="%1."/>
      <w:numFmt w:val="decimal"/>
      <w:start w:val="11"/>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decimal"/>
      <w:start w:val="12"/>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lowerLetter"/>
      <w:start w:val="2"/>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1."/>
      <w:numFmt w:val="decimal"/>
      <w:start w:val="13"/>
    </w:lvl>
  </w:abstractNum>
  <w:abstractNum w:abstractNumId="28">
    <w:nsid w:val="2CD89A32"/>
    <w:multiLevelType w:val="hybridMultilevel"/>
    <w:lvl w:ilvl="0">
      <w:lvlJc w:val="left"/>
      <w:lvlText w:val="%1."/>
      <w:numFmt w:val="decimal"/>
      <w:start w:val="14"/>
    </w:lvl>
  </w:abstractNum>
  <w:abstractNum w:abstractNumId="29">
    <w:nsid w:val="57E4CCAF"/>
    <w:multiLevelType w:val="hybridMultilevel"/>
    <w:lvl w:ilvl="0">
      <w:lvlJc w:val="left"/>
      <w:lvlText w:val="%1."/>
      <w:numFmt w:val="decimal"/>
      <w:start w:val="15"/>
    </w:lvl>
  </w:abstractNum>
  <w:abstractNum w:abstractNumId="30">
    <w:nsid w:val="7A6D8D3C"/>
    <w:multiLevelType w:val="hybridMultilevel"/>
    <w:lvl w:ilvl="0">
      <w:lvlJc w:val="left"/>
      <w:lvlText w:val="%1."/>
      <w:numFmt w:val="decimal"/>
      <w:start w:val="16"/>
    </w:lvl>
  </w:abstractNum>
  <w:abstractNum w:abstractNumId="31">
    <w:nsid w:val="4B588F54"/>
    <w:multiLevelType w:val="hybridMultilevel"/>
    <w:lvl w:ilvl="0">
      <w:lvlJc w:val="left"/>
      <w:lvlText w:val="%1."/>
      <w:numFmt w:val="decimal"/>
      <w:start w:val="17"/>
    </w:lvl>
  </w:abstractNum>
  <w:abstractNum w:abstractNumId="32">
    <w:nsid w:val="542289EC"/>
    <w:multiLevelType w:val="hybridMultilevel"/>
    <w:lvl w:ilvl="0">
      <w:lvlJc w:val="left"/>
      <w:lvlText w:val="%1."/>
      <w:numFmt w:val="decimal"/>
      <w:start w:val="18"/>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lowerRoman"/>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2"/>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2"/>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lowerLetter"/>
      <w:start w:val="1"/>
    </w:lvl>
    <w:lvl w:ilvl="1">
      <w:lvlJc w:val="left"/>
      <w:lvlText w:val="•"/>
      <w:numFmt w:val="bullet"/>
      <w:start w:val="1"/>
    </w:lvl>
  </w:abstractNum>
  <w:abstractNum w:abstractNumId="57">
    <w:nsid w:val="354FE9F9"/>
    <w:multiLevelType w:val="hybridMultilevel"/>
    <w:lvl w:ilvl="0">
      <w:lvlJc w:val="left"/>
      <w:lvlText w:val="(%1)"/>
      <w:numFmt w:val="lowerLetter"/>
      <w:start w:val="7"/>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2019-12-07T09:17:38Z</dcterms:created>
  <dcterms:modified xsi:type="dcterms:W3CDTF">2019-12-07T09:17:38Z</dcterms:modified>
</cp:coreProperties>
</file>