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12,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Lazard,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tbl>
      <w:tblPr>
        <w:tblW w:w="6537" w:type="dxa"/>
        <w:jc w:val="center"/>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001-32492</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98-0437848</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30 Rockefeller Plaza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10112</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212-632-6000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w:t>
      </w:r>
    </w:p>
    <w:p>
      <w:pPr>
        <w:pStyle w:val="TextBody"/>
        <w:bidi w:val="0"/>
        <w:spacing w:lineRule="auto" w:line="288" w:before="200" w:after="283"/>
        <w:jc w:val="left"/>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shd w:fill="FFFFFF" w:val="clear"/>
        </w:rPr>
        <w:t>see</w:t>
      </w:r>
      <w:r>
        <w:rPr>
          <w:color w:val="000000"/>
          <w:shd w:fill="FFFFFF" w:val="clear"/>
        </w:rPr>
        <w:t xml:space="preserve"> </w:t>
      </w:r>
      <w:r>
        <w:rPr>
          <w:rFonts w:ascii="Times New Roman;serif" w:hAnsi="Times New Roman;serif"/>
          <w:b w:val="false"/>
          <w:color w:val="000000"/>
          <w:sz w:val="20"/>
          <w:shd w:fill="FFFFFF" w:val="clear"/>
        </w:rPr>
        <w:t>General Instruction A.2. below):</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72" w:type="dxa"/>
        <w:jc w:val="left"/>
        <w:tblInd w:w="0" w:type="dxa"/>
        <w:tblLayout w:type="fixed"/>
        <w:tblCellMar>
          <w:top w:w="28" w:type="dxa"/>
          <w:left w:w="28" w:type="dxa"/>
          <w:bottom w:w="28" w:type="dxa"/>
          <w:right w:w="28" w:type="dxa"/>
        </w:tblCellMar>
      </w:tblPr>
      <w:tblGrid>
        <w:gridCol w:w="1150"/>
        <w:gridCol w:w="1008"/>
        <w:gridCol w:w="1022"/>
        <w:gridCol w:w="109"/>
        <w:gridCol w:w="109"/>
        <w:gridCol w:w="109"/>
        <w:gridCol w:w="274"/>
        <w:gridCol w:w="274"/>
        <w:gridCol w:w="276"/>
        <w:gridCol w:w="109"/>
        <w:gridCol w:w="109"/>
        <w:gridCol w:w="109"/>
        <w:gridCol w:w="970"/>
        <w:gridCol w:w="970"/>
        <w:gridCol w:w="137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12, 2026, Michael Gathy, Chief Accounting Officer and principal accounting officer of Lazard, Inc. (the “Company”), informed the Company of his decision to resign as Chief Accounting Officer and principal accounting officer of the Company to pursue other opportunities, effective December 11, 2026 (the “Effective Date”).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Tracy Farr, Chief Financial Officer of the Company, will assume the additional responsibilities of principal accounting officer for the Company as of the Effective Date. </w:t>
      </w:r>
      <w:r>
        <w:rPr>
          <w:rFonts w:ascii="Times New Roman;serif" w:hAnsi="Times New Roman;serif"/>
          <w:b w:val="false"/>
          <w:color w:val="000000"/>
          <w:sz w:val="20"/>
        </w:rPr>
        <w:t xml:space="preserve">For biographical information with respect to Mr. Farr, see the information under the heading “Executive Officers of the Registrant” in Part I of the Company’s Annual Report on Form 10-K for the year ended December 31, 2025, filed with the Securities and Exchange Commission on February 23, 2026, which information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Farr and any other persons pursuant to which he was selected as principal accounting officer of the Company. Further, there are no family relationships between Mr. Farr and any director or executive officer of the Company. Mr. Farr has not been party to any reportable transactions with the Company pursuant to Item 404(a)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Farr will not receive any additional compensation in connection with his assumption of the role of principal accounting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on Form 8-K to be signed on its behalf by the undersigned hereunto duly authorized.</w:t>
      </w:r>
    </w:p>
    <w:tbl>
      <w:tblPr>
        <w:tblW w:w="8889" w:type="dxa"/>
        <w:jc w:val="left"/>
        <w:tblInd w:w="0" w:type="dxa"/>
        <w:tblLayout w:type="fixed"/>
        <w:tblCellMar>
          <w:top w:w="28" w:type="dxa"/>
          <w:left w:w="28" w:type="dxa"/>
          <w:bottom w:w="28" w:type="dxa"/>
          <w:right w:w="28" w:type="dxa"/>
        </w:tblCellMar>
      </w:tblPr>
      <w:tblGrid>
        <w:gridCol w:w="765"/>
        <w:gridCol w:w="672"/>
        <w:gridCol w:w="678"/>
        <w:gridCol w:w="223"/>
        <w:gridCol w:w="223"/>
        <w:gridCol w:w="223"/>
        <w:gridCol w:w="1769"/>
        <w:gridCol w:w="1769"/>
        <w:gridCol w:w="256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4" w:type="dxa"/>
            <w:gridSpan w:val="6"/>
            <w:tcBorders/>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color w:val="000000"/>
                <w:sz w:val="20"/>
              </w:rPr>
            </w:pPr>
            <w:r>
              <w:rPr>
                <w:rFonts w:ascii="Times New Roman;serif" w:hAnsi="Times New Roman;serif"/>
                <w:b/>
                <w:color w:val="000000"/>
                <w:sz w:val="20"/>
              </w:rPr>
              <w:t>LAZARD, INC.</w:t>
            </w:r>
          </w:p>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Shari Soloway</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Shari Soloway</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Deputy General Counsel, Chief Corporate Counsel &amp; Corporate Secretary</w:t>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3562</Characters>
  <CharactersWithSpaces>4119</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