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107315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135255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28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0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620" w:type="dxa"/>
        <w:tblCellMar>
          <w:top w:w="0" w:type="dxa"/>
          <w:left w:w="0" w:type="dxa"/>
          <w:bottom w:w="0" w:type="dxa"/>
          <w:right w:w="0" w:type="dxa"/>
        </w:tblCellMar>
      </w:tblPr>
      <w:tr>
        <w:trPr>
          <w:trHeight w:val="228"/>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51"/>
        </w:trPr>
        <w:tc>
          <w:tcPr>
            <w:tcW w:w="5960" w:type="dxa"/>
            <w:vAlign w:val="bottom"/>
            <w:gridSpan w:val="3"/>
          </w:tcPr>
          <w:p>
            <w:pPr>
              <w:jc w:val="center"/>
              <w:ind w:right="3360"/>
              <w:spacing w:after="0" w:line="151"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51"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63"/>
        </w:trPr>
        <w:tc>
          <w:tcPr>
            <w:tcW w:w="3040" w:type="dxa"/>
            <w:vAlign w:val="bottom"/>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71"/>
        </w:trPr>
        <w:tc>
          <w:tcPr>
            <w:tcW w:w="3040" w:type="dxa"/>
            <w:vAlign w:val="bottom"/>
          </w:tcPr>
          <w:p>
            <w:pPr>
              <w:spacing w:after="0"/>
              <w:rPr>
                <w:sz w:val="24"/>
                <w:szCs w:val="24"/>
                <w:color w:val="auto"/>
              </w:rPr>
            </w:pPr>
          </w:p>
        </w:tc>
        <w:tc>
          <w:tcPr>
            <w:tcW w:w="29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29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84"/>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38"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10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0" w:right="29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20"/>
          </w:cols>
          <w:pgMar w:left="240" w:top="230" w:right="299" w:bottom="1440" w:gutter="0" w:footer="0" w:header="0"/>
          <w:type w:val="continuous"/>
        </w:sectPr>
      </w:pPr>
    </w:p>
    <w:p>
      <w:pPr>
        <w:ind w:left="460"/>
        <w:spacing w:after="0" w:line="207" w:lineRule="exact"/>
        <w:tabs>
          <w:tab w:leader="none" w:pos="864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300" w:firstLine="456"/>
        <w:spacing w:after="0" w:line="268" w:lineRule="auto"/>
        <w:rPr>
          <w:sz w:val="20"/>
          <w:szCs w:val="20"/>
          <w:color w:val="auto"/>
        </w:rPr>
      </w:pPr>
      <w:r>
        <w:rPr>
          <w:rFonts w:ascii="Arial" w:cs="Arial" w:eastAsia="Arial" w:hAnsi="Arial"/>
          <w:sz w:val="18"/>
          <w:szCs w:val="18"/>
          <w:color w:val="auto"/>
        </w:rPr>
        <w:t>As of October 25, 2010, in addition to profit participation interests, there were 127,407,657 common membership interests and two managing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are publicly traded on the New York Stock Exchange under the Symbol “LAZ”. Lazard Ltd’s subsidiaries include Lazard Group and their respective subsidiaries. Lazard Ltd has no operating assets other than indirect ownership as of September 30, 2010 of approximately 91.5% of the common membership interests in Lazard Group and its controlling interest in Lazard Group. Lazard Ltd controls Lazard Group through two of its indirect wholly-owned subsidiaries who are co-managing members of Lazard Group.</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current and former managing directors of Lazard Group.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040" w:type="dxa"/>
            <w:vAlign w:val="bottom"/>
            <w:gridSpan w:val="1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2. Management’s Discussion and Analysis of Financial Condition and Results of Operations</w:t>
              </w:r>
            </w:hyperlink>
          </w:p>
        </w:tc>
        <w:tc>
          <w:tcPr>
            <w:tcW w:w="3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3. Quantitative and Qualitative Disclosures About Market Risk</w:t>
              </w:r>
            </w:hyperlink>
          </w:p>
        </w:tc>
        <w:tc>
          <w:tcPr>
            <w:tcW w:w="58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0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7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4. [Removed and Reserved]</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5. Other Information</w:t>
              </w:r>
            </w:hyperlink>
          </w:p>
        </w:tc>
        <w:tc>
          <w:tcPr>
            <w:tcW w:w="82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6. Exhibits</w:t>
              </w:r>
            </w:hyperlink>
          </w:p>
        </w:tc>
        <w:tc>
          <w:tcPr>
            <w:tcW w:w="8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40" w:type="dxa"/>
            <w:vAlign w:val="bottom"/>
            <w:gridSpan w:val="14"/>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6"/>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7800" w:type="dxa"/>
            <w:vAlign w:val="bottom"/>
            <w:gridSpan w:val="3"/>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September 30, 2010 and December 31, 2009</w:t>
              </w:r>
            </w:hyperlink>
          </w:p>
        </w:tc>
        <w:tc>
          <w:tcPr>
            <w:tcW w:w="2800" w:type="dxa"/>
            <w:vAlign w:val="bottom"/>
            <w:gridSpan w:val="4"/>
            <w:vMerge w:val="restart"/>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4"/>
                <w:szCs w:val="14"/>
                <w:color w:val="auto"/>
              </w:rPr>
            </w:pPr>
          </w:p>
        </w:tc>
        <w:tc>
          <w:tcPr>
            <w:tcW w:w="7800" w:type="dxa"/>
            <w:vAlign w:val="bottom"/>
            <w:tcBorders>
              <w:bottom w:val="single" w:sz="8" w:color="0000EE"/>
            </w:tcBorders>
            <w:gridSpan w:val="3"/>
            <w:vMerge w:val="continue"/>
          </w:tcPr>
          <w:p>
            <w:pPr>
              <w:spacing w:after="0"/>
              <w:rPr>
                <w:sz w:val="14"/>
                <w:szCs w:val="14"/>
                <w:color w:val="auto"/>
              </w:rPr>
            </w:pPr>
          </w:p>
        </w:tc>
        <w:tc>
          <w:tcPr>
            <w:tcW w:w="2800" w:type="dxa"/>
            <w:vAlign w:val="bottom"/>
            <w:gridSpan w:val="4"/>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9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nine month periods ended September 30, 2010 and 2009</w:t>
              </w:r>
            </w:hyperlink>
          </w:p>
        </w:tc>
        <w:tc>
          <w:tcPr>
            <w:tcW w:w="12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81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Condensed Consolidated Statements of Cash Flows for the nine month periods ended September 30, 2010 and 2009</w:t>
              </w:r>
            </w:hyperlink>
          </w:p>
        </w:tc>
        <w:tc>
          <w:tcPr>
            <w:tcW w:w="24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93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Condensed Consolidated Statements of Changes in Members’ Equity for the nine month periods ended September 30, 2010 and 2009</w:t>
              </w:r>
            </w:hyperlink>
          </w:p>
        </w:tc>
        <w:tc>
          <w:tcPr>
            <w:tcW w:w="1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90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67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60" w:type="dxa"/>
            <w:vAlign w:val="bottom"/>
            <w:gridSpan w:val="2"/>
          </w:tcPr>
          <w:p>
            <w:pPr>
              <w:jc w:val="right"/>
              <w:ind w:right="24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 AND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824,706</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899,733</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Receivables-net: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437,532</w:t>
            </w: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Banks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179,112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143,778</w:t>
            </w: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Customers and other</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73,750</w:t>
            </w:r>
          </w:p>
        </w:tc>
      </w:tr>
      <w:tr>
        <w:trPr>
          <w:trHeight w:val="223"/>
        </w:trPr>
        <w:tc>
          <w:tcPr>
            <w:tcW w:w="9120" w:type="dxa"/>
            <w:vAlign w:val="bottom"/>
          </w:tcPr>
          <w:p>
            <w:pPr>
              <w:ind w:left="440"/>
              <w:spacing w:after="0"/>
              <w:rPr>
                <w:sz w:val="20"/>
                <w:szCs w:val="20"/>
                <w:color w:val="auto"/>
              </w:rPr>
            </w:pPr>
            <w:r>
              <w:rPr>
                <w:rFonts w:ascii="Arial" w:cs="Arial" w:eastAsia="Arial" w:hAnsi="Arial"/>
                <w:sz w:val="18"/>
                <w:szCs w:val="18"/>
                <w:color w:val="auto"/>
              </w:rPr>
              <w:t>Related parties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46,099</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701,159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9120" w:type="dxa"/>
            <w:vAlign w:val="bottom"/>
          </w:tcPr>
          <w:p>
            <w:pPr>
              <w:ind w:left="880"/>
              <w:spacing w:after="0"/>
              <w:rPr>
                <w:sz w:val="20"/>
                <w:szCs w:val="20"/>
                <w:color w:val="auto"/>
              </w:rPr>
            </w:pPr>
            <w:r>
              <w:rPr>
                <w:rFonts w:ascii="Arial" w:cs="Arial" w:eastAsia="Arial" w:hAnsi="Arial"/>
                <w:sz w:val="18"/>
                <w:szCs w:val="18"/>
                <w:color w:val="auto"/>
              </w:rPr>
              <w:t>U.S. Government and agencies (includes $126,547 and $126,413 of securities at amortized cost at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120" w:type="dxa"/>
            <w:vAlign w:val="bottom"/>
          </w:tcPr>
          <w:p>
            <w:pPr>
              <w:ind w:left="1080"/>
              <w:spacing w:after="0"/>
              <w:rPr>
                <w:sz w:val="20"/>
                <w:szCs w:val="20"/>
                <w:color w:val="auto"/>
              </w:rPr>
            </w:pPr>
            <w:r>
              <w:rPr>
                <w:rFonts w:ascii="Arial" w:cs="Arial" w:eastAsia="Arial" w:hAnsi="Arial"/>
                <w:sz w:val="18"/>
                <w:szCs w:val="18"/>
                <w:color w:val="auto"/>
              </w:rPr>
              <w:t>September 30, 2010 and December 31, 2009, respectively)</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148,177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147,507</w:t>
            </w:r>
          </w:p>
        </w:tc>
      </w:tr>
      <w:tr>
        <w:trPr>
          <w:trHeight w:val="209"/>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3"/>
              </w:rPr>
              <w:t>Other (includes $10,135 and $10,217 of securities at amortized cost at September 30, 2010 and December 31,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2009, respectively)</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264,490</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313,342</w:t>
            </w: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85,215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82,442</w:t>
            </w: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214,401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264,402</w:t>
            </w:r>
          </w:p>
        </w:tc>
        <w:tc>
          <w:tcPr>
            <w:tcW w:w="100" w:type="dxa"/>
            <w:vAlign w:val="bottom"/>
            <w:shd w:val="clear" w:color="auto" w:fill="CCEEFF"/>
          </w:tcPr>
          <w:p>
            <w:pPr>
              <w:spacing w:after="0"/>
              <w:rPr>
                <w:sz w:val="18"/>
                <w:szCs w:val="18"/>
                <w:color w:val="auto"/>
              </w:rPr>
            </w:pPr>
          </w:p>
        </w:tc>
      </w:tr>
      <w:tr>
        <w:trPr>
          <w:trHeight w:val="221"/>
        </w:trPr>
        <w:tc>
          <w:tcPr>
            <w:tcW w:w="9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712,283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807,693</w:t>
            </w: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w w:val="99"/>
              </w:rPr>
              <w:t>Property (net of accumulated amortization and depreciation of $248,690 and $239,603 at September 30, 2010 and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2009, respectively)</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154,177</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166,913</w:t>
            </w:r>
          </w:p>
        </w:tc>
      </w:tr>
      <w:tr>
        <w:trPr>
          <w:trHeight w:val="208"/>
        </w:trPr>
        <w:tc>
          <w:tcPr>
            <w:tcW w:w="9120" w:type="dxa"/>
            <w:vAlign w:val="bottom"/>
          </w:tcPr>
          <w:p>
            <w:pPr>
              <w:spacing w:after="0"/>
              <w:rPr>
                <w:sz w:val="20"/>
                <w:szCs w:val="20"/>
                <w:color w:val="auto"/>
              </w:rPr>
            </w:pPr>
            <w:r>
              <w:rPr>
                <w:rFonts w:ascii="Arial" w:cs="Arial" w:eastAsia="Arial" w:hAnsi="Arial"/>
                <w:sz w:val="18"/>
                <w:szCs w:val="18"/>
                <w:color w:val="auto"/>
                <w:w w:val="94"/>
              </w:rPr>
              <w:t>Goodwill and other intangible assets (net of accumulated amortization of $12,398 and $7,140 at September 30, 2010 and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120" w:type="dxa"/>
            <w:vAlign w:val="bottom"/>
          </w:tcPr>
          <w:p>
            <w:pPr>
              <w:ind w:left="220"/>
              <w:spacing w:after="0"/>
              <w:rPr>
                <w:sz w:val="20"/>
                <w:szCs w:val="20"/>
                <w:color w:val="auto"/>
              </w:rPr>
            </w:pPr>
            <w:r>
              <w:rPr>
                <w:rFonts w:ascii="Arial" w:cs="Arial" w:eastAsia="Arial" w:hAnsi="Arial"/>
                <w:sz w:val="18"/>
                <w:szCs w:val="18"/>
                <w:color w:val="auto"/>
              </w:rPr>
              <w:t>December 31, 2009, respectively)</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318,541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317,780</w:t>
            </w: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232,518</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201,553</w:t>
            </w:r>
          </w:p>
        </w:tc>
        <w:tc>
          <w:tcPr>
            <w:tcW w:w="100" w:type="dxa"/>
            <w:vAlign w:val="bottom"/>
            <w:shd w:val="clear" w:color="auto" w:fill="CCEEFF"/>
          </w:tcPr>
          <w:p>
            <w:pPr>
              <w:spacing w:after="0"/>
              <w:rPr>
                <w:sz w:val="18"/>
                <w:szCs w:val="18"/>
                <w:color w:val="auto"/>
              </w:rPr>
            </w:pPr>
          </w:p>
        </w:tc>
      </w:tr>
      <w:tr>
        <w:trPr>
          <w:trHeight w:val="222"/>
        </w:trPr>
        <w:tc>
          <w:tcPr>
            <w:tcW w:w="91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3,129,978</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3,115,048</w:t>
            </w:r>
          </w:p>
        </w:tc>
      </w:tr>
      <w:tr>
        <w:trPr>
          <w:trHeight w:val="20"/>
        </w:trPr>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 AND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408,768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320,663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1,076,850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1,086,850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21,749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492,183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2,713,049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2,832,117</w:t>
            </w:r>
          </w:p>
        </w:tc>
        <w:tc>
          <w:tcPr>
            <w:tcW w:w="0" w:type="dxa"/>
            <w:vAlign w:val="bottom"/>
          </w:tcPr>
          <w:p>
            <w:pPr>
              <w:spacing w:after="0"/>
              <w:rPr>
                <w:sz w:val="1"/>
                <w:szCs w:val="1"/>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0"/>
              </w:rPr>
              <w:t>Members’ equity (net of 5,865,580 and 5,850,775 shares of Lazard Ltd Class A common stock, at cost of $192,129 and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$191,140 at September 30, 2010 and December 31, 2009, respectively)</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357,732</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214,163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 net of tax</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(62,586)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Lazard Group members’ equity</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295,146</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121,783</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416,929</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3,129,978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3,115,048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9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245,294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252,538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759,785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202,662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149,102</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560,664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477,826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439,298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1,386,448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1,120,672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452,541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411,406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1,309,296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1,035,308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282,525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250,912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845,918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23,690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64,996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17,592</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10,272</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34,407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87,108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373,623</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338,236</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1,197,236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73,170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112,060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51,884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GROUP</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68,613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49,854</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83,285</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incentive compensation and interest rate hedge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257,253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(Gain) loss on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(173,507)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(38,902)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122,569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(270,016)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(191,024)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businesses, net of cash acquired of $23,280, and equity method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Disposition of and distributions from equity method investments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held-to-maturity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Purchases of available-for-sale securities</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113,244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(115,065)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Senior borrowings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(10,375)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(11,792)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(106,316)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(50,479)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 to members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(45,167)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(54,947)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(225,775)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(190,011)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20,531</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(75,027)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(228,006)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January 1</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899,733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907,278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September 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824,706</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679,272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Accumulated Other</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Total Lazard</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Members’</w:t>
            </w: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Group Members’</w:t>
            </w: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Total Members’</w:t>
            </w:r>
          </w:p>
        </w:tc>
      </w:t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Equity</w:t>
            </w:r>
          </w:p>
        </w:tc>
        <w:tc>
          <w:tcPr>
            <w:tcW w:w="460" w:type="dxa"/>
            <w:vAlign w:val="bottom"/>
            <w:gridSpan w:val="2"/>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4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460" w:type="dxa"/>
            <w:vAlign w:val="bottom"/>
          </w:tcPr>
          <w:p>
            <w:pPr>
              <w:spacing w:after="0"/>
              <w:rPr>
                <w:sz w:val="14"/>
                <w:szCs w:val="14"/>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Interests</w:t>
            </w:r>
          </w:p>
        </w:tc>
        <w:tc>
          <w:tcPr>
            <w:tcW w:w="480" w:type="dxa"/>
            <w:vAlign w:val="bottom"/>
          </w:tcPr>
          <w:p>
            <w:pPr>
              <w:spacing w:after="0"/>
              <w:rPr>
                <w:sz w:val="14"/>
                <w:szCs w:val="14"/>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Balance–January 1, 2010 (*)</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$214,163</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$(58,792)</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$155,371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$127,560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$282,931</w:t>
            </w: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80,336</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80,336</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2,949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83,285</w:t>
            </w:r>
          </w:p>
        </w:tc>
      </w:tr>
      <w:tr>
        <w:trPr>
          <w:trHeight w:val="21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(loss)-net of tax:</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(4,182)</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(4,182)</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(4,121)</w:t>
            </w:r>
          </w:p>
        </w:tc>
      </w:tr>
      <w:tr>
        <w:trPr>
          <w:trHeight w:val="216"/>
        </w:trPr>
        <w:tc>
          <w:tcPr>
            <w:tcW w:w="4740" w:type="dxa"/>
            <w:vAlign w:val="bottom"/>
            <w:gridSpan w:val="2"/>
          </w:tcPr>
          <w:p>
            <w:pPr>
              <w:ind w:left="44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 securities: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660"/>
              <w:spacing w:after="0"/>
              <w:rPr>
                <w:sz w:val="20"/>
                <w:szCs w:val="20"/>
                <w:color w:val="auto"/>
              </w:rPr>
            </w:pPr>
            <w:r>
              <w:rPr>
                <w:rFonts w:ascii="Arial" w:cs="Arial" w:eastAsia="Arial" w:hAnsi="Arial"/>
                <w:sz w:val="18"/>
                <w:szCs w:val="18"/>
                <w:color w:val="auto"/>
              </w:rPr>
              <w:t>Net unrealized gain</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2,483</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2,483</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r>
      <w:tr>
        <w:trPr>
          <w:trHeight w:val="216"/>
        </w:trPr>
        <w:tc>
          <w:tcPr>
            <w:tcW w:w="4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r>
      <w:tr>
        <w:trPr>
          <w:trHeight w:val="216"/>
        </w:trPr>
        <w:tc>
          <w:tcPr>
            <w:tcW w:w="4740" w:type="dxa"/>
            <w:vAlign w:val="bottom"/>
            <w:gridSpan w:val="2"/>
          </w:tcPr>
          <w:p>
            <w:pPr>
              <w:ind w:left="440"/>
              <w:spacing w:after="0"/>
              <w:rPr>
                <w:sz w:val="20"/>
                <w:szCs w:val="20"/>
                <w:color w:val="auto"/>
              </w:rPr>
            </w:pPr>
            <w:r>
              <w:rPr>
                <w:rFonts w:ascii="Arial" w:cs="Arial" w:eastAsia="Arial" w:hAnsi="Arial"/>
                <w:sz w:val="18"/>
                <w:szCs w:val="18"/>
                <w:color w:val="auto"/>
              </w:rPr>
              <w:t>Employee benefit plans: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actuarial loss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(6,555)</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(6,555)</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(6,555)</w:t>
            </w:r>
          </w:p>
        </w:tc>
      </w:tr>
      <w:tr>
        <w:trPr>
          <w:trHeight w:val="223"/>
        </w:trPr>
        <w:tc>
          <w:tcPr>
            <w:tcW w:w="4740" w:type="dxa"/>
            <w:vAlign w:val="bottom"/>
            <w:gridSpan w:val="2"/>
          </w:tcPr>
          <w:p>
            <w:pPr>
              <w:ind w:left="6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970</w:t>
            </w:r>
          </w:p>
        </w:tc>
        <w:tc>
          <w:tcPr>
            <w:tcW w:w="4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4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r>
      <w:tr>
        <w:trPr>
          <w:trHeight w:val="216"/>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76,542</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3,010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79,552</w:t>
            </w:r>
          </w:p>
        </w:tc>
      </w:tr>
      <w:tr>
        <w:trPr>
          <w:trHeight w:val="221"/>
        </w:trPr>
        <w:tc>
          <w:tcPr>
            <w:tcW w:w="4740" w:type="dxa"/>
            <w:vAlign w:val="bottom"/>
            <w:gridSpan w:val="2"/>
          </w:tcPr>
          <w:p>
            <w:pPr>
              <w:spacing w:after="0"/>
              <w:rPr>
                <w:sz w:val="20"/>
                <w:szCs w:val="20"/>
                <w:color w:val="auto"/>
              </w:rPr>
            </w:pPr>
            <w:r>
              <w:rPr>
                <w:rFonts w:ascii="Arial" w:cs="Arial" w:eastAsia="Arial" w:hAnsi="Arial"/>
                <w:sz w:val="18"/>
                <w:szCs w:val="18"/>
                <w:color w:val="auto"/>
                <w:w w:val="98"/>
              </w:rPr>
              <w:t>Amortization of share-based incentive compensation awards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249,853</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249,853</w:t>
            </w:r>
          </w:p>
        </w:tc>
        <w:tc>
          <w:tcPr>
            <w:tcW w:w="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249,853</w:t>
            </w:r>
          </w:p>
        </w:tc>
        <w:tc>
          <w:tcPr>
            <w:tcW w:w="100" w:type="dxa"/>
            <w:vAlign w:val="bottom"/>
          </w:tcPr>
          <w:p>
            <w:pPr>
              <w:spacing w:after="0"/>
              <w:rPr>
                <w:sz w:val="19"/>
                <w:szCs w:val="19"/>
                <w:color w:val="auto"/>
              </w:rPr>
            </w:pPr>
          </w:p>
        </w:tc>
      </w:tr>
      <w:tr>
        <w:trPr>
          <w:trHeight w:val="218"/>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to members and noncontrolling interests</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(45,167)</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(45,167)</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(8,787)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(53,954)</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Purchase of Lazard Ltd Class A common stock</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w w:val="98"/>
              </w:rPr>
              <w:t>(106,316)</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(106,316)</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(106,316)</w:t>
            </w:r>
          </w:p>
        </w:tc>
      </w:tr>
      <w:tr>
        <w:trPr>
          <w:trHeight w:val="208"/>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Delivery of Lazard Ltd Class A common stock in connection</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with share-based incentive compensation</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(54,947)</w:t>
            </w: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(54,947)</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(54,947)</w:t>
            </w:r>
          </w:p>
        </w:tc>
      </w:tr>
      <w:tr>
        <w:trPr>
          <w:trHeight w:val="208"/>
        </w:trPr>
        <w:tc>
          <w:tcPr>
            <w:tcW w:w="4740" w:type="dxa"/>
            <w:vAlign w:val="bottom"/>
            <w:gridSpan w:val="2"/>
          </w:tcPr>
          <w:p>
            <w:pPr>
              <w:spacing w:after="0"/>
              <w:rPr>
                <w:sz w:val="20"/>
                <w:szCs w:val="20"/>
                <w:color w:val="auto"/>
              </w:rPr>
            </w:pPr>
            <w:r>
              <w:rPr>
                <w:rFonts w:ascii="Arial" w:cs="Arial" w:eastAsia="Arial" w:hAnsi="Arial"/>
                <w:sz w:val="18"/>
                <w:szCs w:val="18"/>
                <w:color w:val="auto"/>
                <w:w w:val="98"/>
              </w:rPr>
              <w:t>Repurchase of common membership interests from LAZ-MD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Holdings</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(5,072)</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(5,072)</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(5,072)</w:t>
            </w:r>
          </w:p>
        </w:tc>
      </w:t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membership interests issued in connection with</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business acquisitions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20,804</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20,804</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20,804</w:t>
            </w:r>
          </w:p>
        </w:tc>
      </w:tr>
      <w:tr>
        <w:trPr>
          <w:trHeight w:val="208"/>
        </w:trPr>
        <w:tc>
          <w:tcPr>
            <w:tcW w:w="4740" w:type="dxa"/>
            <w:vAlign w:val="bottom"/>
            <w:gridSpan w:val="2"/>
          </w:tcPr>
          <w:p>
            <w:pPr>
              <w:spacing w:after="0"/>
              <w:rPr>
                <w:sz w:val="20"/>
                <w:szCs w:val="20"/>
                <w:color w:val="auto"/>
              </w:rPr>
            </w:pPr>
            <w:r>
              <w:rPr>
                <w:rFonts w:ascii="Arial" w:cs="Arial" w:eastAsia="Arial" w:hAnsi="Arial"/>
                <w:sz w:val="18"/>
                <w:szCs w:val="18"/>
                <w:color w:val="auto"/>
              </w:rPr>
              <w:t>Lazard Ltd Class A common stock issued / issuable in</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connection with business acquisitions and LAM Merger</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740" w:type="dxa"/>
            <w:vAlign w:val="bottom"/>
            <w:gridSpan w:val="2"/>
          </w:tcPr>
          <w:p>
            <w:pPr>
              <w:ind w:left="220"/>
              <w:spacing w:after="0"/>
              <w:rPr>
                <w:sz w:val="20"/>
                <w:szCs w:val="20"/>
                <w:color w:val="auto"/>
              </w:rPr>
            </w:pPr>
            <w:r>
              <w:rPr>
                <w:rFonts w:ascii="Arial" w:cs="Arial" w:eastAsia="Arial" w:hAnsi="Arial"/>
                <w:sz w:val="18"/>
                <w:szCs w:val="18"/>
                <w:color w:val="auto"/>
              </w:rPr>
              <w:t>and related amortization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4,186</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4,186</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4,186</w:t>
            </w:r>
          </w:p>
        </w:tc>
      </w:tr>
      <w:tr>
        <w:trPr>
          <w:trHeight w:val="218"/>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Balance–September 30, 2010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357,732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$(62,586)</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$295,146</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$121,783</w:t>
            </w:r>
          </w:p>
        </w:tc>
        <w:tc>
          <w:tcPr>
            <w:tcW w:w="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$416,929</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1160" w:type="dxa"/>
            <w:vAlign w:val="bottom"/>
            <w:tcBorders>
              <w:bottom w:val="single" w:sz="8" w:color="auto"/>
            </w:tcBorders>
          </w:tcPr>
          <w:p>
            <w:pPr>
              <w:spacing w:after="0"/>
              <w:rPr>
                <w:sz w:val="4"/>
                <w:szCs w:val="4"/>
                <w:color w:val="auto"/>
              </w:rPr>
            </w:pPr>
          </w:p>
        </w:tc>
        <w:tc>
          <w:tcPr>
            <w:tcW w:w="3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9" w:lineRule="exact"/>
        <w:rPr>
          <w:sz w:val="20"/>
          <w:szCs w:val="20"/>
          <w:color w:val="auto"/>
        </w:rPr>
      </w:pPr>
    </w:p>
    <w:p>
      <w:pPr>
        <w:ind w:left="460" w:right="5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123,686,338 and 127,407,657 common membership interests at January 1, 2010 and September 30, 2010,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CONDENSED CONSOLIDATED STATEMENT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Accumulated Other</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Total Lazard</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4"/>
              </w:rPr>
              <w:t>Members’</w:t>
            </w:r>
          </w:p>
        </w:tc>
        <w:tc>
          <w:tcPr>
            <w:tcW w:w="16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Group Members’</w:t>
            </w: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Total Members’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Equity</w:t>
            </w:r>
          </w:p>
        </w:tc>
        <w:tc>
          <w:tcPr>
            <w:tcW w:w="480" w:type="dxa"/>
            <w:vAlign w:val="bottom"/>
            <w:gridSpan w:val="2"/>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of Tax</w:t>
            </w:r>
          </w:p>
        </w:tc>
        <w:tc>
          <w:tcPr>
            <w:tcW w:w="5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480" w:type="dxa"/>
            <w:vAlign w:val="bottom"/>
          </w:tcPr>
          <w:p>
            <w:pPr>
              <w:spacing w:after="0"/>
              <w:rPr>
                <w:sz w:val="14"/>
                <w:szCs w:val="14"/>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Interests</w:t>
            </w:r>
          </w:p>
        </w:tc>
        <w:tc>
          <w:tcPr>
            <w:tcW w:w="480" w:type="dxa"/>
            <w:vAlign w:val="bottom"/>
          </w:tcPr>
          <w:p>
            <w:pPr>
              <w:spacing w:after="0"/>
              <w:rPr>
                <w:sz w:val="14"/>
                <w:szCs w:val="14"/>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2009 (*)</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$227,036</w:t>
            </w:r>
          </w:p>
        </w:tc>
        <w:tc>
          <w:tcPr>
            <w:tcW w:w="4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$(121,407)</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$105,629</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$20,881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$126,510</w:t>
            </w:r>
          </w:p>
        </w:tc>
        <w:tc>
          <w:tcPr>
            <w:tcW w:w="0" w:type="dxa"/>
            <w:vAlign w:val="bottom"/>
          </w:tcPr>
          <w:p>
            <w:pPr>
              <w:spacing w:after="0"/>
              <w:rPr>
                <w:sz w:val="1"/>
                <w:szCs w:val="1"/>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9,208</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9,208</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16"/>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 net of tax:</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64,522</w:t>
            </w: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64,522</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64,523</w:t>
            </w: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808</w:t>
            </w:r>
          </w:p>
        </w:tc>
        <w:tc>
          <w:tcPr>
            <w:tcW w:w="5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808</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 securities: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660"/>
              <w:spacing w:after="0"/>
              <w:rPr>
                <w:sz w:val="20"/>
                <w:szCs w:val="20"/>
                <w:color w:val="auto"/>
              </w:rPr>
            </w:pPr>
            <w:r>
              <w:rPr>
                <w:rFonts w:ascii="Arial" w:cs="Arial" w:eastAsia="Arial" w:hAnsi="Arial"/>
                <w:sz w:val="18"/>
                <w:szCs w:val="18"/>
                <w:color w:val="auto"/>
              </w:rPr>
              <w:t>Net unrealized gain</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23,460</w:t>
            </w:r>
          </w:p>
        </w:tc>
        <w:tc>
          <w:tcPr>
            <w:tcW w:w="5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23,460</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23,462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1,200</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Employee benefit plans: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actuarial gain</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1,129</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4700" w:type="dxa"/>
            <w:vAlign w:val="bottom"/>
            <w:gridSpan w:val="2"/>
          </w:tcPr>
          <w:p>
            <w:pPr>
              <w:ind w:left="6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(373)</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(373)</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99,954</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101,175</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w w:val="97"/>
              </w:rPr>
              <w:t>Amortization of share-based incentive compensation awards</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216,190</w:t>
            </w: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216,190</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216,190</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 of and distributions to members and</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(104,038)</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(104,038)</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102,061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Purchase of Lazard Ltd Class A common stock</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(50,479)</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(50,479)</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(50,479)</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Delivery of Lazard Ltd Class A common stock in connection</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with share-based incentive compensation</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(12,291)</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(12,291)</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(12,291)</w:t>
            </w:r>
          </w:p>
        </w:tc>
        <w:tc>
          <w:tcPr>
            <w:tcW w:w="0" w:type="dxa"/>
            <w:vAlign w:val="bottom"/>
          </w:tcPr>
          <w:p>
            <w:pPr>
              <w:spacing w:after="0"/>
              <w:rPr>
                <w:sz w:val="1"/>
                <w:szCs w:val="1"/>
                <w:color w:val="auto"/>
              </w:rPr>
            </w:pP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rPr>
              <w:t>Repurchase of common membership interests from LAZ-</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MD Holdings</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(13,285)</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(13,285)</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(13,285)</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membership interests issued in connection with</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business acquisitions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32,384</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32,384</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rPr>
              <w:t>Adjustments related to business acquisitions and related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amortization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8,929</w:t>
            </w: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8,929</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18"/>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(90)</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Balance - September 30, 2009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313,564</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$(30,661)</w:t>
            </w:r>
          </w:p>
        </w:tc>
        <w:tc>
          <w:tcPr>
            <w:tcW w:w="5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$282,903</w:t>
            </w:r>
          </w:p>
        </w:tc>
        <w:tc>
          <w:tcPr>
            <w:tcW w:w="4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$124,163</w:t>
            </w:r>
          </w:p>
        </w:tc>
        <w:tc>
          <w:tcPr>
            <w:tcW w:w="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122,233,664 and 123,686,338 common membership interests at January 1, 2009 and September 30, 2009,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7020" w:firstLine="8"/>
        <w:spacing w:after="0" w:line="328"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Lazard Ltd, a Bermuda holding company, through its subsidiaries held approximately 91.5% and 74.5% of all outstanding Lazard Group common membership interests as of September 30, 2010 and December 31, 2009, respectively. Lazard Ltd, through its control of the managing members of Lazard Group, controls Lazard Group.</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LAZ-MD Holdings LLC (“LAZ-MD Holdings”), an entity owned by Lazard Group’s current and former managing directors, held approximately 8.5% and 25.5% of all outstanding Lazard Group common membership interests as of September 30, 2010 and December 31, 2009, respectively. Additionally, LAZ-MD Holdings was the sole owner of the one issued and outstanding share of Lazard Ltd’s Class B common stock (the “Class B common stock”) which provided LAZ-MD Holdings with approximately 8.5% and 25.5% of the voting power but no economic rights in the Company as of September 30, 2010 and December 31, 2009, respectively. Subject to certain limitations, LAZ-MD Holdings’ interests in Lazard Group are exchangeable for Lazard Ltd Class A common stock, par value $0.01 per share (“Class A common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77" w:lineRule="exact"/>
        <w:rPr>
          <w:sz w:val="20"/>
          <w:szCs w:val="20"/>
          <w:color w:val="auto"/>
        </w:rPr>
      </w:pPr>
    </w:p>
    <w:p>
      <w:pPr>
        <w:ind w:left="780" w:right="1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Asset Management, which includes the management of equity and fixed income securities, alternative investments and private equity funds.</w:t>
      </w:r>
    </w:p>
    <w:p>
      <w:pPr>
        <w:spacing w:after="0" w:line="20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of Lazard Group have been prepared pursuant to the rules and regulations of the U.S. Securities and Exchange Commission (the “SEC”) regarding interim financial reporting. Accordingly, they do not include all of the information and notes required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2009 (the “Form 10-K”). The accompanying December 31, 2009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and nine month periods ended September 30, 2010 are not necessarily indicative of the results to be expected for any future period or the full fiscal year. Any material events or transactions that occurred subsequent to September 30, 2010 through the date of filing of this Quarterly Report on Form 10-Q were reviewed for purposes of determining whether any adjustments or additional disclosures were required to be made to the accompanying condensed consolidated financial statements.</w:t>
      </w:r>
    </w:p>
    <w:p>
      <w:pPr>
        <w:spacing w:after="0" w:line="11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—On April 1, 2009, the Company adopted, on a prospective basis, additional accounting guidance issued by the FASB on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measurements. The additional accounting guidance assists in the determination of fair value for securities or other financial assets when the volume and level of activity for such items have significantly decreased when compared with normal market activity and there is no longer sufficient frequency or volume to provide pricing information on an ongoing basis. The additional accounting guidance also assists in determining whether or not a transaction is orderly and whether or not a transaction or quoted price can be considered in the determination of fair value. Accordingly, the additional accounting guidance does not apply to quoted prices for identical assets or liabilities in active markets categorized as Level 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the fair value measurement hierarchy, and also requires that additional fair value disclosures be included on an interim basis. See Note 5 of Notes to Condensed Consolidated Financial Statements for the additional disclosures provided pursuant to the additional accounting guidance. The adoption of additional guidance regarding fair value measurements did not materially impact the Company’s consolidated financial statements.</w:t>
      </w:r>
    </w:p>
    <w:p>
      <w:pPr>
        <w:spacing w:after="0" w:line="93"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In January 2010, the FASB amended its fair value measurement disclosure guidance to require disclosure of significant transfers into and out of the Level 1 and Level 2 categories in the fair value measurement hierarchy, as well as separate disclosures about purchases, sales, issuances and settlements relating to Level 3 fair value measurements. In addition, the FASB also clarified its existing fair value measurement disclosure guidance regarding the level of disaggregation required and disclosures about inputs and valuation techniques used to measure fair value. The new disclosure requirements and clarifications of existing fair value measurement disclosure guidance are effective for interim and annual reporting periods beginning after December 15, 2009, except for the requirement to provide disclosures about purchases, sales, issuances and settlements on a gross basis in the roll forward of activities in Level 3 fair value measurements, which becomes effective for interim and annual reporting periods beginning after December 15, 2010. On January 1, 2010, the Company adopted, on a prospective basis, the applicable new disclosure requirements and clarifications of existing fair value measurement disclosure guidance, which did not have a material impact on the Company’s consolidated financial statements. The Company does not anticipate that the adoption of the remaining new disclosure requirements that are effective for interim and annual reporting periods beginning after December 15, 2010 will have a material impact on its consolidated financial statements.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Other-Than-Temporary Impairments of Debt Securities</w:t>
      </w:r>
      <w:r>
        <w:rPr>
          <w:rFonts w:ascii="Arial" w:cs="Arial" w:eastAsia="Arial" w:hAnsi="Arial"/>
          <w:sz w:val="18"/>
          <w:szCs w:val="18"/>
          <w:color w:val="auto"/>
        </w:rPr>
        <w:t>—On April 1, 2009, the Company adopted, on a prospective basis, new accounting guidance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FASB with respect to the recognition and presentation of other-than-temporary impairments pertaining to debt securities. The new accounting guidance requires greater clarity about the credit and non-credit components of debt securities that are not expected to be sold and whose fair value is below amortized cost, and also requires increased disclosures regarding expected cash flows, credit losses and an aging of securities with unrealized losses. The adoption of the new accounting guidance did not materially impact the Company’s consolidated financial statements. See Note 4 of Notes to Condensed Consolidated Financial Statements.</w:t>
      </w:r>
    </w:p>
    <w:p>
      <w:pPr>
        <w:spacing w:after="0" w:line="13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VIEs</w:t>
      </w:r>
      <w:r>
        <w:rPr>
          <w:rFonts w:ascii="Arial" w:cs="Arial" w:eastAsia="Arial" w:hAnsi="Arial"/>
          <w:sz w:val="16"/>
          <w:szCs w:val="16"/>
          <w:color w:val="auto"/>
        </w:rPr>
        <w:t>—In June 2009, the FASB amended its guidance on VIEs, which changes how a company determines whether an entity in which it is involved with is</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insufficiently capitalized or is not controlled through voting (or similar rights) and whether or not such entity should be consolidated. It also requires a company to provide additional disclosures about its involvement with VIEs and any significant changes in risk exposure due to that involvement. The requirements of the amended accounting guidance were to be effective for interim and annual periods beginning after November 15, 2009. On January 27, 2010, the FASB voted to defer the application of its guidance on consolidation of a reporting enterprise’s interest in an entity when certain conditions are met. This deferral, which affects interests in mutual funds, hedge funds, private equity funds and other types of funds, is effective for interim and annual periods beginning after November 15, 2009. The adoption of the amended guidance for which the deferral provisions do not apply and related disclosures did not have a material impact on the Company’s consolidated financial statements.</w:t>
      </w:r>
    </w:p>
    <w:p>
      <w:pPr>
        <w:spacing w:after="0" w:line="10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RECEIVABLES—NET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Receivables—net is comprised of receivables from fees, banks, customers and other and related parties.</w:t>
      </w:r>
    </w:p>
    <w:p>
      <w:pPr>
        <w:spacing w:after="0" w:line="15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Receivables from banks represent those related to LFB’s short-term deposits in the inter-bank market and with the Banque de France. The level of these deposits may be driven by the level of LFB customer and bank-related interest-bearing time and demand deposits (which can fluctuate significantly on a daily basis) and by changes in asset allocation.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Customers and other receivables at September 30, 2010 and December 31, 2009 include $2,175 and $4,466, respectively, of loans by LFB to managing directors and employees in France that are made in the ordinary course of business at market terms.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Receivables are stated net of an estimated allowance for doubtful accounts of $17,000 and $11,575 at September 30, 2010 and December 31, 2009, respectively, for past due amounts and for specific accounts deemed uncollectible, which may include situations where a fee is in dispute. The Company recorded bad debt expense of $226 and $9,416 for the three month and nine month periods ended September 30, 2010, respectively, and $1,148 and $4,770 for the three month and nine month periods ended September 30, 2009, respectively. In addition, the Company recorded charge-offs, foreign currency translation and other adjustments, which resulted in a net decrease to the allowance for doubtful accounts of $2,097 and $3,991 for the three month and nine month periods ended September 30, 2010 and $2,043 and $6,538 for the three month and nine month periods ended September 30, 2009, respectively. At September 30, 2010 and December 31, 2009, the Company had $21,224 and $14,150, respectively, of receivables deemed past due or uncollectible.</w:t>
      </w:r>
    </w:p>
    <w:p>
      <w:pPr>
        <w:spacing w:after="0" w:line="10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Company’s investments and securities sold, not yet purchased, consist of the following at September 30, 2010 and December 31, 2009: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7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358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148,177</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Non-U.S. Government and agencies</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69,208</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 states and municipals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Corporates</w:t>
            </w:r>
          </w:p>
        </w:tc>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184,050</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254,113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264,490</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313,342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Total debt securities</w:t>
            </w:r>
          </w:p>
        </w:tc>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412,667</w:t>
            </w:r>
          </w:p>
        </w:tc>
        <w:tc>
          <w:tcPr>
            <w:tcW w:w="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460,849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3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85,215</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General Partner (“GP”) interests owned</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50,859</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GP interests consolidated but not owned</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Private equity:</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 owned</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99,349</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Investments consolidated but not owned</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44,464</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3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12,215</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214,401</w:t>
            </w:r>
          </w:p>
        </w:tc>
        <w:tc>
          <w:tcPr>
            <w:tcW w:w="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264,402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712,283</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807,693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at amortized cost</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136,682</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Equity method investments</w:t>
            </w:r>
          </w:p>
        </w:tc>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12,215</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3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563,386</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608,505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w w:val="91"/>
              </w:rPr>
              <w:t>Securities sold, not yet purchased, at fair value (included in “other liabilities”)</w:t>
            </w:r>
          </w:p>
        </w:tc>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60" w:type="dxa"/>
            <w:vAlign w:val="bottom"/>
            <w:gridSpan w:val="2"/>
            <w:vMerge w:val="continue"/>
          </w:tcPr>
          <w:p>
            <w:pPr>
              <w:spacing w:after="0"/>
              <w:rPr>
                <w:sz w:val="18"/>
                <w:szCs w:val="18"/>
                <w:color w:val="auto"/>
              </w:rPr>
            </w:pPr>
          </w:p>
        </w:tc>
        <w:tc>
          <w:tcPr>
            <w:tcW w:w="358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2,868</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00" w:type="dxa"/>
            <w:vAlign w:val="bottom"/>
            <w:vMerge w:val="restart"/>
          </w:tcPr>
          <w:p>
            <w:pPr>
              <w:jc w:val="right"/>
              <w:ind w:right="3072"/>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investments at September 30, 2010 and December 31, 2009 were categorized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7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3160" w:type="dxa"/>
            <w:vAlign w:val="bottom"/>
            <w:gridSpan w:val="2"/>
          </w:tcPr>
          <w:p>
            <w:pPr>
              <w:ind w:left="29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21,630</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agencies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59,073</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U.S. states and municipals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11,232</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Corporates</w:t>
            </w:r>
          </w:p>
        </w:tc>
        <w:tc>
          <w:tcPr>
            <w:tcW w:w="2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101,121</w:t>
            </w:r>
          </w:p>
        </w:tc>
        <w:tc>
          <w:tcPr>
            <w:tcW w:w="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Corporates</w:t>
            </w:r>
          </w:p>
        </w:tc>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174,864</w:t>
            </w:r>
          </w:p>
        </w:tc>
        <w:tc>
          <w:tcPr>
            <w:tcW w:w="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126,547</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agencies</w:t>
            </w:r>
          </w:p>
        </w:tc>
        <w:tc>
          <w:tcPr>
            <w:tcW w:w="2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136,682</w:t>
            </w:r>
          </w:p>
        </w:tc>
        <w:tc>
          <w:tcPr>
            <w:tcW w:w="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136,630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316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412,667</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460,849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Substantially all of the corporate and non-U.S. Government and agency debt securities are held by LFB and primarily consist of fixed and floating rate European corporate and French government debt securities.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fair value and amortized cost basis pertaining to debt securities classified as “available-for-sale” at September 30, 2010, by maturity date/first call date, are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61"/>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Maturity Date/First Call Date</w:t>
            </w:r>
          </w:p>
        </w:tc>
        <w:tc>
          <w:tcPr>
            <w:tcW w:w="24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8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15,132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After 1 year through 5 years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99,418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105,503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45,975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After 10 years</w:t>
            </w: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14,339</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174,864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186,448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Debt investments include corporate perpetual securities that are callable. Such securities are listed in the table above based on their respective first call dates. All other “available-for-sale” securities are listed in the table based on their contractual maturities.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Debt securities classified as “available-for-sale” at September 30, 2010 and December 31, 2009 that are in an unrealized loss position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September 30, 2010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December 31, 2009</w:t>
            </w:r>
          </w:p>
        </w:tc>
        <w:tc>
          <w:tcPr>
            <w:tcW w:w="940" w:type="dxa"/>
            <w:vAlign w:val="bottom"/>
            <w:tcBorders>
              <w:bottom w:val="single" w:sz="8" w:color="auto"/>
            </w:tcBorders>
          </w:tcPr>
          <w:p>
            <w:pPr>
              <w:spacing w:after="0"/>
              <w:rPr>
                <w:sz w:val="15"/>
                <w:szCs w:val="15"/>
                <w:color w:val="auto"/>
              </w:rPr>
            </w:pPr>
          </w:p>
        </w:tc>
      </w:tr>
      <w:tr>
        <w:trPr>
          <w:trHeight w:val="130"/>
        </w:trPr>
        <w:tc>
          <w:tcPr>
            <w:tcW w:w="1800" w:type="dxa"/>
            <w:vAlign w:val="bottom"/>
            <w:gridSpan w:val="3"/>
          </w:tcPr>
          <w:p>
            <w:pPr>
              <w:jc w:val="center"/>
              <w:ind w:left="909"/>
              <w:spacing w:after="0" w:line="130" w:lineRule="exact"/>
              <w:rPr>
                <w:sz w:val="20"/>
                <w:szCs w:val="20"/>
                <w:color w:val="auto"/>
              </w:rPr>
            </w:pPr>
            <w:r>
              <w:rPr>
                <w:rFonts w:ascii="Arial" w:cs="Arial" w:eastAsia="Arial" w:hAnsi="Arial"/>
                <w:sz w:val="14"/>
                <w:szCs w:val="14"/>
                <w:b w:val="1"/>
                <w:bCs w:val="1"/>
                <w:color w:val="auto"/>
                <w:w w:val="86"/>
              </w:rPr>
              <w:t>Securities in a</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3"/>
          </w:tcPr>
          <w:p>
            <w:pPr>
              <w:jc w:val="center"/>
              <w:ind w:right="686"/>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3"/>
          </w:tcPr>
          <w:p>
            <w:pPr>
              <w:jc w:val="center"/>
              <w:ind w:right="867"/>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100" w:type="dxa"/>
            <w:vAlign w:val="bottom"/>
          </w:tcPr>
          <w:p>
            <w:pPr>
              <w:spacing w:after="0"/>
              <w:rPr>
                <w:sz w:val="11"/>
                <w:szCs w:val="11"/>
                <w:color w:val="auto"/>
              </w:rPr>
            </w:pPr>
          </w:p>
        </w:tc>
        <w:tc>
          <w:tcPr>
            <w:tcW w:w="1780" w:type="dxa"/>
            <w:vAlign w:val="bottom"/>
            <w:gridSpan w:val="3"/>
          </w:tcPr>
          <w:p>
            <w:pPr>
              <w:jc w:val="center"/>
              <w:ind w:left="869"/>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940" w:type="dxa"/>
            <w:vAlign w:val="bottom"/>
          </w:tcPr>
          <w:p>
            <w:pPr>
              <w:spacing w:after="0"/>
              <w:rPr>
                <w:sz w:val="11"/>
                <w:szCs w:val="11"/>
                <w:color w:val="auto"/>
              </w:rPr>
            </w:pPr>
          </w:p>
        </w:tc>
      </w:tr>
      <w:tr>
        <w:trPr>
          <w:trHeight w:val="149"/>
        </w:trPr>
        <w:tc>
          <w:tcPr>
            <w:tcW w:w="2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120" w:type="dxa"/>
            <w:vAlign w:val="bottom"/>
          </w:tcPr>
          <w:p>
            <w:pPr>
              <w:spacing w:after="0"/>
              <w:rPr>
                <w:sz w:val="12"/>
                <w:szCs w:val="12"/>
                <w:color w:val="auto"/>
              </w:rPr>
            </w:pPr>
          </w:p>
        </w:tc>
        <w:tc>
          <w:tcPr>
            <w:tcW w:w="2620" w:type="dxa"/>
            <w:vAlign w:val="bottom"/>
            <w:gridSpan w:val="4"/>
          </w:tcPr>
          <w:p>
            <w:pPr>
              <w:jc w:val="center"/>
              <w:ind w:left="187"/>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10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r>
      <w:tr>
        <w:trPr>
          <w:trHeight w:val="149"/>
        </w:trPr>
        <w:tc>
          <w:tcPr>
            <w:tcW w:w="1800" w:type="dxa"/>
            <w:vAlign w:val="bottom"/>
            <w:gridSpan w:val="3"/>
          </w:tcPr>
          <w:p>
            <w:pPr>
              <w:jc w:val="center"/>
              <w:ind w:left="889"/>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gridSpan w:val="3"/>
          </w:tcPr>
          <w:p>
            <w:pPr>
              <w:jc w:val="center"/>
              <w:ind w:right="686"/>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80" w:type="dxa"/>
            <w:vAlign w:val="bottom"/>
            <w:gridSpan w:val="3"/>
          </w:tcPr>
          <w:p>
            <w:pPr>
              <w:jc w:val="center"/>
              <w:ind w:right="867"/>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100" w:type="dxa"/>
            <w:vAlign w:val="bottom"/>
          </w:tcPr>
          <w:p>
            <w:pPr>
              <w:spacing w:after="0"/>
              <w:rPr>
                <w:sz w:val="12"/>
                <w:szCs w:val="12"/>
                <w:color w:val="auto"/>
              </w:rPr>
            </w:pPr>
          </w:p>
        </w:tc>
        <w:tc>
          <w:tcPr>
            <w:tcW w:w="1780" w:type="dxa"/>
            <w:vAlign w:val="bottom"/>
            <w:gridSpan w:val="3"/>
          </w:tcPr>
          <w:p>
            <w:pPr>
              <w:jc w:val="center"/>
              <w:ind w:left="869"/>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940" w:type="dxa"/>
            <w:vAlign w:val="bottom"/>
          </w:tcPr>
          <w:p>
            <w:pPr>
              <w:spacing w:after="0"/>
              <w:rPr>
                <w:sz w:val="12"/>
                <w:szCs w:val="12"/>
                <w:color w:val="auto"/>
              </w:rPr>
            </w:pPr>
          </w:p>
        </w:tc>
      </w:tr>
      <w:tr>
        <w:trPr>
          <w:trHeight w:val="175"/>
        </w:trPr>
        <w:tc>
          <w:tcPr>
            <w:tcW w:w="2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Less than 12 Months</w:t>
            </w:r>
          </w:p>
        </w:tc>
        <w:tc>
          <w:tcPr>
            <w:tcW w:w="120" w:type="dxa"/>
            <w:vAlign w:val="bottom"/>
          </w:tcPr>
          <w:p>
            <w:pPr>
              <w:spacing w:after="0"/>
              <w:rPr>
                <w:sz w:val="15"/>
                <w:szCs w:val="15"/>
                <w:color w:val="auto"/>
              </w:rPr>
            </w:pPr>
          </w:p>
        </w:tc>
        <w:tc>
          <w:tcPr>
            <w:tcW w:w="2620" w:type="dxa"/>
            <w:vAlign w:val="bottom"/>
            <w:tcBorders>
              <w:bottom w:val="single" w:sz="8" w:color="auto"/>
            </w:tcBorders>
            <w:gridSpan w:val="4"/>
          </w:tcPr>
          <w:p>
            <w:pPr>
              <w:jc w:val="center"/>
              <w:ind w:left="187"/>
              <w:spacing w:after="0"/>
              <w:rPr>
                <w:sz w:val="20"/>
                <w:szCs w:val="20"/>
                <w:color w:val="auto"/>
              </w:rPr>
            </w:pPr>
            <w:r>
              <w:rPr>
                <w:rFonts w:ascii="Arial" w:cs="Arial" w:eastAsia="Arial" w:hAnsi="Arial"/>
                <w:sz w:val="14"/>
                <w:szCs w:val="14"/>
                <w:b w:val="1"/>
                <w:bCs w:val="1"/>
                <w:color w:val="auto"/>
                <w:w w:val="89"/>
              </w:rPr>
              <w:t>12 Months or Longer</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Less than 12 Months</w:t>
            </w:r>
          </w:p>
        </w:tc>
        <w:tc>
          <w:tcPr>
            <w:tcW w:w="10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12 Months or Longer</w:t>
            </w:r>
          </w:p>
        </w:tc>
      </w:tr>
      <w:tr>
        <w:trPr>
          <w:trHeight w:val="130"/>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center"/>
              <w:ind w:right="227"/>
              <w:spacing w:after="0" w:line="130" w:lineRule="exact"/>
              <w:rPr>
                <w:sz w:val="20"/>
                <w:szCs w:val="20"/>
                <w:color w:val="auto"/>
              </w:rPr>
            </w:pPr>
            <w:r>
              <w:rPr>
                <w:rFonts w:ascii="Arial" w:cs="Arial" w:eastAsia="Arial" w:hAnsi="Arial"/>
                <w:sz w:val="14"/>
                <w:szCs w:val="14"/>
                <w:b w:val="1"/>
                <w:bCs w:val="1"/>
                <w:color w:val="auto"/>
                <w:w w:val="87"/>
              </w:rPr>
              <w:t>Unrealized</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186"/>
              <w:spacing w:after="0" w:line="130" w:lineRule="exact"/>
              <w:rPr>
                <w:sz w:val="20"/>
                <w:szCs w:val="20"/>
                <w:color w:val="auto"/>
              </w:rPr>
            </w:pPr>
            <w:r>
              <w:rPr>
                <w:rFonts w:ascii="Arial" w:cs="Arial" w:eastAsia="Arial" w:hAnsi="Arial"/>
                <w:sz w:val="14"/>
                <w:szCs w:val="14"/>
                <w:b w:val="1"/>
                <w:bCs w:val="1"/>
                <w:color w:val="auto"/>
                <w:w w:val="87"/>
              </w:rPr>
              <w:t>Unrealized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ind w:left="360"/>
              <w:spacing w:after="0" w:line="130"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center"/>
              <w:ind w:right="226"/>
              <w:spacing w:after="0" w:line="130" w:lineRule="exact"/>
              <w:rPr>
                <w:sz w:val="20"/>
                <w:szCs w:val="20"/>
                <w:color w:val="auto"/>
              </w:rPr>
            </w:pPr>
            <w:r>
              <w:rPr>
                <w:rFonts w:ascii="Arial" w:cs="Arial" w:eastAsia="Arial" w:hAnsi="Arial"/>
                <w:sz w:val="14"/>
                <w:szCs w:val="14"/>
                <w:b w:val="1"/>
                <w:bCs w:val="1"/>
                <w:color w:val="auto"/>
                <w:w w:val="90"/>
              </w:rPr>
              <w:t>Unrealized</w:t>
            </w:r>
          </w:p>
        </w:tc>
      </w:tr>
      <w:tr>
        <w:trPr>
          <w:trHeight w:val="175"/>
        </w:trPr>
        <w:tc>
          <w:tcPr>
            <w:tcW w:w="18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960" w:type="dxa"/>
            <w:vAlign w:val="bottom"/>
          </w:tcPr>
          <w:p>
            <w:pPr>
              <w:jc w:val="center"/>
              <w:ind w:right="227"/>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5"/>
                <w:szCs w:val="15"/>
                <w:color w:val="auto"/>
              </w:rPr>
            </w:pPr>
          </w:p>
        </w:tc>
        <w:tc>
          <w:tcPr>
            <w:tcW w:w="1020" w:type="dxa"/>
            <w:vAlign w:val="bottom"/>
          </w:tcPr>
          <w:p>
            <w:pPr>
              <w:ind w:left="400"/>
              <w:spacing w:after="0"/>
              <w:rPr>
                <w:sz w:val="20"/>
                <w:szCs w:val="20"/>
                <w:color w:val="auto"/>
              </w:rPr>
            </w:pPr>
            <w:r>
              <w:rPr>
                <w:rFonts w:ascii="Arial" w:cs="Arial" w:eastAsia="Arial" w:hAnsi="Arial"/>
                <w:sz w:val="14"/>
                <w:szCs w:val="14"/>
                <w:b w:val="1"/>
                <w:bCs w:val="1"/>
                <w:color w:val="auto"/>
                <w:w w:val="89"/>
              </w:rPr>
              <w:t>Fair Value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left="186"/>
              <w:spacing w:after="0"/>
              <w:rPr>
                <w:sz w:val="20"/>
                <w:szCs w:val="20"/>
                <w:color w:val="auto"/>
              </w:rPr>
            </w:pPr>
            <w:r>
              <w:rPr>
                <w:rFonts w:ascii="Arial" w:cs="Arial" w:eastAsia="Arial" w:hAnsi="Arial"/>
                <w:sz w:val="14"/>
                <w:szCs w:val="14"/>
                <w:b w:val="1"/>
                <w:bCs w:val="1"/>
                <w:color w:val="auto"/>
                <w:w w:val="79"/>
              </w:rPr>
              <w:t>Loss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5"/>
                <w:szCs w:val="15"/>
                <w:color w:val="auto"/>
              </w:rPr>
            </w:pPr>
          </w:p>
        </w:tc>
        <w:tc>
          <w:tcPr>
            <w:tcW w:w="17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Fair Value</w:t>
            </w:r>
          </w:p>
        </w:tc>
        <w:tc>
          <w:tcPr>
            <w:tcW w:w="940" w:type="dxa"/>
            <w:vAlign w:val="bottom"/>
          </w:tcPr>
          <w:p>
            <w:pPr>
              <w:jc w:val="center"/>
              <w:ind w:right="226"/>
              <w:spacing w:after="0"/>
              <w:rPr>
                <w:sz w:val="20"/>
                <w:szCs w:val="20"/>
                <w:color w:val="auto"/>
              </w:rPr>
            </w:pPr>
            <w:r>
              <w:rPr>
                <w:rFonts w:ascii="Arial" w:cs="Arial" w:eastAsia="Arial" w:hAnsi="Arial"/>
                <w:sz w:val="14"/>
                <w:szCs w:val="14"/>
                <w:b w:val="1"/>
                <w:bCs w:val="1"/>
                <w:color w:val="auto"/>
                <w:w w:val="85"/>
              </w:rPr>
              <w:t>Loss</w:t>
            </w:r>
          </w:p>
        </w:tc>
      </w:tr>
      <w:tr>
        <w:trPr>
          <w:trHeight w:val="210"/>
        </w:trPr>
        <w:tc>
          <w:tcPr>
            <w:tcW w:w="13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8"/>
                <w:szCs w:val="18"/>
                <w:color w:val="auto"/>
              </w:rPr>
              <w:t>$9,561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207"/>
              <w:spacing w:after="0"/>
              <w:rPr>
                <w:sz w:val="20"/>
                <w:szCs w:val="20"/>
                <w:color w:val="auto"/>
              </w:rPr>
            </w:pPr>
            <w:r>
              <w:rPr>
                <w:rFonts w:ascii="Arial" w:cs="Arial" w:eastAsia="Arial" w:hAnsi="Arial"/>
                <w:sz w:val="18"/>
                <w:szCs w:val="18"/>
                <w:color w:val="auto"/>
                <w:w w:val="87"/>
              </w:rPr>
              <w:t>$1,026</w:t>
            </w: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92"/>
              </w:rPr>
              <w:t>$77,757</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ind w:left="206"/>
              <w:spacing w:after="0"/>
              <w:rPr>
                <w:sz w:val="20"/>
                <w:szCs w:val="20"/>
                <w:color w:val="auto"/>
              </w:rPr>
            </w:pPr>
            <w:r>
              <w:rPr>
                <w:rFonts w:ascii="Arial" w:cs="Arial" w:eastAsia="Arial" w:hAnsi="Arial"/>
                <w:sz w:val="18"/>
                <w:szCs w:val="18"/>
                <w:color w:val="auto"/>
                <w:w w:val="86"/>
              </w:rPr>
              <w:t>$11,964</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8"/>
                <w:szCs w:val="18"/>
                <w:color w:val="auto"/>
              </w:rPr>
              <w:t>$166,094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226"/>
              <w:spacing w:after="0"/>
              <w:rPr>
                <w:sz w:val="20"/>
                <w:szCs w:val="20"/>
                <w:color w:val="auto"/>
              </w:rPr>
            </w:pPr>
            <w:r>
              <w:rPr>
                <w:rFonts w:ascii="Arial" w:cs="Arial" w:eastAsia="Arial" w:hAnsi="Arial"/>
                <w:sz w:val="18"/>
                <w:szCs w:val="18"/>
                <w:color w:val="auto"/>
                <w:w w:val="86"/>
              </w:rPr>
              <w:t>$21,381</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LFB does not intend to sell its debt securities classified as “available-for-sale” that are in an unrealized loss position, nor is it more likely than not that LFB will be required to sell such debt securities before their anticipated recovery. In addition, no credit loss was required to be recognized for these debt securities during the three month and nine month periods ended September 30, 2010 based on the qualitative and quantitative analysis performed by the Company. During the three month and nine month periods ended September 30, 2009, other-than-temporary impairment charges of $528 and $1,444, respectively, were recognized in “other-revenue” on the condensed consolidated statements of operations, representing the credit loss component of debt securities whose fair value was below amortized cost.</w:t>
      </w:r>
    </w:p>
    <w:p>
      <w:pPr>
        <w:spacing w:after="0" w:line="13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fair value and amortized cost basis pertaining to debt securities classified as “held-to-maturity” at September 30, 2010, by maturity date, are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61"/>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Maturity Date</w:t>
            </w:r>
          </w:p>
        </w:tc>
        <w:tc>
          <w:tcPr>
            <w:tcW w:w="25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After 1 year through 5 years</w:t>
            </w:r>
          </w:p>
        </w:tc>
        <w:tc>
          <w:tcPr>
            <w:tcW w:w="2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132,896</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126,547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143,144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debt securities classified as “held-to-maturity” at September 30, 2010 and December 31, 2009 that were in an unrecognized loss position.</w:t>
      </w:r>
    </w:p>
    <w:p>
      <w:pPr>
        <w:spacing w:after="0" w:line="18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2008, LFNY was a party to a Prime Brokerage Agreement with Lehman Brothers Inc. (“LBI”) for certain accounts involving investment strategies managed by LAM. On September 9, 2008, LAM requested a transfer of such accounts, of which $11,368 was not received. On September 15, 2008, Lehman Brothers Holdings, Inc., the ultimate parent company in the Lehman Group, filed for protection under Chapter 11 of the United States Bankruptcy Code and a number of Lehman Group entities in the UK entered into administration proceedings under the Insolvency Act 1986. In addition, the Securities Investor Protection Corporation (“SIPC”) commenced liquidation proceedings on September 19, 2008 pursuant to the Securities Investor Protection Act of 1970, as amended, with respect to LBI. The Chapter 11 filing, Insolvency Act Administration and SIPC proceedings exposed Lazard to possible loss due to counterparty credit and other risk. During 2008, the Company provided for the entire amount of such possible loss, and, through September 30, 2010, $649 has been recovered by the Company. We continue to actively seek recovery of all amounts.</w:t>
      </w:r>
    </w:p>
    <w:p>
      <w:pPr>
        <w:spacing w:after="0" w:line="10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“members’ equity” on the condensed consolidated statements of financial condition (see Note 12 of Notes to Condensed Consolidated Financial Statements).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 Senior Housing is managed by Lazard Alternative Investments Holdings LLC (“LAI”), a subsidiary of LFCM Holdings LLC (“LFCM Holdings”). LAI owns and operates the alternative investments of LFCM Holdings. CP II was managed by a subsidiary of LAI until February 16, 2009. Effective February 17, 2009, ownership and control of CP II was transferred to the investment professionals who manage CP II.</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Private equity investments consolidated but not owned by Lazard are related solely to Lazard’s establishment of a private equity business with the Edgewater Funds (“Edgewater”), a Chicago-based private equity firm, through the acquisition of Edgewater’s management vehicles on July 15, 2009. The acquisition was structured as a purchase by Lazard of interests in a holding company that owns interests in the general partner and management company entities of the current Edgewater private equity funds (the “Edgewater Acquisition”). Edgewater is focused on buyout and growth equity investments in middle market companies. The economic interests that the Company does not own are owned by the current leadership team and other investors in the Edgewater management vehicles. See Note 8 of Notes to Condensed Consolidated Financial Statements.</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Equity method investments at December 31, 2009 primarily consisted of our investment in Sapphire Industrials Corp. (“Sapphire”). On January 24, 2008, Sapphire, a then newly-organized special purpose acquisition company formed by the Company, completed an initial public offering (the “Sapphire IPO”). Sapphire was formed for 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w:t>
      </w:r>
    </w:p>
    <w:p>
      <w:pPr>
        <w:spacing w:after="0" w:line="13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January 6, 2010, Sapphire announced that it had not completed the Business Combination and it would dissolve and distribute the funds in the Trust Account to all its public shareholders, to the extent they were holders of shares issued in the Sapphire IPO. Pursuant to such dissolution, on January 26, 2010, Sapphire distributed an initial distribution to the Company aggregating $50,319. All Sapphire warrants expired without value. During the fourth quarter of 2009, the Company recognized a loss of approximately $13,000 principally related to its investment in warrants of Sapphire.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recognized gross investment gains and losses on investments measured at fair value for the three month and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and 2009, in “revenue-other” on its condensed consolidated statement of operations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 Period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Nine Month Period</w:t>
            </w:r>
          </w:p>
        </w:tc>
      </w:tr>
      <w:tr>
        <w:trPr>
          <w:trHeight w:val="161"/>
        </w:trPr>
        <w:tc>
          <w:tcPr>
            <w:tcW w:w="36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Ended September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Ended September 30,</w:t>
            </w:r>
          </w:p>
        </w:tc>
      </w:tr>
      <w:tr>
        <w:trPr>
          <w:trHeight w:val="142"/>
        </w:trPr>
        <w:tc>
          <w:tcPr>
            <w:tcW w:w="36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gains</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17,306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20,489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26,690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41,419</w:t>
            </w:r>
          </w:p>
        </w:tc>
        <w:tc>
          <w:tcPr>
            <w:tcW w:w="100" w:type="dxa"/>
            <w:vAlign w:val="bottom"/>
            <w:shd w:val="clear" w:color="auto" w:fill="CCEEFF"/>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7,031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19"/>
                <w:szCs w:val="19"/>
                <w:color w:val="auto"/>
              </w:rPr>
            </w:pPr>
          </w:p>
        </w:tc>
      </w:tr>
      <w:tr>
        <w:trPr>
          <w:trHeight w:val="505"/>
        </w:trPr>
        <w:tc>
          <w:tcPr>
            <w:tcW w:w="3660" w:type="dxa"/>
            <w:vAlign w:val="bottom"/>
          </w:tcPr>
          <w:p>
            <w:pPr>
              <w:spacing w:after="0"/>
              <w:rPr>
                <w:sz w:val="24"/>
                <w:szCs w:val="24"/>
                <w:color w:val="auto"/>
              </w:rPr>
            </w:pPr>
          </w:p>
        </w:tc>
        <w:tc>
          <w:tcPr>
            <w:tcW w:w="4080" w:type="dxa"/>
            <w:vAlign w:val="bottom"/>
          </w:tcPr>
          <w:p>
            <w:pPr>
              <w:jc w:val="right"/>
              <w:ind w:right="185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w w:val="92"/>
              </w:rPr>
              <w:t>Three Month Period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Nine Month Period</w:t>
            </w:r>
          </w:p>
        </w:tc>
      </w:t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w w:val="88"/>
              </w:rPr>
              <w:t>Ended September 30,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Ended September 30,</w:t>
            </w:r>
          </w:p>
        </w:tc>
      </w:tr>
      <w:tr>
        <w:trPr>
          <w:trHeight w:val="142"/>
        </w:trPr>
        <w:tc>
          <w:tcPr>
            <w:tcW w:w="7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2009</w:t>
            </w:r>
          </w:p>
        </w:tc>
        <w:tc>
          <w:tcPr>
            <w:tcW w:w="42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shd w:val="clear" w:color="auto" w:fill="CCEEFF"/>
          </w:tcPr>
          <w:p>
            <w:pPr>
              <w:spacing w:after="0"/>
              <w:rPr>
                <w:sz w:val="18"/>
                <w:szCs w:val="18"/>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within “accumulated other comprehensive income (loss), net of tax” (“AOCI”), the Company recorded gross pre-tax unrealized investment gains of $8,672 and $41,281 during the nine month periods ended September 30, 2010 and 2009, respectively, and gross pre-tax unrealized investment losses of $1,950 and $364 during the nine month periods ended September 30, 2010 and 2009, respectively, pertaining to debt securities held at LFB that are designated as “available-for-sale.” With respect to adjustments for items reclassified to earnings, the average cost basis is utilized for purposes of calculating realized investment gains and losses.</w:t>
      </w:r>
    </w:p>
    <w:p>
      <w:pPr>
        <w:spacing w:after="0" w:line="12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Most of the Company’s investments in corporate debt securities are considered Level 2 investments with such fair value based on observable data, principally broker quotes as provided by external pricing services. The Company’s other debt securities at fair value are considered Level 1 investments with such fair value based on unadjusted quoted prices in active markets.</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interests in LAM alternative asset management funds is classified as Level 2 and is based on information provided by external pricing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2010 and December 31, 2009 into a three-level fair value hierarchy in accordance with fair value measurement disclosure requirements: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0"/>
              </w:rPr>
              <w:t>As of September 30, 2010</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Investments: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securities at amortized cost)</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101,121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174,864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275,985</w:t>
            </w: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69,206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15,696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234"/>
              <w:spacing w:after="0"/>
              <w:rPr>
                <w:sz w:val="20"/>
                <w:szCs w:val="20"/>
                <w:color w:val="auto"/>
              </w:rPr>
            </w:pPr>
            <w:r>
              <w:rPr>
                <w:rFonts w:ascii="Arial" w:cs="Arial" w:eastAsia="Arial" w:hAnsi="Arial"/>
                <w:sz w:val="18"/>
                <w:szCs w:val="18"/>
                <w:color w:val="auto"/>
                <w:w w:val="93"/>
              </w:rPr>
              <w:t>313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85,215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50,859</w:t>
            </w: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GP interests consolidated but not owned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7,514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left="234"/>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Investments owned</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99,349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99,349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consolidated but not owned</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44,464</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234"/>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170,327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250,268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144,126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564,721</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29,027</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234"/>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31,895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80" w:type="dxa"/>
            <w:vAlign w:val="bottom"/>
            <w:vMerge w:val="restart"/>
          </w:tcPr>
          <w:p>
            <w:pPr>
              <w:jc w:val="right"/>
              <w:ind w:right="1312"/>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2"/>
              </w:rPr>
              <w:t>As of December 31, 2009</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Investments: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securities at amortized cost)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70,556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253,663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324,219</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65,932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82,442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50,080</w:t>
            </w: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Arial" w:cs="Arial" w:eastAsia="Arial" w:hAnsi="Arial"/>
                <w:sz w:val="18"/>
                <w:szCs w:val="18"/>
                <w:color w:val="auto"/>
              </w:rPr>
              <w:t>GP interests consolidated but not owned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13,038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Arial" w:cs="Arial" w:eastAsia="Arial" w:hAnsi="Arial"/>
                <w:sz w:val="18"/>
                <w:szCs w:val="18"/>
                <w:color w:val="auto"/>
              </w:rPr>
              <w:t>Investments owned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100,171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102,983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consolidated but not owned</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Derivatives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136,493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336,714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136,219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609,426</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Derivatives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22,562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There were no transfers into and out of the Level 1, 2 and 3 categories in the fair value measurement hierarchy for the three month and nine month periods ended September 30, 2010.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and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and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4"/>
              </w:rPr>
              <w:t>September 30, 2010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Net Unrealized/</w:t>
            </w:r>
          </w:p>
        </w:tc>
        <w:tc>
          <w:tcPr>
            <w:tcW w:w="440" w:type="dxa"/>
            <w:vAlign w:val="bottom"/>
          </w:tcPr>
          <w:p>
            <w:pPr>
              <w:spacing w:after="0"/>
              <w:rPr>
                <w:sz w:val="12"/>
                <w:szCs w:val="12"/>
                <w:color w:val="auto"/>
              </w:rPr>
            </w:pPr>
          </w:p>
        </w:tc>
        <w:tc>
          <w:tcPr>
            <w:tcW w:w="12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Purchases,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Realized</w:t>
            </w:r>
          </w:p>
        </w:tc>
        <w:tc>
          <w:tcPr>
            <w:tcW w:w="440" w:type="dxa"/>
            <w:vAlign w:val="bottom"/>
          </w:tcPr>
          <w:p>
            <w:pPr>
              <w:spacing w:after="0"/>
              <w:rPr>
                <w:sz w:val="12"/>
                <w:szCs w:val="12"/>
                <w:color w:val="auto"/>
              </w:rPr>
            </w:pPr>
          </w:p>
        </w:tc>
        <w:tc>
          <w:tcPr>
            <w:tcW w:w="12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79"/>
              </w:rPr>
              <w:t>Issuances</w:t>
            </w:r>
          </w:p>
        </w:tc>
        <w:tc>
          <w:tcPr>
            <w:tcW w:w="10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Beginning</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440" w:type="dxa"/>
            <w:vAlign w:val="bottom"/>
          </w:tcPr>
          <w:p>
            <w:pPr>
              <w:spacing w:after="0"/>
              <w:rPr>
                <w:sz w:val="12"/>
                <w:szCs w:val="12"/>
                <w:color w:val="auto"/>
              </w:rPr>
            </w:pPr>
          </w:p>
        </w:tc>
        <w:tc>
          <w:tcPr>
            <w:tcW w:w="12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13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Balance</w:t>
            </w:r>
          </w:p>
        </w:tc>
        <w:tc>
          <w:tcPr>
            <w:tcW w:w="52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Revenue-Other</w:t>
            </w:r>
          </w:p>
        </w:tc>
        <w:tc>
          <w:tcPr>
            <w:tcW w:w="440" w:type="dxa"/>
            <w:vAlign w:val="bottom"/>
          </w:tcPr>
          <w:p>
            <w:pPr>
              <w:spacing w:after="0"/>
              <w:rPr>
                <w:sz w:val="14"/>
                <w:szCs w:val="1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3"/>
              </w:rPr>
              <w:t>Acquisitions</w:t>
            </w:r>
          </w:p>
        </w:tc>
        <w:tc>
          <w:tcPr>
            <w:tcW w:w="13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94,303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4,188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not owned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138,708</w:t>
            </w:r>
          </w:p>
        </w:tc>
        <w:tc>
          <w:tcPr>
            <w:tcW w:w="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4,182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16"/>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4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85"/>
              </w:rPr>
              <w:t>September 30, 2009</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tcPr>
          <w:p>
            <w:pPr>
              <w:jc w:val="center"/>
              <w:ind w:right="600"/>
              <w:spacing w:after="0" w:line="129"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Net Unrealized/</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Purchases,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Realized</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79"/>
              </w:rPr>
              <w:t>Issuances</w:t>
            </w:r>
          </w:p>
        </w:tc>
        <w:tc>
          <w:tcPr>
            <w:tcW w:w="100" w:type="dxa"/>
            <w:vAlign w:val="bottom"/>
          </w:tcPr>
          <w:p>
            <w:pPr>
              <w:spacing w:after="0"/>
              <w:rPr>
                <w:sz w:val="12"/>
                <w:szCs w:val="12"/>
                <w:color w:val="auto"/>
              </w:rPr>
            </w:pPr>
          </w:p>
        </w:tc>
        <w:tc>
          <w:tcPr>
            <w:tcW w:w="11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1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Beginning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122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85"/>
              </w:rPr>
              <w:t>Balance</w:t>
            </w:r>
          </w:p>
        </w:tc>
        <w:tc>
          <w:tcPr>
            <w:tcW w:w="80" w:type="dxa"/>
            <w:vAlign w:val="bottom"/>
          </w:tcPr>
          <w:p>
            <w:pPr>
              <w:spacing w:after="0"/>
              <w:rPr>
                <w:sz w:val="14"/>
                <w:szCs w:val="14"/>
                <w:color w:val="auto"/>
              </w:rPr>
            </w:pPr>
          </w:p>
        </w:tc>
        <w:tc>
          <w:tcPr>
            <w:tcW w:w="9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7"/>
              </w:rPr>
              <w:t>Revenue-Other</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3"/>
              </w:rPr>
              <w:t>Acquisitions</w:t>
            </w:r>
          </w:p>
        </w:tc>
        <w:tc>
          <w:tcPr>
            <w:tcW w:w="12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360"/>
              <w:spacing w:after="0"/>
              <w:rPr>
                <w:sz w:val="20"/>
                <w:szCs w:val="20"/>
                <w:color w:val="auto"/>
              </w:rPr>
            </w:pPr>
            <w:r>
              <w:rPr>
                <w:rFonts w:ascii="Arial" w:cs="Arial" w:eastAsia="Arial" w:hAnsi="Arial"/>
                <w:sz w:val="18"/>
                <w:szCs w:val="18"/>
                <w:color w:val="auto"/>
              </w:rPr>
              <w:t>297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360"/>
              <w:spacing w:after="0"/>
              <w:rPr>
                <w:sz w:val="20"/>
                <w:szCs w:val="20"/>
                <w:color w:val="auto"/>
              </w:rPr>
            </w:pPr>
            <w:r>
              <w:rPr>
                <w:rFonts w:ascii="Arial" w:cs="Arial" w:eastAsia="Arial" w:hAnsi="Arial"/>
                <w:sz w:val="18"/>
                <w:szCs w:val="18"/>
                <w:color w:val="auto"/>
              </w:rPr>
              <w:t>93,530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1,773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3,344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1,509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not owned</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33,416</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ind w:left="440"/>
              <w:spacing w:after="0"/>
              <w:rPr>
                <w:sz w:val="20"/>
                <w:szCs w:val="20"/>
                <w:color w:val="auto"/>
              </w:rPr>
            </w:pPr>
            <w:r>
              <w:rPr>
                <w:rFonts w:ascii="Arial" w:cs="Arial" w:eastAsia="Arial" w:hAnsi="Arial"/>
                <w:sz w:val="18"/>
                <w:szCs w:val="18"/>
                <w:color w:val="auto"/>
              </w:rPr>
              <w:t>Total Level 3 Assets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4"/>
          </w:tcPr>
          <w:p>
            <w:pPr>
              <w:jc w:val="right"/>
              <w:ind w:right="360"/>
              <w:spacing w:after="0"/>
              <w:rPr>
                <w:sz w:val="20"/>
                <w:szCs w:val="20"/>
                <w:color w:val="auto"/>
              </w:rPr>
            </w:pPr>
            <w:r>
              <w:rPr>
                <w:rFonts w:ascii="Arial" w:cs="Arial" w:eastAsia="Arial" w:hAnsi="Arial"/>
                <w:sz w:val="18"/>
                <w:szCs w:val="18"/>
                <w:color w:val="auto"/>
                <w:w w:val="86"/>
              </w:rPr>
              <w:t>$93,827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3,749</w:t>
            </w:r>
          </w:p>
        </w:tc>
        <w:tc>
          <w:tcPr>
            <w:tcW w:w="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36,763</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460"/>
              <w:spacing w:after="0"/>
              <w:rPr>
                <w:sz w:val="20"/>
                <w:szCs w:val="20"/>
                <w:color w:val="auto"/>
              </w:rPr>
            </w:pPr>
            <w:r>
              <w:rPr>
                <w:rFonts w:ascii="Arial" w:cs="Arial" w:eastAsia="Arial" w:hAnsi="Arial"/>
                <w:sz w:val="18"/>
                <w:szCs w:val="18"/>
                <w:color w:val="auto"/>
              </w:rPr>
              <w:t>1,513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w w:val="90"/>
              </w:rPr>
              <w:t>September 30, 2010</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tcPr>
          <w:p>
            <w:pPr>
              <w:jc w:val="center"/>
              <w:ind w:right="700"/>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Net Unrealized/</w:t>
            </w:r>
          </w:p>
        </w:tc>
        <w:tc>
          <w:tcPr>
            <w:tcW w:w="380" w:type="dxa"/>
            <w:vAlign w:val="bottom"/>
          </w:tcPr>
          <w:p>
            <w:pPr>
              <w:spacing w:after="0"/>
              <w:rPr>
                <w:sz w:val="12"/>
                <w:szCs w:val="12"/>
                <w:color w:val="auto"/>
              </w:rPr>
            </w:pPr>
          </w:p>
        </w:tc>
        <w:tc>
          <w:tcPr>
            <w:tcW w:w="1200" w:type="dxa"/>
            <w:vAlign w:val="bottom"/>
            <w:gridSpan w:val="6"/>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Purchases,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Realized</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Issuances</w:t>
            </w:r>
          </w:p>
        </w:tc>
        <w:tc>
          <w:tcPr>
            <w:tcW w:w="100" w:type="dxa"/>
            <w:vAlign w:val="bottom"/>
          </w:tcPr>
          <w:p>
            <w:pPr>
              <w:spacing w:after="0"/>
              <w:rPr>
                <w:sz w:val="12"/>
                <w:szCs w:val="12"/>
                <w:color w:val="auto"/>
              </w:rPr>
            </w:pPr>
          </w:p>
        </w:tc>
        <w:tc>
          <w:tcPr>
            <w:tcW w:w="1120" w:type="dxa"/>
            <w:vAlign w:val="bottom"/>
            <w:gridSpan w:val="4"/>
          </w:tcPr>
          <w:p>
            <w:pPr>
              <w:jc w:val="right"/>
              <w:ind w:right="64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and</w:t>
            </w:r>
          </w:p>
        </w:tc>
        <w:tc>
          <w:tcPr>
            <w:tcW w:w="1220" w:type="dxa"/>
            <w:vAlign w:val="bottom"/>
            <w:gridSpan w:val="5"/>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gridSpan w:val="6"/>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Beginning</w:t>
            </w:r>
          </w:p>
        </w:tc>
        <w:tc>
          <w:tcPr>
            <w:tcW w:w="80" w:type="dxa"/>
            <w:vAlign w:val="bottom"/>
          </w:tcPr>
          <w:p>
            <w:pPr>
              <w:spacing w:after="0"/>
              <w:rPr>
                <w:sz w:val="12"/>
                <w:szCs w:val="12"/>
                <w:color w:val="auto"/>
              </w:rPr>
            </w:pPr>
          </w:p>
        </w:tc>
        <w:tc>
          <w:tcPr>
            <w:tcW w:w="9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380" w:type="dxa"/>
            <w:vAlign w:val="bottom"/>
          </w:tcPr>
          <w:p>
            <w:pPr>
              <w:spacing w:after="0"/>
              <w:rPr>
                <w:sz w:val="12"/>
                <w:szCs w:val="12"/>
                <w:color w:val="auto"/>
              </w:rPr>
            </w:pPr>
          </w:p>
        </w:tc>
        <w:tc>
          <w:tcPr>
            <w:tcW w:w="1200" w:type="dxa"/>
            <w:vAlign w:val="bottom"/>
            <w:gridSpan w:val="6"/>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Settlements/</w:t>
            </w:r>
          </w:p>
        </w:tc>
        <w:tc>
          <w:tcPr>
            <w:tcW w:w="12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gridSpan w:val="6"/>
          </w:tcPr>
          <w:p>
            <w:pPr>
              <w:ind w:left="100"/>
              <w:spacing w:after="0"/>
              <w:rPr>
                <w:sz w:val="20"/>
                <w:szCs w:val="20"/>
                <w:color w:val="auto"/>
              </w:rPr>
            </w:pPr>
            <w:r>
              <w:rPr>
                <w:rFonts w:ascii="Arial" w:cs="Arial" w:eastAsia="Arial" w:hAnsi="Arial"/>
                <w:sz w:val="14"/>
                <w:szCs w:val="14"/>
                <w:b w:val="1"/>
                <w:bCs w:val="1"/>
                <w:color w:val="auto"/>
              </w:rPr>
              <w:t>Balance</w:t>
            </w:r>
          </w:p>
        </w:tc>
        <w:tc>
          <w:tcPr>
            <w:tcW w:w="10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Revenue-Other</w:t>
            </w:r>
          </w:p>
        </w:tc>
        <w:tc>
          <w:tcPr>
            <w:tcW w:w="380" w:type="dxa"/>
            <w:vAlign w:val="bottom"/>
          </w:tcPr>
          <w:p>
            <w:pPr>
              <w:spacing w:after="0"/>
              <w:rPr>
                <w:sz w:val="14"/>
                <w:szCs w:val="14"/>
                <w:color w:val="auto"/>
              </w:rPr>
            </w:pPr>
          </w:p>
        </w:tc>
        <w:tc>
          <w:tcPr>
            <w:tcW w:w="120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3"/>
              </w:rPr>
              <w:t>Acquisitions</w:t>
            </w: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Investments owned</w:t>
            </w: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100,171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1,715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rPr>
              <w:t>(2,431)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consolidated but not owned</w:t>
            </w:r>
          </w:p>
        </w:tc>
        <w:tc>
          <w:tcPr>
            <w:tcW w:w="9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5,084</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136,219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4,986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rPr>
              <w:t>(2,437)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87"/>
              </w:rPr>
              <w:t>September 30, 2009</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4"/>
          </w:tcPr>
          <w:p>
            <w:pPr>
              <w:jc w:val="center"/>
              <w:ind w:right="660"/>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Net Unrealized/</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Purchases,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Realized</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5"/>
          </w:tcPr>
          <w:p>
            <w:pPr>
              <w:jc w:val="right"/>
              <w:ind w:right="580"/>
              <w:spacing w:after="0" w:line="149" w:lineRule="exact"/>
              <w:rPr>
                <w:sz w:val="20"/>
                <w:szCs w:val="20"/>
                <w:color w:val="auto"/>
              </w:rPr>
            </w:pPr>
            <w:r>
              <w:rPr>
                <w:rFonts w:ascii="Arial" w:cs="Arial" w:eastAsia="Arial" w:hAnsi="Arial"/>
                <w:sz w:val="14"/>
                <w:szCs w:val="14"/>
                <w:b w:val="1"/>
                <w:bCs w:val="1"/>
                <w:color w:val="auto"/>
                <w:w w:val="82"/>
              </w:rPr>
              <w:t>Issuances</w:t>
            </w:r>
          </w:p>
        </w:tc>
        <w:tc>
          <w:tcPr>
            <w:tcW w:w="100" w:type="dxa"/>
            <w:vAlign w:val="bottom"/>
          </w:tcPr>
          <w:p>
            <w:pPr>
              <w:spacing w:after="0"/>
              <w:rPr>
                <w:sz w:val="12"/>
                <w:szCs w:val="12"/>
                <w:color w:val="auto"/>
              </w:rPr>
            </w:pPr>
          </w:p>
        </w:tc>
        <w:tc>
          <w:tcPr>
            <w:tcW w:w="112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and</w:t>
            </w:r>
          </w:p>
        </w:tc>
        <w:tc>
          <w:tcPr>
            <w:tcW w:w="122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80" w:type="dxa"/>
            <w:vAlign w:val="bottom"/>
          </w:tcPr>
          <w:p>
            <w:pPr>
              <w:spacing w:after="0"/>
              <w:rPr>
                <w:sz w:val="12"/>
                <w:szCs w:val="12"/>
                <w:color w:val="auto"/>
              </w:rPr>
            </w:pPr>
          </w:p>
        </w:tc>
        <w:tc>
          <w:tcPr>
            <w:tcW w:w="9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380" w:type="dxa"/>
            <w:vAlign w:val="bottom"/>
          </w:tcPr>
          <w:p>
            <w:pPr>
              <w:spacing w:after="0"/>
              <w:rPr>
                <w:sz w:val="12"/>
                <w:szCs w:val="12"/>
                <w:color w:val="auto"/>
              </w:rPr>
            </w:pPr>
          </w:p>
        </w:tc>
        <w:tc>
          <w:tcPr>
            <w:tcW w:w="120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Settlements/</w:t>
            </w:r>
          </w:p>
        </w:tc>
        <w:tc>
          <w:tcPr>
            <w:tcW w:w="122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3"/>
              </w:rPr>
              <w:t>Balance</w:t>
            </w:r>
          </w:p>
        </w:tc>
        <w:tc>
          <w:tcPr>
            <w:tcW w:w="10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7"/>
              </w:rPr>
              <w:t>Revenue-Other</w:t>
            </w:r>
          </w:p>
        </w:tc>
        <w:tc>
          <w:tcPr>
            <w:tcW w:w="380" w:type="dxa"/>
            <w:vAlign w:val="bottom"/>
          </w:tcPr>
          <w:p>
            <w:pPr>
              <w:spacing w:after="0"/>
              <w:rPr>
                <w:sz w:val="14"/>
                <w:szCs w:val="14"/>
                <w:color w:val="auto"/>
              </w:rPr>
            </w:pPr>
          </w:p>
        </w:tc>
        <w:tc>
          <w:tcPr>
            <w:tcW w:w="1200" w:type="dxa"/>
            <w:vAlign w:val="bottom"/>
            <w:gridSpan w:val="6"/>
          </w:tcPr>
          <w:p>
            <w:pPr>
              <w:spacing w:after="0"/>
              <w:rPr>
                <w:sz w:val="20"/>
                <w:szCs w:val="20"/>
                <w:color w:val="auto"/>
              </w:rPr>
            </w:pPr>
            <w:r>
              <w:rPr>
                <w:rFonts w:ascii="Arial" w:cs="Arial" w:eastAsia="Arial" w:hAnsi="Arial"/>
                <w:sz w:val="14"/>
                <w:szCs w:val="14"/>
                <w:b w:val="1"/>
                <w:bCs w:val="1"/>
                <w:color w:val="auto"/>
              </w:rPr>
              <w:t>Acquisitions</w:t>
            </w:r>
          </w:p>
        </w:tc>
        <w:tc>
          <w:tcPr>
            <w:tcW w:w="12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00" w:type="dxa"/>
            <w:vAlign w:val="bottom"/>
            <w:gridSpan w:val="3"/>
          </w:tcPr>
          <w:p>
            <w:pPr>
              <w:ind w:left="110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420"/>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420"/>
              <w:spacing w:after="0"/>
              <w:rPr>
                <w:sz w:val="20"/>
                <w:szCs w:val="20"/>
                <w:color w:val="auto"/>
              </w:rPr>
            </w:pPr>
            <w:r>
              <w:rPr>
                <w:rFonts w:ascii="Arial" w:cs="Arial" w:eastAsia="Arial" w:hAnsi="Arial"/>
                <w:sz w:val="18"/>
                <w:szCs w:val="18"/>
                <w:color w:val="auto"/>
              </w:rPr>
              <w:t>(91)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83,931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1,665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11,957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2,603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not owned</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33,416</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ind w:left="440"/>
              <w:spacing w:after="0"/>
              <w:rPr>
                <w:sz w:val="20"/>
                <w:szCs w:val="20"/>
                <w:color w:val="auto"/>
              </w:rPr>
            </w:pPr>
            <w:r>
              <w:rPr>
                <w:rFonts w:ascii="Arial" w:cs="Arial" w:eastAsia="Arial" w:hAnsi="Arial"/>
                <w:sz w:val="18"/>
                <w:szCs w:val="18"/>
                <w:color w:val="auto"/>
              </w:rPr>
              <w:t>Total Level 3 Assets</w:t>
            </w: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$ 86,384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3,636</w:t>
            </w:r>
          </w:p>
        </w:tc>
        <w:tc>
          <w:tcPr>
            <w:tcW w:w="40" w:type="dxa"/>
            <w:vAlign w:val="bottom"/>
          </w:tcPr>
          <w:p>
            <w:pPr>
              <w:spacing w:after="0"/>
              <w:rPr>
                <w:sz w:val="19"/>
                <w:szCs w:val="19"/>
                <w:color w:val="auto"/>
              </w:rPr>
            </w:pPr>
          </w:p>
        </w:tc>
        <w:tc>
          <w:tcPr>
            <w:tcW w:w="5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43,320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There were no realized gains or losses included in income for the three month and nine month periods ended September 30, 2010 with respect to Level 3 assets. There were net realized gains of $595 and $616 included in income for the three month and nine month periods ended September 30, 2009, respectively, with respect to such Level 3 assets.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 “available-for-sale” securities, the Company elected to not apply hedge accounting to its other derivative instruments held. Gains and losses on the Company’s derivatives not designated as hedging instruments, as well as gains and losses on derivatives accounted for as fair value hedges, are included in “interest income” and “interest expense”, respectively, or “revenue-other”, depending on the nature of the underlying item, on the consolidated statements of operations. Furthermore, with respect to derivatives designated as fair value hedges, the hedged item is required to be adjusted for changes in fair value of the risk being hedged, with such adjustment accounted for in the consolidated statements of operations.</w:t>
      </w:r>
    </w:p>
    <w:p>
      <w:pPr>
        <w:spacing w:after="0" w:line="10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table below presents the fair values of the Company’s derivative assets and liabilities reported within “other assets” and “other liabilities” on the accompanying condensed consolidated statements of financial condition as of September 30, 2010 and December 31, 2009: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Designated</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4"/>
          </w:tcPr>
          <w:p>
            <w:pPr>
              <w:ind w:left="420"/>
              <w:spacing w:after="0"/>
              <w:rPr>
                <w:sz w:val="20"/>
                <w:szCs w:val="20"/>
                <w:color w:val="auto"/>
              </w:rPr>
            </w:pPr>
            <w:r>
              <w:rPr>
                <w:rFonts w:ascii="Arial" w:cs="Arial" w:eastAsia="Arial" w:hAnsi="Arial"/>
                <w:sz w:val="14"/>
                <w:szCs w:val="14"/>
                <w:b w:val="1"/>
                <w:bCs w:val="1"/>
                <w:color w:val="auto"/>
                <w:w w:val="87"/>
              </w:rPr>
              <w:t>Not Designated</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5"/>
              </w:rPr>
              <w:t>as Hedging Instruments</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w w:val="96"/>
              </w:rPr>
              <w:t>as Hedging Instruments</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40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40" w:type="dxa"/>
            <w:vAlign w:val="bottom"/>
          </w:tcPr>
          <w:p>
            <w:pPr>
              <w:ind w:left="440"/>
              <w:spacing w:after="0"/>
              <w:rPr>
                <w:sz w:val="20"/>
                <w:szCs w:val="20"/>
                <w:color w:val="auto"/>
              </w:rPr>
            </w:pPr>
            <w:r>
              <w:rPr>
                <w:rFonts w:ascii="Arial" w:cs="Arial" w:eastAsia="Arial" w:hAnsi="Arial"/>
                <w:sz w:val="18"/>
                <w:szCs w:val="18"/>
                <w:color w:val="auto"/>
              </w:rPr>
              <w:t>Forward foreign currency exchange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660"/>
              <w:spacing w:after="0"/>
              <w:rPr>
                <w:sz w:val="20"/>
                <w:szCs w:val="20"/>
                <w:color w:val="auto"/>
              </w:rPr>
            </w:pPr>
            <w:r>
              <w:rPr>
                <w:rFonts w:ascii="Arial" w:cs="Arial" w:eastAsia="Arial" w:hAnsi="Arial"/>
                <w:sz w:val="18"/>
                <w:szCs w:val="18"/>
                <w:color w:val="auto"/>
              </w:rPr>
              <w:t>rate contracts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$836</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1,260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Equity swaps and other</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rate contracts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10,547</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10,547</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15,283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14,147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15,285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swaps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15,283</w:t>
            </w:r>
          </w:p>
        </w:tc>
        <w:tc>
          <w:tcPr>
            <w:tcW w:w="4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14,147</w:t>
            </w:r>
          </w:p>
        </w:tc>
        <w:tc>
          <w:tcPr>
            <w:tcW w:w="4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13,744</w:t>
            </w:r>
          </w:p>
        </w:tc>
        <w:tc>
          <w:tcPr>
            <w:tcW w:w="220" w:type="dxa"/>
            <w:vAlign w:val="bottom"/>
          </w:tcPr>
          <w:p>
            <w:pPr>
              <w:spacing w:after="0"/>
              <w:rPr>
                <w:sz w:val="19"/>
                <w:szCs w:val="19"/>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3,236</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29,027</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firstLine="456"/>
        <w:spacing w:after="0" w:line="344" w:lineRule="auto"/>
        <w:rPr>
          <w:sz w:val="20"/>
          <w:szCs w:val="20"/>
          <w:color w:val="auto"/>
        </w:rPr>
      </w:pPr>
      <w:r>
        <w:rPr>
          <w:rFonts w:ascii="Arial" w:cs="Arial" w:eastAsia="Arial" w:hAnsi="Arial"/>
          <w:sz w:val="15"/>
          <w:szCs w:val="15"/>
          <w:color w:val="auto"/>
        </w:rPr>
        <w:t>Gains (losses) with respect to derivatives not designated as hedging instruments on the accompanying condensed consolidated statements of operations for the three month and nine month periods ended September 30, 2010 and 2009 (predominantly reflected in “revenue-other”), by type of derivative, were as follows:</w:t>
      </w: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80" w:type="dxa"/>
            <w:vAlign w:val="bottom"/>
            <w:gridSpan w:val="6"/>
          </w:tcPr>
          <w:p>
            <w:pPr>
              <w:jc w:val="right"/>
              <w:ind w:right="440"/>
              <w:spacing w:after="0" w:line="149" w:lineRule="exact"/>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3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(11,884)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rate swaps</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Equity swaps and other</w:t>
            </w:r>
          </w:p>
        </w:tc>
        <w:tc>
          <w:tcPr>
            <w:tcW w:w="30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(7,847)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(2,850)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(11,110)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(18,782)</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(8,464)</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(2,347)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(7,595)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060" w:type="dxa"/>
            <w:vAlign w:val="bottom"/>
            <w:vMerge w:val="restart"/>
          </w:tcPr>
          <w:p>
            <w:pPr>
              <w:jc w:val="right"/>
              <w:ind w:right="1732"/>
              <w:spacing w:after="0"/>
              <w:rPr>
                <w:sz w:val="20"/>
                <w:szCs w:val="20"/>
                <w:color w:val="auto"/>
              </w:rPr>
            </w:pPr>
            <w:r>
              <w:rPr>
                <w:rFonts w:ascii="Arial" w:cs="Arial" w:eastAsia="Arial" w:hAnsi="Arial"/>
                <w:sz w:val="18"/>
                <w:szCs w:val="18"/>
                <w:color w:val="auto"/>
              </w:rPr>
              <w:t>19</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Derivatives designated as hedging instruments relate to interest rate swaps that hedge “available-for-sale” securities and are being accounted for as fair value hedges. For the three month and nine month periods ended September 30, 2010, the Company recognized net pre-tax losses pertaining to interest rate swaps of $332 and $4,088, respectively, and for the three month and nine month periods ended September 30, 2009, recognized net pre-tax losses pertaining to interest rate swaps of $1,597 and $1,787, respectively. These losses were substantially offset by amounts recognized on the hedged risk portion of such “available-for-sale” securities.</w:t>
      </w:r>
    </w:p>
    <w:p>
      <w:pPr>
        <w:spacing w:after="0" w:line="1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LAM MERGER TRANSACTION</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(plus additional shares of Class A common stock in an amount determined by reference to the cash dividends paid on Class A common stock since the closing of the LAM Merger), subject, in the case of clauses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Lazard Ltd or a sale of LAM, any and all of the Transaction Consideration will be payable as of the date of such change in control. The related liabilities for the present value of the unpaid cash consideration have been recorded in the accompanying condensed consolidated statements of financial condition in “accrued compensation and benefits” and “other liabilities”, and amounted to $14,929 and $70,215, respectively, as of September 30, 2010 and $14,252 and $65,308, respectively, as of December 31, 2009.</w:t>
      </w:r>
    </w:p>
    <w:p>
      <w:pPr>
        <w:spacing w:after="0" w:line="11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LAM Merger, Lazard Group recorded a related party payable to subsidiaries of Lazard Ltd of $64,305 at both September 30, 2010 and December 31, 2009 (see Note 17 of Notes to Condensed Consolidated Financial Statements). Such amount will become members’ equity as the related shares of Class A common stock are issued.</w:t>
      </w:r>
    </w:p>
    <w:p>
      <w:pPr>
        <w:spacing w:after="0" w:line="12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July 15, 2009, the Company established a private equity business with Edgewater, a private equity firm based in Chicago, Illinois, through the Edgewater Acquisition. Following such acquisition, Edgewater’s current leadership team retained a substantial economic interest in such entities. Edgewater primarily manages two middle market funds, Edgewater Growth Capital Partners, L.P. and Edgewater Growth Capital Partners II, L.P. (the “underlying funds”), with an aggregate of approximately $700,000 of capital raised. The acquisition was structured as a purchase by Lazard Group of interests in a holding company that in turn owns interests in the general partner and management company entities of the current Edgewater private equity funds.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transfer restrictions and forfeiture provisions that lapse only upon the achievement of certain performance thresholds for the next Edgewater fund that must be met by July 15, 2011. The Earnout Shares will be issued only if certain performance thresholds for the next two Edgewater funds are met.</w:t>
      </w:r>
    </w:p>
    <w:p>
      <w:pPr>
        <w:spacing w:after="0" w:line="10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Edgewater Acquisition was accounted for under the acquisition method of accounting, whereby the results of the acquired business are included in our consolidated financial results from July 15, 2009, the effective date of the acquisition. As a result of the acquisition, we recorded net tangible assets, identifiable intangible assets and goodwill of $53,635 (consisting primarily of Edgewater’s investments in their underlying funds and cash), $56,200 and $61,630, respectively, which include amounts for Edgewater’s noncontrolling interests held (whose economic interests approximate 50%) aggregating $109,841. Goodwill pertaining to this acquisition is deductible for income tax purposes. See Note 9 of Notes to Condensed Consolidated Financial Statements for additional information relating to goodwill and other intangible assets. The operating results relating to Edgewater are included in the Company’s Asset Management segment.</w:t>
      </w:r>
    </w:p>
    <w:p>
      <w:pPr>
        <w:spacing w:after="0" w:line="13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2007, the Company acquired Goldsmith, Agio, Helms &amp; Lynner, LLC (“GAHL”), a Minneapolis-based investment bank specializing in financial advisory services to mid-sized private companies, and Carnegie, Wylie &amp; Company (Holdings) PTY LTD (“CWC”), an Australia-based financial advisory firm.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September 30, 2010 and December 31, 2009, 346,398 and 662,015 shares of Class A common stock were issuable on a non-contingent basis, respectively. Additionally, at September 30, 2010 and December 31, 2009, 2,431 and 7,293 shares of Series A preferred stock, respectively, were convertible into Class A common shares on a non-contingent basis, with the number of Class A common shares dependent, in part, upon future prices of the Class A common stock. At both September 30, 2010 and December 31, 2009, 948,631 shares of Class A common stock were contingently issuable and, at both such dates, 19,590 shares of Series A preferred stock were contingently convertible into shares of Class A common stock, dependent upon the future performance of GAHL and CWC. The Class A common stock described above related to the GAHL and CWC acquisitions is issuable over multi-year periods.</w:t>
      </w:r>
    </w:p>
    <w:p>
      <w:pPr>
        <w:spacing w:after="0" w:line="10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connection with Lazard Group’s acquisitions of GAHL and Edgewater’s management vehicles, as well as Lazard Ltd’s acquisition of CWC and subsequent contribution of CWC to Lazard Group, Lazard Group recorded related party payables of $19,016 and $39,820 at September 30, 2010 and December 31, 2009, respectively, to subsidiaries of Lazard Ltd (see Note 17 of Notes to the Condensed Consolidated Financial Statements). Such amounts will become members’ equity as the related shares of Class A common stock are issued.</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r>
      <w:r>
        <w:rPr>
          <w:sz w:val="20"/>
          <w:szCs w:val="20"/>
          <w:color w:val="auto"/>
        </w:rPr>
        <w:tab/>
      </w:r>
      <w:r>
        <w:rPr>
          <w:rFonts w:ascii="Arial" w:cs="Arial" w:eastAsia="Arial" w:hAnsi="Arial"/>
          <w:sz w:val="16"/>
          <w:szCs w:val="16"/>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goodwill and other intangible assets at September 30, 2010 and December 31, 2009 are presented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460" w:type="dxa"/>
            <w:vAlign w:val="bottom"/>
            <w:gridSpan w:val="3"/>
          </w:tcPr>
          <w:p>
            <w:pPr>
              <w:ind w:left="2640"/>
              <w:spacing w:after="0"/>
              <w:rPr>
                <w:sz w:val="20"/>
                <w:szCs w:val="20"/>
                <w:color w:val="auto"/>
              </w:rPr>
            </w:pPr>
            <w:r>
              <w:rPr>
                <w:rFonts w:ascii="Arial" w:cs="Arial" w:eastAsia="Arial" w:hAnsi="Arial"/>
                <w:sz w:val="14"/>
                <w:szCs w:val="14"/>
                <w:b w:val="1"/>
                <w:bCs w:val="1"/>
                <w:color w:val="auto"/>
                <w:w w:val="83"/>
              </w:rPr>
              <w:t>September 30,</w:t>
            </w:r>
          </w:p>
        </w:tc>
        <w:tc>
          <w:tcPr>
            <w:tcW w:w="1420" w:type="dxa"/>
            <w:vAlign w:val="bottom"/>
            <w:gridSpan w:val="4"/>
          </w:tcPr>
          <w:p>
            <w:pPr>
              <w:ind w:left="5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267,722</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261,703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2"/>
              </w:rPr>
              <w:t>Other intangible assets (net of accumulated amortization)</w:t>
            </w:r>
          </w:p>
        </w:tc>
        <w:tc>
          <w:tcPr>
            <w:tcW w:w="2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50,819</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318,541</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317,780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40" w:type="dxa"/>
            <w:vAlign w:val="bottom"/>
            <w:vMerge w:val="restart"/>
          </w:tcPr>
          <w:p>
            <w:pPr>
              <w:jc w:val="right"/>
              <w:ind w:right="2157"/>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At September 30, 2010 and December 31, 2009, goodwill of $206,092 and $200,073, respectively, was attributable to the Company’s Financial Advisory segment and, at each such date, $61,630 of goodwill was attributable to the Company’s Asset Management segment.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nine month periods ended September 30, 2010 and 2009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$261,703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Business acquisitions, including additional contingent consideration earned</w:t>
            </w:r>
          </w:p>
        </w:tc>
        <w:tc>
          <w:tcPr>
            <w:tcW w:w="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62,693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19,288</w:t>
            </w:r>
          </w:p>
        </w:tc>
        <w:tc>
          <w:tcPr>
            <w:tcW w:w="80" w:type="dxa"/>
            <w:vAlign w:val="bottom"/>
            <w:shd w:val="clear" w:color="auto" w:fill="CCEEFF"/>
          </w:tcPr>
          <w:p>
            <w:pPr>
              <w:spacing w:after="0"/>
              <w:rPr>
                <w:sz w:val="18"/>
                <w:szCs w:val="18"/>
                <w:color w:val="auto"/>
              </w:rPr>
            </w:pPr>
          </w:p>
        </w:tc>
      </w:tr>
      <w:tr>
        <w:trPr>
          <w:trHeight w:val="222"/>
        </w:trPr>
        <w:tc>
          <w:tcPr>
            <w:tcW w:w="7320" w:type="dxa"/>
            <w:vAlign w:val="bottom"/>
            <w:gridSpan w:val="2"/>
          </w:tcPr>
          <w:p>
            <w:pPr>
              <w:spacing w:after="0"/>
              <w:rPr>
                <w:sz w:val="20"/>
                <w:szCs w:val="20"/>
                <w:color w:val="auto"/>
              </w:rPr>
            </w:pPr>
            <w:r>
              <w:rPr>
                <w:rFonts w:ascii="Arial" w:cs="Arial" w:eastAsia="Arial" w:hAnsi="Arial"/>
                <w:sz w:val="18"/>
                <w:szCs w:val="18"/>
                <w:color w:val="auto"/>
              </w:rPr>
              <w:t>Balance, September 30</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267,722</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252,258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September 30, 2010 and December 31, 2009,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8"/>
              </w:rPr>
              <w:t>September 30, 2010</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2009</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Success/performance fees</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$30,740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$30,740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$30,740</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$30,740</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32,477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12,398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20,079</w:t>
            </w:r>
          </w:p>
        </w:tc>
        <w:tc>
          <w:tcPr>
            <w:tcW w:w="3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32,477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7,140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25,337</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63,217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50,819</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63,217</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56,077</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Amortization expense of intangible assets for the three month and nine month periods ended September 30, 2010 was $1,719 and $5,258, respectively, and for the three month and nine month periods ended September 30, 2009 was $2,032 and $2,720, respectively. Estimated future amortization expense is as follows:</w:t>
      </w:r>
    </w:p>
    <w:p>
      <w:pPr>
        <w:spacing w:after="0" w:line="3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620" w:type="dxa"/>
            <w:vAlign w:val="bottom"/>
            <w:gridSpan w:val="4"/>
          </w:tcPr>
          <w:p>
            <w:pPr>
              <w:ind w:left="27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1"/>
        </w:trPr>
        <w:tc>
          <w:tcPr>
            <w:tcW w:w="574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274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vMerge w:val="continue"/>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2010 (October 1 through December 31)</w:t>
            </w:r>
          </w:p>
        </w:tc>
        <w:tc>
          <w:tcPr>
            <w:tcW w:w="29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2011</w:t>
            </w:r>
          </w:p>
        </w:tc>
        <w:tc>
          <w:tcPr>
            <w:tcW w:w="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9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260" w:hanging="4707"/>
        <w:spacing w:after="0" w:line="440" w:lineRule="auto"/>
        <w:tabs>
          <w:tab w:leader="none" w:pos="14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47% of intangible asset amortization is attributable to a noncontrolling interest. 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7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b w:val="1"/>
          <w:bCs w:val="1"/>
          <w:color w:val="auto"/>
        </w:rPr>
        <w:t>—</w:t>
      </w:r>
      <w:r>
        <w:rPr>
          <w:rFonts w:ascii="Arial" w:cs="Arial" w:eastAsia="Arial" w:hAnsi="Arial"/>
          <w:sz w:val="18"/>
          <w:szCs w:val="18"/>
          <w:color w:val="auto"/>
        </w:rPr>
        <w:t>Senior debt is comprised of the following as of September 30, 2010 and December 31,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Initial</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Annual</w:t>
            </w:r>
          </w:p>
        </w:tc>
        <w:tc>
          <w:tcPr>
            <w:tcW w:w="100" w:type="dxa"/>
            <w:vAlign w:val="bottom"/>
          </w:tcPr>
          <w:p>
            <w:pPr>
              <w:spacing w:after="0"/>
              <w:rPr>
                <w:sz w:val="14"/>
                <w:szCs w:val="14"/>
                <w:color w:val="auto"/>
              </w:rPr>
            </w:pPr>
          </w:p>
        </w:tc>
        <w:tc>
          <w:tcPr>
            <w:tcW w:w="2040" w:type="dxa"/>
            <w:vAlign w:val="bottom"/>
            <w:gridSpan w:val="5"/>
          </w:tcPr>
          <w:p>
            <w:pPr>
              <w:ind w:left="380"/>
              <w:spacing w:after="0"/>
              <w:rPr>
                <w:sz w:val="20"/>
                <w:szCs w:val="20"/>
                <w:color w:val="auto"/>
              </w:rPr>
            </w:pPr>
            <w:r>
              <w:rPr>
                <w:rFonts w:ascii="Arial" w:cs="Arial" w:eastAsia="Arial" w:hAnsi="Arial"/>
                <w:sz w:val="14"/>
                <w:szCs w:val="14"/>
                <w:b w:val="1"/>
                <w:bCs w:val="1"/>
                <w:color w:val="auto"/>
              </w:rPr>
              <w:t>Outstanding As Of</w:t>
            </w:r>
          </w:p>
        </w:tc>
      </w:tr>
      <w:tr>
        <w:trPr>
          <w:trHeight w:val="129"/>
        </w:trPr>
        <w:tc>
          <w:tcPr>
            <w:tcW w:w="11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7"/>
              </w:rPr>
              <w:t>Principal</w:t>
            </w:r>
          </w:p>
        </w:tc>
        <w:tc>
          <w:tcPr>
            <w:tcW w:w="10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9"/>
              </w:rPr>
              <w:t>Maturity</w:t>
            </w:r>
          </w:p>
        </w:tc>
        <w:tc>
          <w:tcPr>
            <w:tcW w:w="110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90"/>
              </w:rPr>
              <w:t>Interest</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7.125% Senior Notes (a)</w:t>
            </w:r>
          </w:p>
        </w:tc>
        <w:tc>
          <w:tcPr>
            <w:tcW w:w="2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$550,000</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5/15/15</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7.125%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Lazard Group 6.85% Senior Notes (b)</w:t>
            </w:r>
          </w:p>
        </w:tc>
        <w:tc>
          <w:tcPr>
            <w:tcW w:w="2760" w:type="dxa"/>
            <w:vAlign w:val="bottom"/>
            <w:gridSpan w:val="3"/>
          </w:tcPr>
          <w:p>
            <w:pPr>
              <w:jc w:val="right"/>
              <w:ind w:right="440"/>
              <w:spacing w:after="0"/>
              <w:rPr>
                <w:sz w:val="20"/>
                <w:szCs w:val="20"/>
                <w:color w:val="auto"/>
              </w:rPr>
            </w:pPr>
            <w:r>
              <w:rPr>
                <w:rFonts w:ascii="Arial" w:cs="Arial" w:eastAsia="Arial" w:hAnsi="Arial"/>
                <w:sz w:val="18"/>
                <w:szCs w:val="18"/>
                <w:color w:val="auto"/>
              </w:rPr>
              <w:t>600,000</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6/15/17</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4/29/13</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4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520" w:type="dxa"/>
            <w:vAlign w:val="bottom"/>
            <w:gridSpan w:val="2"/>
          </w:tcPr>
          <w:p>
            <w:pPr>
              <w:ind w:left="4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1,086,850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8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second quarter of 2010, the Company repurchased $10,000 principal amount of the 7.125% Senior Notes at a cost, excluding accrued interest, of $10,375 and, after the write-off of applicable unamortized debt issuance costs of $49, the Company recognized a pre-tax loss of $424.</w:t>
      </w:r>
    </w:p>
    <w:p>
      <w:pPr>
        <w:ind w:left="460" w:right="1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first quarter of 2009, the Company repurchased $900 principal amount of the 6.85% Senior Notes at a cost, excluding accrued interest, of $635 and, after the write-off of unamortized debt issuance costs of $7, recognized a pre-tax gain of $258.</w:t>
      </w:r>
    </w:p>
    <w:p>
      <w:pPr>
        <w:spacing w:after="0" w:line="12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September 30, 2010 and December 31, 2009 amounted to $150,000 at each date and represents a note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convertible into a maximum of 2,631,570 shares of Class A common stock at an effective conversion price of $57 per share. The note matures on September 30, 2016 and has a fixed interest rate of 3.25% per annum. One-third in principal amount became convertible on and after each of July 1, 2008, July 1, 2009 and July 1, 2010, and no principal amount is convertible after June 30, 2011. As of September 30, 2010, there have been no conversions of the note.</w:t>
      </w:r>
    </w:p>
    <w:p>
      <w:pPr>
        <w:spacing w:after="0" w:line="9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April 29, 2010, Lazard Group entered into a $150,000, three-year senior revolving credit facility with a group of lenders (the “Credit Facility”). The Credit Facility replaced the prior revolving credit facility, which was terminated as a condition to effectiveness of the Credit Facility. Interest rates under the Credit Facility vary and are based on either a Federal Funds rate or a Eurodollar rate, in each case plus an applicable margin. As of September 30, 2010, the annual interest rate for a loan accruing interest (based on the Federal Funds overnight rate), including the applicable margin, was 2.23%. The Credit Facility contains customary terms and conditions substantially similar to the prior revolving credit facility, including certain financial covenants. In addition, the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September 30, 2010, the Company was in compliance with all of these provisions. All of the Company’s senior and subordinated debt obligations are unsecured.</w:t>
      </w:r>
    </w:p>
    <w:p>
      <w:pPr>
        <w:spacing w:after="0" w:line="106"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As of September 30, 2010, the Company had approximately $235,000 in unused lines of credit available to it, including the Credit Facility and approximately $40,000 and $23,000 of unused lines of credit available to LFB and Edgewater, respectively. In addition, LFB has access to the Eurosystem Covered Bond Purchase Program of the Banque de France.</w:t>
      </w:r>
    </w:p>
    <w:p>
      <w:pPr>
        <w:spacing w:after="0" w:line="12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Company’s senior and subordinated debt are recorded at historical amounts. At September 30, 2010 and December 31, 2009, the fair value of the Company’s senior and subordinated debt was $1,294,732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820"/>
        <w:spacing w:after="0" w:line="259" w:lineRule="auto"/>
        <w:rPr>
          <w:sz w:val="20"/>
          <w:szCs w:val="20"/>
          <w:color w:val="auto"/>
        </w:rPr>
      </w:pPr>
      <w:r>
        <w:rPr>
          <w:rFonts w:ascii="Arial" w:cs="Arial" w:eastAsia="Arial" w:hAnsi="Arial"/>
          <w:sz w:val="18"/>
          <w:szCs w:val="18"/>
          <w:color w:val="auto"/>
        </w:rPr>
        <w:t>$1,255,254, respectively, and exceeded the aggregate carrying value by $67,882 and $18,404,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127"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Lazard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Lazard’s consolidated financial position, results of operations or cash flows.</w:t>
      </w:r>
    </w:p>
    <w:p>
      <w:pPr>
        <w:spacing w:after="0" w:line="12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2010, LFB had $6,807 of such indemnifications and held $5,337 of collateral/counter-guarantees to secure these commitments. The Company believes the likelihood of loss with respect to these indemnities is remote. Accordingly, no liability is recorded in the consolidated statement of financial condition.</w:t>
      </w:r>
    </w:p>
    <w:p>
      <w:pPr>
        <w:spacing w:after="0" w:line="13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Private Equity Funding Commitments</w:t>
      </w:r>
      <w:r>
        <w:rPr>
          <w:rFonts w:ascii="Arial" w:cs="Arial" w:eastAsia="Arial" w:hAnsi="Arial"/>
          <w:sz w:val="18"/>
          <w:szCs w:val="18"/>
          <w:color w:val="auto"/>
        </w:rPr>
        <w:t>—At September 30, 2010, the principal unfunded commitments by the Company for capital contributions to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investment funds related to CP II, in an amount not to exceed $6,694 for potential “follow-on investments” and/or for CP II expenses through the earlier of (i) February 25, 2017 or (ii) the liquidation of the fund.</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predominantly at variable interest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commitments at September 30, 2010 were $9,693. Such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3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See Notes 7, 8 and 14 of Notes to Condensed Consolidated Financial Statements for information regarding commitments relating to the LAM Merger, business acquisitions and obligations to fund our pension plans, respectively.</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the opinion of management, the consummation of such commitments will not have a material adverse effect on the Company’s consolidated financial position or results of operations.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September 30, 2010 and 2009, Lazard Group common membership interests held by subsidiaries of Lazard Ltd amounted to 91.5% and 74.5%, respectively, and by LAZ-MD Holdings amounted to 8.5% and 25.5%, respectively. Pursuant to provisions of its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 During the nine month periods ended September 30, 2010 and 2009, Lazard Group distributed $8,453 and $13,462, respectively, to LAZ-MD Holdings and $36,714 and $23,216, respectively, to the subsidiaries of Lazard Ltd, which latter amounts were used by Lazard Ltd to pay dividends to third-party stockholders of its Class A common stock. In addition, during the nine month period ended September 30, 2009, Lazard Group made tax distributions of $67,360, including $25,316 paid to LAZ-MD Holdings and $42,044 paid to subsidiaries of Lazard Ltd. During the nine month period ended September 30, 2010, Lazard Group made no such tax distributions.</w:t>
      </w:r>
    </w:p>
    <w:p>
      <w:pPr>
        <w:spacing w:after="0" w:line="10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b w:val="1"/>
          <w:bCs w:val="1"/>
          <w:i w:val="1"/>
          <w:iCs w:val="1"/>
          <w:color w:val="auto"/>
        </w:rPr>
        <w:t>Issuance of Class A Common Shares</w:t>
      </w:r>
      <w:r>
        <w:rPr>
          <w:rFonts w:ascii="Arial" w:cs="Arial" w:eastAsia="Arial" w:hAnsi="Arial"/>
          <w:sz w:val="18"/>
          <w:szCs w:val="18"/>
          <w:color w:val="auto"/>
        </w:rPr>
        <w:t>—During the first quarter of 2010, 3,000,000 shares of Class A common stock were newly issued by Lazard Ltd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Lazard Group in connection with the settlement of vested restricted stock unit grants (“RSUs”). Such shares were authorized as part of the 25,000,000 shares of Class A common stock that may be issued under the Lazard Ltd 2005 Equity Incentive Plan (the “2005 Plan”). In addition, during the third quarter of 2010, the Company issued an aggregate of 888,605 shares of Class A common stock in connection with the GAHL and CWC acquisitions (see Note 8 of Notes to Condensed Consolidated Financial Statements).</w:t>
      </w:r>
    </w:p>
    <w:p>
      <w:pPr>
        <w:spacing w:after="0" w:line="1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color w:val="auto"/>
        </w:rPr>
        <w:t>—In March 2010, pursuant to a Prospectus Supplement dated March 16, 2010, certain selling shareholders of Lazard Ltd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current and former managing directors of Lazard and a former executive officer) and their permitted transferees,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August 2010, pursuant to a Prospectus Supplement dated August 3, 2010, certain selling shareholders of Lazard Ltd (which include current and former managing directors of Lazard) and their permitted transferees (the “August 2010 Selling Shareholders”) sold 7,397,837 shares of Class A common stock at a price of $30.32 per share (the “August 2010 Secondary Offering”, and together with the March 2010 Secondary Offering, the “2010 Secondary Offerings”). Separately, in connection with the August 2010 Secondary Offering, Lazard Group agreed to purchase from the August 2010 Selling Shareholders 2,500,000 shares of Class A common stock for an aggregate cost of $75,800 ($30.32 per share), with such purchase being part of the share repurchase program in effect during 2010. In the aggregate, the August 2010 Selling Shareholders sold a total of 9,897,837 shares of Class A common stock (including 7,194,144 shares of Class A common stock previously received upon the exchange of a like number of LAZ-MD Holdings exchangeable interests and 2,703,693 shares of Class A common stock received upon a simultaneous exchange of a like number of LAZ-MD Holdings exchangeable interests).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June 2009, pursuant to a Prospectus Supplement dated June 2, 2009, certain selling shareholders of Lazard Ltd (which include current and former managing directors of Lazard (including certain of our executive officers)) and their permitted transferees (the “June 2009 Selling Shareholders”) sold 4,000,000 shares of Class A common stock at a price of $26.00 per share (the “June 2009 Secondary Offering”). Separately, in connection with the June 2009 Secondary Offering, Lazard Group agreed to purchase from the June 2009 Selling Shareholders 1,700,000 shares of Class A common stock for an aggregate cost of $44,200 ($26.00 per share), with such purchase being part of the share repurchase program in effect during 2009. In the aggregate, the June 2009 Selling Shareholders sold a total of 5,700,000 shares of Class A common stock (including 2,110,754 shares of Class A common stock previously received upon the exchange of a like number of LAZ-MD Holdings exchangeable interests and 3,589,246 shares of Class A common stock received upon a simultaneous exchange of a like number of LAZ-MD Holdings exchangeable interests).</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September 2009, pursuant to a Prospectus Supplement dated September 8, 2009, certain selling shareholders of Lazard Ltd (which include current and former managing directors of Lazard (including certain of our executive officers)) and their permitted transferees (the “September 2009 Selling Shareholders”) sold 5,215,921 shares of Class A common stock (including 2,411,001 shares of Class A common stock previously received upon the exchange of a like number of LAZ-MD Holdings exchangeable interests and 2,804,920 shares of Class A common stock received upon a simultaneous exchange of a like number of LAZ-MD Holdings exchangeable interests) at a price of $37.00 per share (the “September 2009 Secondary Offering”, and together with the June 2009 Secondary Offering, the “2009 Secondary Offerings”).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Ltd did not receive any net proceeds from the sales of Class A common stock from the 2010 Secondary Offerings or the 2009 Secondary Offerings.</w:t>
      </w:r>
    </w:p>
    <w:p>
      <w:pPr>
        <w:spacing w:after="0" w:line="18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Exchanges of Lazard Group Common Membership Interests</w:t>
      </w:r>
      <w:r>
        <w:rPr>
          <w:rFonts w:ascii="Arial" w:cs="Arial" w:eastAsia="Arial" w:hAnsi="Arial"/>
          <w:sz w:val="16"/>
          <w:szCs w:val="16"/>
          <w:color w:val="auto"/>
        </w:rPr>
        <w:t>—In addition to the simultaneous exchanges that occurred in connection with the secondary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offerings discussed above, during the nine month periods ended September 30, 2010 and 2009, Lazard Ltd issued 11,665,618 and 7,512,974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—On January 27, 2010, the Board of Directors of Lazard Ltd authorized, on a cumulative basis, the repurchase of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$200,000 in aggregate cost of its Class A common stock and Lazard Group common membership interests through December 31, 2011. The Company expects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that the share repurchase program, with respect to the Class A common stock, will continue to be used primarily to offset a portion of the shares that have been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will be issued under the 2005 Plan and the Lazard Ltd 2008 Incentive Compensation Plan (the “2008 Plan”). The Company’s prior share repurchase program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expired on December 31, 2009, with $62,542 of the initial $500,000 repurchase authorization unused. Pursuant to such authorizations, purchases have been made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the open market or through privately negotiated transactions, and since inception of the program in February 2006 through September 30, 2010, Lazard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purchased an aggregate of 15,552,945 shares of Class A common stock at an average price of $32.54 per share, and an aggregate of 1,323,961 Lazard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membership interests at an average price of $32.29 per common membership interest. As a result of (i) Lazard Group’s delivery of shares of Class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for the settlement of vested RSUs and deferred stock unit grants (“DSUs”) during the three year period ended December 31, 2009 and the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period ended September 30, 2010, (ii) the incentive plan share award of shares of restricted Class A common stock granted during the second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2010, and (iii) the issuance of shares of restricted Class A common stock 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exchange for RSUs during the third quarter of 2010, there were 5,865,580 and 5,850,775 shares of Class A common stock held by Lazard Group at September 30, 2010 and December 31, 2009, respectively. Such Class A common shares are reported, at cost, as a reduction of members’ equity within the condensed consolidated statements of financial condition.</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 of September 30, 2010, $88,612 of the $200,000 share repurchase authorization remained available under the share repurchase program. In addition, under the terms of the 2005 Plan and the 2008 Plan, upon the vesting of RSUs, shares of Class A common stock may be withheld by the Company to cover estimated income taxes. During the nine month period ended September 30, 2010, the Company withheld 1,602,999 shares to cover estimated taxes upon the vesting of 7,938,606 RSUs (see Note 13 of Notes to Condensed Consolidated Financial Statements).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Accumulated Other Comprehensive Income (Loss), Net of Tax</w:t>
      </w:r>
      <w:r>
        <w:rPr>
          <w:rFonts w:ascii="Arial" w:cs="Arial" w:eastAsia="Arial" w:hAnsi="Arial"/>
          <w:sz w:val="15"/>
          <w:szCs w:val="15"/>
          <w:color w:val="auto"/>
        </w:rPr>
        <w:t>—The components of AOCI at September 30, 2010 and December 31, 2009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Interest rate hedge</w:t>
            </w: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(4,875)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(7,556)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Employee benefit plans</w:t>
            </w: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(81,664)</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AOCI</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(62,326)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Lazard Group AOCI</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(62,586)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in various LAM-related GP interests and Edgewater’s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vehicles that the Company is deemed to control but does not own.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net income (loss) attributable to noncontrolling interests for the three month and nine month periods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2010 and 2009 and noncontrolling interests as of September 30, 2010 and December 31, 2009 in the Company’s condensed consolidated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9"/>
          </w:tcPr>
          <w:p>
            <w:pPr>
              <w:jc w:val="center"/>
              <w:spacing w:after="0"/>
              <w:rPr>
                <w:sz w:val="20"/>
                <w:szCs w:val="20"/>
                <w:color w:val="auto"/>
              </w:rPr>
            </w:pPr>
            <w:r>
              <w:rPr>
                <w:rFonts w:ascii="Arial" w:cs="Arial" w:eastAsia="Arial" w:hAnsi="Arial"/>
                <w:sz w:val="14"/>
                <w:szCs w:val="14"/>
                <w:b w:val="1"/>
                <w:bCs w:val="1"/>
                <w:color w:val="auto"/>
                <w:w w:val="88"/>
              </w:rPr>
              <w:t>Net Income (Loss) Attributable To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center"/>
              <w:ind w:right="212"/>
              <w:spacing w:after="0"/>
              <w:rPr>
                <w:sz w:val="20"/>
                <w:szCs w:val="20"/>
                <w:color w:val="auto"/>
              </w:rPr>
            </w:pPr>
            <w:r>
              <w:rPr>
                <w:rFonts w:ascii="Arial" w:cs="Arial" w:eastAsia="Arial" w:hAnsi="Arial"/>
                <w:sz w:val="14"/>
                <w:szCs w:val="14"/>
                <w:b w:val="1"/>
                <w:bCs w:val="1"/>
                <w:color w:val="auto"/>
                <w:w w:val="86"/>
              </w:rPr>
              <w:t>Noncontrolling Interests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8"/>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500" w:type="dxa"/>
            <w:vAlign w:val="bottom"/>
          </w:tcPr>
          <w:p>
            <w:pPr>
              <w:spacing w:after="0"/>
              <w:rPr>
                <w:sz w:val="12"/>
                <w:szCs w:val="12"/>
                <w:color w:val="auto"/>
              </w:rPr>
            </w:pPr>
          </w:p>
        </w:tc>
        <w:tc>
          <w:tcPr>
            <w:tcW w:w="5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85"/>
              </w:rPr>
              <w:t>September 30,</w:t>
            </w:r>
          </w:p>
        </w:tc>
        <w:tc>
          <w:tcPr>
            <w:tcW w:w="15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2010</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LAM GPs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1,184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Edgewater</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(366)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845</w:t>
            </w: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(403)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vMerge w:val="continue"/>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2,030</w:t>
            </w: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8"/>
          </w:tcPr>
          <w:p>
            <w:pPr>
              <w:jc w:val="center"/>
              <w:ind w:left="236"/>
              <w:spacing w:after="0"/>
              <w:rPr>
                <w:sz w:val="20"/>
                <w:szCs w:val="20"/>
                <w:color w:val="auto"/>
              </w:rPr>
            </w:pPr>
            <w:r>
              <w:rPr>
                <w:rFonts w:ascii="Arial" w:cs="Arial" w:eastAsia="Arial" w:hAnsi="Arial"/>
                <w:sz w:val="14"/>
                <w:szCs w:val="14"/>
                <w:b w:val="1"/>
                <w:bCs w:val="1"/>
                <w:color w:val="auto"/>
                <w:w w:val="86"/>
              </w:rPr>
              <w:t>Noncontrolling Interests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right="212"/>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LAM GPs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Edgewater</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112,932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112,158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121,783</w:t>
            </w:r>
          </w:p>
        </w:tc>
        <w:tc>
          <w:tcPr>
            <w:tcW w:w="40" w:type="dxa"/>
            <w:vAlign w:val="bottom"/>
          </w:tcPr>
          <w:p>
            <w:pPr>
              <w:spacing w:after="0"/>
              <w:rPr>
                <w:sz w:val="19"/>
                <w:szCs w:val="19"/>
                <w:color w:val="auto"/>
              </w:rPr>
            </w:pPr>
          </w:p>
        </w:tc>
        <w:tc>
          <w:tcPr>
            <w:tcW w:w="8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127,560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Compensation Awards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nine month periods ended September 30, 2010 and 2009,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RSUs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Expense relating to RSUs is charged to “compensation and benefits” expense (and, as applicable, in “restructuring” expense, with respect to the expense associated with the acceleration of unrecognized expense pertaining to RSUs granted previously to individuals who were terminated in the restructuring programs during 2009 and 2010) as follows within the Company’s condensed consolidated statements of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223"/>
        </w:trPr>
        <w:tc>
          <w:tcPr>
            <w:tcW w:w="11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20" w:type="dxa"/>
            <w:vAlign w:val="bottom"/>
            <w:tcBorders>
              <w:top w:val="single" w:sz="8" w:color="auto"/>
            </w:tcBorders>
            <w:gridSpan w:val="2"/>
          </w:tcPr>
          <w:p>
            <w:pPr>
              <w:jc w:val="center"/>
              <w:ind w:left="339"/>
              <w:spacing w:after="0"/>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9"/>
                <w:szCs w:val="19"/>
                <w:color w:val="auto"/>
              </w:rPr>
            </w:pPr>
          </w:p>
        </w:tc>
      </w:tr>
      <w:tr>
        <w:trPr>
          <w:trHeight w:val="201"/>
        </w:trPr>
        <w:tc>
          <w:tcPr>
            <w:tcW w:w="7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Compensation and benefits (including $24,860 in the nine month period ended September 30, 2010</w:t>
            </w: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relating to the amendment of the Company’s retirement policy(a))</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$46,814</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$63,392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$201,157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$191,951</w:t>
            </w:r>
          </w:p>
        </w:tc>
        <w:tc>
          <w:tcPr>
            <w:tcW w:w="100" w:type="dxa"/>
            <w:vAlign w:val="bottom"/>
            <w:shd w:val="clear" w:color="auto" w:fill="CCEEFF"/>
          </w:tcPr>
          <w:p>
            <w:pPr>
              <w:spacing w:after="0"/>
              <w:rPr>
                <w:sz w:val="19"/>
                <w:szCs w:val="19"/>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58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24,239</w:t>
            </w:r>
          </w:p>
        </w:tc>
        <w:tc>
          <w:tcPr>
            <w:tcW w:w="100" w:type="dxa"/>
            <w:vAlign w:val="bottom"/>
          </w:tcPr>
          <w:p>
            <w:pPr>
              <w:spacing w:after="0"/>
              <w:rPr>
                <w:sz w:val="19"/>
                <w:szCs w:val="19"/>
                <w:color w:val="auto"/>
              </w:rPr>
            </w:pPr>
          </w:p>
        </w:tc>
      </w:tr>
      <w:tr>
        <w:trPr>
          <w:trHeight w:val="216"/>
        </w:trPr>
        <w:tc>
          <w:tcPr>
            <w:tcW w:w="7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46,814</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63,392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248,037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216,190</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described below, the Company amended its retirement policy during the first quarter of 2010 to modify the retirement eligibility vesting requirement with respect to RSU awards.</w:t>
      </w:r>
    </w:p>
    <w:p>
      <w:pPr>
        <w:spacing w:after="0" w:line="11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nine month periods ended September 30, 2010 and 2009, dividend participation rights required the issuance of 244,754 and 249,048 RSUs, respectively.</w:t>
      </w:r>
    </w:p>
    <w:p>
      <w:pPr>
        <w:spacing w:after="0" w:line="9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first quarter of 2010 relating to prior years’ awards.</w:t>
      </w:r>
    </w:p>
    <w:p>
      <w:pPr>
        <w:spacing w:after="0" w:line="13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Non-executive members of the Board of Directors of Lazard Group (who are the same Non-Executive Directors of Lazard Ltd) receive approximately 55% of their annual compensation for service on the Board of Directors and its committees in the form of DSUs which resulted in 31,588 and 36,627 DSUs granted during the nine month periods ended September 30, 2010 and 2009,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nine month periods ended September 30, 2010 and 2009. DSU awards are expensed at their fair value on their date of grant, which, inclusive of amounts related to the Directors’ Fee Deferral Unit Plan, totaled $28 and $586 during the three month and nine month periods ended September 30, 2010, respectively, and $79 and $620 during the three month and nine month periods ended September 30, 2009,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nine month periods ended September 30, 2010 and 2009, 5,912 and 6,963 DSUs, respectively, had been granted pursuant such Plan.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2010 and 2009:</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Average</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2"/>
              </w:rPr>
              <w:t>Grant Date</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23,367,813</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103,146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 (including 244,754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7,730,444</w:t>
            </w:r>
          </w:p>
        </w:tc>
        <w:tc>
          <w:tcPr>
            <w:tcW w:w="3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3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(726,948)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Vested/Converted/Exchanged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(7,979,501)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39.86</w:t>
            </w:r>
          </w:p>
        </w:tc>
        <w:tc>
          <w:tcPr>
            <w:tcW w:w="1380" w:type="dxa"/>
            <w:vAlign w:val="bottom"/>
            <w:gridSpan w:val="3"/>
          </w:tcPr>
          <w:p>
            <w:pPr>
              <w:jc w:val="right"/>
              <w:ind w:right="252"/>
              <w:spacing w:after="0"/>
              <w:rPr>
                <w:sz w:val="20"/>
                <w:szCs w:val="20"/>
                <w:color w:val="auto"/>
              </w:rPr>
            </w:pPr>
            <w:r>
              <w:rPr>
                <w:rFonts w:ascii="Arial" w:cs="Arial" w:eastAsia="Arial" w:hAnsi="Arial"/>
                <w:sz w:val="18"/>
                <w:szCs w:val="18"/>
                <w:color w:val="auto"/>
              </w:rPr>
              <w:t>(20,435)</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22,391,808</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120,211</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Average</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2"/>
              </w:rPr>
              <w:t>Grant Date</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22,141,468</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 (including 249,048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7,504,232</w:t>
            </w:r>
          </w:p>
        </w:tc>
        <w:tc>
          <w:tcPr>
            <w:tcW w:w="3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43,590</w:t>
            </w:r>
          </w:p>
        </w:tc>
        <w:tc>
          <w:tcPr>
            <w:tcW w:w="3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(805,721)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(1,446,827)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38.81</w:t>
            </w:r>
          </w:p>
        </w:tc>
        <w:tc>
          <w:tcPr>
            <w:tcW w:w="380" w:type="dxa"/>
            <w:vAlign w:val="bottom"/>
          </w:tcPr>
          <w:p>
            <w:pPr>
              <w:spacing w:after="0"/>
              <w:rPr>
                <w:sz w:val="19"/>
                <w:szCs w:val="19"/>
                <w:color w:val="auto"/>
              </w:rPr>
            </w:pP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27,393,152</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108,846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connection with the vested RSUs above, and after considering the withholding tax obligations pertaining thereto, 6,335,607 and 1,030,960 shares of Class A common stock held by Lazard Group were delivered during the nine month periods ended September 30, 2010 and 2009, respectively.</w:t>
      </w:r>
    </w:p>
    <w:p>
      <w:pPr>
        <w:spacing w:after="0" w:line="7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September 30, 2010, unrecognized RSU compensation expense, adjusted for estimated forfeitures, was approximately $286,000, with such unrecognized compensation expense expected to be recognized over a weighted average period of approximately 1.6 years subsequent to September 30, 2010.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second quarter of 2010, 54,437 shares of restricted Class A common stock were awarded under the 2008 Plan at a grant date fair value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$38.78 per share. Such award will vest and will no longer be subject to any restrictions on August 31, 2012. The aggregate grant date fair value of the award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being amortized over the vesting period.</w:t>
      </w:r>
    </w:p>
    <w:p>
      <w:pPr>
        <w:spacing w:after="0" w:line="15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During the third quarter of 2010, 40,895 shares of restricted Class A common stock were issued in exchange for 40,895 RSUs previously granted on February 11, 2010 at a grant date fair value of $36.10 per share. The vesting terms of such restricted Class A common stock issued are the same as that of the original award exchanged. There was no incremental compensation cost incurred as a result of the exchange.</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September 30, 2010, unrecognized restricted stock expense was approximately $2,500, with such unrecognized compensation expense to be recognized over a weighted average period of approximately 2.0 years.</w:t>
      </w:r>
    </w:p>
    <w:p>
      <w:pPr>
        <w:spacing w:after="0" w:line="118"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Expense relating to such restricted stock awards is charged to “compensation and benefits” expense within the Company’s condensed consolidated statements of operations, and amounted to $483 and $643 for the three month and nine month periods ended September 30, 2010, respectively. The awards include a cash dividend participation right equivalent to any ordinary quarterly dividends paid on Class A common stock during the period, which will vest concurrently with the underlying restricted stock award.</w:t>
      </w:r>
    </w:p>
    <w:p>
      <w:pPr>
        <w:spacing w:after="0" w:line="13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 related to the Company’s employee benefit plans are included in “compensation and benefits” expense on the consolidated statements of operations. The Company uses December 31 as the measurement date for its employee benefit plans.</w:t>
      </w:r>
    </w:p>
    <w:p>
      <w:pPr>
        <w:spacing w:after="0" w:line="13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In accordance with agreements reached with the Trustees of certain non-U.S. pension plans in 2005,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obligated to make further contributions to such pension plans based upon the cumulative performance of the plans’ assets against specific benchmarks as measured on June 1, 2009 (the “measurement date”) and subsequently remeasured on June 1, 2010 (the “remeasurement date”). As of September 30, 2010, the remaining obligation related to the cumulative underperformance of the plans’ assets (the “underperformance obligation”) was approximately 3.7 million British pounds ($5,868 at September 30, 2010 exchange rates) which is payable in equal monthly installments through May 2013.</w:t>
      </w:r>
    </w:p>
    <w:p>
      <w:pPr>
        <w:spacing w:after="0" w:line="10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addition, on June 30, 2009 the Company and Trustees concluded the December 31, 2007 triennial valuation of the non-U.S. pension plans discussed above, pursuant to which: (i) the Company agreed to contribute, in addition to amounts to cover administrative expenses under the plans, 2.3 million British pounds ($3,650 at September 30, 2010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 12.5 million British pounds, with a final redemption date of December 31, 2018. This amount is subject to adjustment based on the results of the December 31, 2010 triennial valuation and subsequent triennial valuations. The escrow balance has been recorded in “cash deposited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with clearing organizations and other segregated cash” and “investments: debt-other” in the amounts of 6.25 million British pounds and 6.25 million British pounds, respectively, at each of September 30, 2010 and December 31, 2009 ($9,919 and $9,919 at September 30, 2010 exchange rates and $10,138 and $10,138 at December 31, 2009 exchange rates), respectively, on the accompanying condensed consolidated statements of financial condition. Income on the escrow balance accretes to the Company and is recorded in interest income.</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the nine month period ended September 30, 2010, the Company contributed approximately $2,900 primarily with respect to the underperformance obligation discussed above, and during such period there were no other contributions made to other pension plans.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total benefit cost (credit) for the three month and nine month periods ended September 30, 2010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Post-Retirement</w:t>
            </w:r>
          </w:p>
        </w:tc>
      </w:t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92"/>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Medical Plans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Three Months</w:t>
            </w:r>
          </w:p>
        </w:tc>
        <w:tc>
          <w:tcPr>
            <w:tcW w:w="60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Ended</w:t>
            </w:r>
          </w:p>
        </w:tc>
        <w:tc>
          <w:tcPr>
            <w:tcW w:w="11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2010</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6,921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(7,372)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w w:val="87"/>
              </w:rPr>
              <w:t>(6,922)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(463)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Post-Retirement</w:t>
            </w:r>
          </w:p>
        </w:tc>
      </w:t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712"/>
              <w:spacing w:after="0"/>
              <w:rPr>
                <w:sz w:val="20"/>
                <w:szCs w:val="20"/>
                <w:color w:val="auto"/>
              </w:rPr>
            </w:pPr>
            <w:r>
              <w:rPr>
                <w:rFonts w:ascii="Arial" w:cs="Arial" w:eastAsia="Arial" w:hAnsi="Arial"/>
                <w:sz w:val="14"/>
                <w:szCs w:val="14"/>
                <w:b w:val="1"/>
                <w:bCs w:val="1"/>
                <w:color w:val="auto"/>
              </w:rPr>
              <w:t>Pension Plans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Medical Plans</w:t>
            </w:r>
          </w:p>
        </w:tc>
      </w:tr>
      <w:tr>
        <w:trPr>
          <w:trHeight w:val="142"/>
        </w:trPr>
        <w:tc>
          <w:tcPr>
            <w:tcW w:w="7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3"/>
          </w:tcPr>
          <w:p>
            <w:pPr>
              <w:jc w:val="right"/>
              <w:ind w:right="15"/>
              <w:spacing w:after="0" w:line="142" w:lineRule="exact"/>
              <w:rPr>
                <w:sz w:val="20"/>
                <w:szCs w:val="20"/>
                <w:color w:val="auto"/>
              </w:rPr>
            </w:pPr>
            <w:r>
              <w:rPr>
                <w:rFonts w:ascii="Arial" w:cs="Arial" w:eastAsia="Arial" w:hAnsi="Arial"/>
                <w:sz w:val="14"/>
                <w:szCs w:val="14"/>
                <w:b w:val="1"/>
                <w:bCs w:val="1"/>
                <w:color w:val="auto"/>
              </w:rPr>
              <w:t>Nine Months</w:t>
            </w: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Ended</w:t>
            </w:r>
          </w:p>
        </w:tc>
        <w:tc>
          <w:tcPr>
            <w:tcW w:w="8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20,708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8"/>
              </w:rPr>
              <w:t>17,652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(21,801)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w w:val="89"/>
              </w:rPr>
              <w:t>(19,622)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(1,036)</w:t>
            </w: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2,037</w:t>
            </w:r>
          </w:p>
        </w:tc>
        <w:tc>
          <w:tcPr>
            <w:tcW w:w="1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(1,307)</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(744)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PLANS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each of the first quarters of 2010 and 2009, the Company announced a restructuring plan which included certain staff reductions and realignments of personnel (the “2010 Restructuring Plan” and the “2009 Restructuring Plan”, respectively, and collectively the “2010 and 2009 Restructuring Plans”). In connection with the 2010 Restructuring Plan, the Company recorded a pre-tax charge in the first quarter of 2010 of $87,108, inclusive of $46,880 relating to the acceleration of RSUs (in aggregate, the “2010 Restructuring Charge”), with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charge partially offset by an associated income tax benefit of $5,680, and, in connection with the 2009 Restructuring Plan, the Company recorded a charge in the first quarter of 2009 of $62,550, inclusive of $24,239 relating to the acceleration of RSUs (in aggregate, the “2009 Restructuring Charge”), with this charge partially offset by an associated income tax benefit of $6,401 (collectively, the “2010 and 2009 Restructuring Charges”).</w:t>
      </w:r>
    </w:p>
    <w:p>
      <w:pPr>
        <w:spacing w:after="0" w:line="9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2010 and 2009 Restructuring Charges primarily consisted of compensation-related expenses, including the acceleration of unrecognized expenses pertaining to RSUs previously granted to individuals who were terminated pursuant to the restructuring, severance and benefit payments and other costs. As of September 30, 2010, the remaining liability associated with the 2010 Restructuring Plan was $21,561 and, as of September 30, 2010 and December 31, 2009, the remaining liability associated with the 2009 Restructuring Plan was $5,579 and $11,500, respectively. During the nine month period ended September 30, 2010, other than cash payments of $18,667 and $5,921 for the 2010 Restructuring Plan and the 2009 Restructuring Plan, respectively, there were no adjustments to the amounts relating to the 2010 and 2009 Restructuring Plans. Liabilities relating to the 2010 and 2009 Restructuring Plans are reported within “accrued compensation and benefits” and “other liabilities” on the accompanying condensed consolidated statements of financial condition.</w:t>
      </w:r>
    </w:p>
    <w:p>
      <w:pPr>
        <w:spacing w:after="0" w:line="10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Company recorded income tax provisions of $10,195 and $28,775 for the three month and nine month periods ended September 30, 2010, respectively, and $21,286 and $29,951 for the three month and nine month periods ended September 30, 2009, respectively, representing effective tax rates of 12.9%, 25.7%, 29.1% and 74.2%, respectively. Excluding (i) the income tax benefits for the nine month period ended September 30, 2010 of $5,680 related to the 2010 Restructuring Charge and $1,363 related to the charge incurred in connection with the amendment of Lazard’s retirement policy with respect to RSU awards, and</w:t>
      </w:r>
    </w:p>
    <w:p>
      <w:pPr>
        <w:spacing w:after="0" w:line="3" w:lineRule="exact"/>
        <w:rPr>
          <w:sz w:val="20"/>
          <w:szCs w:val="20"/>
          <w:color w:val="auto"/>
        </w:rPr>
      </w:pPr>
    </w:p>
    <w:p>
      <w:pPr>
        <w:ind w:right="260" w:firstLine="8"/>
        <w:spacing w:after="0" w:line="253" w:lineRule="auto"/>
        <w:tabs>
          <w:tab w:leader="none" w:pos="2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income tax benefit of $6,401 related to the 2009 Restructuring Charge, the Company had income tax provisions of $10,195 and $35,818 for the three month and nine month periods ended September 30, 2010, respectively, and $21,286 and $36,352 for the three month and nine month periods ended September 30, 2009, respectively, representing effective tax rates of 12.9%, 16.0%, 29.1% and 35.3%, respectively. The effective tax rates herein for the nine month period ended September 30, 2010 reflect a benefit from reductions in unrecognized tax benefits of $6,629 relating to settlements with taxing authorities and other adjustments pertaining to certain prior years.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a portion of Lazard Group’s income is subject to U.S. federal income taxes, the principal difference between the U.S. federal statutory tax rate of 35.0% and Lazard Group’s effective tax rates described above is due to Lazard Group primarily operating in the U.S. as a limited liability company that is treated as a partnership for U.S. federal income tax purposes. As a result, Lazard Group’s income from its U.S. operations is generally not subject to U.S. federal income taxes, because taxes associated with such income represent obligations of the individual partners. Lazard Group, however,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as of September 30, 2010 and December 31, 2009 are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September 30,</w:t>
            </w:r>
          </w:p>
        </w:tc>
        <w:tc>
          <w:tcPr>
            <w:tcW w:w="6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8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LFCM Holdings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5,818</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82,656</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242,272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240,518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80" w:type="dxa"/>
            <w:vAlign w:val="bottom"/>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242,836</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242,284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240" w:firstLine="456"/>
        <w:spacing w:after="0" w:line="312" w:lineRule="auto"/>
        <w:rPr>
          <w:sz w:val="20"/>
          <w:szCs w:val="20"/>
          <w:color w:val="auto"/>
        </w:rPr>
      </w:pPr>
      <w:r>
        <w:rPr>
          <w:rFonts w:ascii="Arial" w:cs="Arial" w:eastAsia="Arial" w:hAnsi="Arial"/>
          <w:sz w:val="15"/>
          <w:szCs w:val="15"/>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our executive officers) who are also members of LAZ-MD Holdings. In addition to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Certain of these agreements are described in more detail in the Company’s Form 10-K.</w:t>
      </w:r>
    </w:p>
    <w:p>
      <w:pPr>
        <w:spacing w:after="0" w:line="9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For the three month and nine month periods ended September 30, 2010, amounts recorded by Lazard Group relating to the administrative services agreement amounted to $557 and $1,616, respectively, and net referral fees for underwriting, private placement, M&amp;A and restructuring transactions under the business alliance agreement amounted to $2,779 and $9,508, respectively. For the three month and nine month periods ended September 30, 2009, amounts recorded by Lazard Group relating to the administrative services agreement amounted to $1,287 and $3,779, respectively, and net referral fees for underwriting, private placement, M&amp;A and restructuring transactions under the business alliance agreement amounted to $3,077 and $9,665,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Receivables from LFCM Holdings and its subsidiaries as of September 30, 2010 and December 31, 2009 primarily include $890 and $5,891, respectively, related to administrative and support services and reimbursement of expenses incurred on behalf of LFCM Holdings and $4,530 and $6,202, respectively, related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referral fees for underwriting and private placement transactions. Payables to LFCM Holdings and its subsidiaries at December 31, 2009 relate primarily to referral fees for Financial Advisory transactions.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Lazard Group’s receivables from subsidiaries of Lazard Ltd at September 30, 2010 and December 31, 2009 include interest-bearing loans of $75,748 and $29,732, respectively, including accrued interest thereon. Interest income relating to interest-bearing loans with subsidiaries of Lazard Ltd amounted to $534 and $2,186 for the three month and nine month periods ended September 30, 2010, respectively, and $1,023 and $3,880 for the three month and nine month periods ended September 30, 2009, respectively.</w:t>
      </w:r>
    </w:p>
    <w:p>
      <w:pPr>
        <w:spacing w:after="0" w:line="13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As of both September 30, 2010 and December 31, 2009, Lazard Group’s payables to subsidiaries of Lazard Ltd included $64,305 related to the LAM Merger (see Note 7 of Notes to Condensed Consolidated Financial Statements), as well as payables at September 30, 2010 and December 31, 2009 aggregating $19,016 and $39,820, respectively, in connection with Lazard Group’s acquisition of GAHL and Edgewater’s management vehicles, and with respect to Lazard Ltd’s acquisition of CWC and subsequent contribution of CWC to Lazard Group (see Note 8 of Notes to Condensed Consolidated Financial Statements). In addition, as of September 30, 2010 and December 31, 2009, Lazard Group’s payables to subsidiaries of Lazard Ltd include interest-bearing loans, plus accrued interest thereon, of $158,790 and $136,329, respectively. Interest expense relating to interest-bearing loans with subsidiaries of Lazard Ltd amounted to $1,211 and $3,416 for the three month and nine month periods ended September 30,2010, respectively, and $1,428 and $4,915 for the three month and nine month periods ended September 30, 2009, respectively.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and nine month periods ended September 30, 2010, such charges amounted to $188 and $563, respectively. For the three month and nine month periods ended September 30, 2009, such charges amounted to $188 and $563, respectively.</w:t>
      </w:r>
    </w:p>
    <w:p>
      <w:pPr>
        <w:spacing w:after="0" w:line="12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Securities Exchange Act of 1934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September 30, 2010, LFNY’s regulatory net capital was $130,748, which exceeded the minimum requirement by $123,348.</w:t>
      </w:r>
    </w:p>
    <w:p>
      <w:pPr>
        <w:spacing w:after="0" w:line="129"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September 30, 2010, the aggregate regulatory net capital of the U.K. Subsidiaries was $147,248, which exceeded the minimum requirement by $103,865.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September 30, 2010, the consolidated regulatory net capital of CFLF was $199,284, which exceeded the minimum requirement set for regulatory capital levels by $99,414.</w:t>
      </w:r>
    </w:p>
    <w:p>
      <w:pPr>
        <w:spacing w:after="0" w:line="9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2010, for those subsidiaries with regulatory capital requirements, their aggregate net capital was $91,255, which exceeded the minimum required capital by $68,349.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2010, each of these subsidiaries individually was in compliance with its regulatory capital requirements.</w:t>
      </w:r>
    </w:p>
    <w:p>
      <w:pPr>
        <w:spacing w:after="0" w:line="158" w:lineRule="exact"/>
        <w:rPr>
          <w:sz w:val="20"/>
          <w:szCs w:val="20"/>
          <w:color w:val="auto"/>
        </w:rPr>
      </w:pPr>
    </w:p>
    <w:p>
      <w:pPr>
        <w:jc w:val="both"/>
        <w:ind w:right="240" w:firstLine="456"/>
        <w:spacing w:after="0" w:line="294" w:lineRule="auto"/>
        <w:rPr>
          <w:sz w:val="20"/>
          <w:szCs w:val="20"/>
          <w:color w:val="auto"/>
        </w:rPr>
      </w:pPr>
      <w:r>
        <w:rPr>
          <w:rFonts w:ascii="Arial" w:cs="Arial" w:eastAsia="Arial" w:hAnsi="Arial"/>
          <w:sz w:val="16"/>
          <w:szCs w:val="16"/>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However, the Dodd-Frank Wall Street Reform and Consumer Protection Act (the “Dodd-Frank Act”), which was signed into law on July 21, 2010, provides for the eventual elimination of the SEC’s SIBHC program. The Dodd-Frank Act also allows entities seeking consolidated supervision to elect to be regulated by the Federal Reserve. The Dodd-Frank Act could have other impacts on us, which we are currently in the process of examining, including the impact of the elimination of the SIBHC program.</w:t>
      </w:r>
    </w:p>
    <w:p>
      <w:pPr>
        <w:spacing w:after="0" w:line="10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Financial Advisory (which includes providing general strategic and transaction-specific advice on M&amp;A and other strategic matters, restructurings, capital structure, capital raising and various other corporate finance matters),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Company’s segment information for the three month and nine month periods ended September 30, 2010 and 2009 is prepared using the following methodology:</w:t>
      </w:r>
    </w:p>
    <w:p>
      <w:pPr>
        <w:spacing w:after="0" w:line="37"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254,012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259,221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768,481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215,838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212,543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667,538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100,943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5560" w:type="dxa"/>
            <w:vAlign w:val="bottom"/>
          </w:tcPr>
          <w:p>
            <w:pPr>
              <w:ind w:left="42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210,132</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160,744</w:t>
            </w:r>
          </w:p>
        </w:tc>
        <w:tc>
          <w:tcPr>
            <w:tcW w:w="3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587,299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393,810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150,515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117,728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416,841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Operating Income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59,617</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43,016</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170,458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81,669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8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(11,603)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112,857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Loss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(18,873)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(16,524)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(159,341)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(119,865)</w:t>
            </w:r>
          </w:p>
        </w:tc>
        <w:tc>
          <w:tcPr>
            <w:tcW w:w="0" w:type="dxa"/>
            <w:vAlign w:val="bottom"/>
          </w:tcPr>
          <w:p>
            <w:pPr>
              <w:spacing w:after="0"/>
              <w:rPr>
                <w:sz w:val="1"/>
                <w:szCs w:val="1"/>
                <w:color w:val="auto"/>
              </w:rPr>
            </w:pPr>
          </w:p>
        </w:tc>
      </w:tr>
      <w:tr>
        <w:trPr>
          <w:trHeight w:val="330"/>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560" w:type="dxa"/>
            <w:vAlign w:val="bottom"/>
          </w:tcPr>
          <w:p>
            <w:pPr>
              <w:ind w:left="42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452,541</w:t>
            </w:r>
          </w:p>
        </w:tc>
        <w:tc>
          <w:tcPr>
            <w:tcW w:w="3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411,406</w:t>
            </w:r>
          </w:p>
        </w:tc>
        <w:tc>
          <w:tcPr>
            <w:tcW w:w="32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1,309,296</w:t>
            </w:r>
          </w:p>
        </w:tc>
        <w:tc>
          <w:tcPr>
            <w:tcW w:w="32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1,035,308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373,623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338,236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1,197,236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Operating Income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78,918</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73,170</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112,060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4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Financial Advisory</w:t>
            </w:r>
          </w:p>
        </w:tc>
        <w:tc>
          <w:tcPr>
            <w:tcW w:w="5540" w:type="dxa"/>
            <w:vAlign w:val="bottom"/>
            <w:gridSpan w:val="2"/>
          </w:tcPr>
          <w:p>
            <w:pPr>
              <w:ind w:left="54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728,215</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706,785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Management</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768,029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702,775</w:t>
            </w: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1,633,734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1,705,488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3,129,978</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3,115,048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420" w:type="dxa"/>
            <w:vAlign w:val="bottom"/>
            <w:vMerge w:val="restart"/>
          </w:tcPr>
          <w:p>
            <w:pPr>
              <w:jc w:val="right"/>
              <w:ind w:right="3232"/>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right="18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income (loss) for the nine month periods ended September 30, 2010 and 2009 was significantly impacted by certain special items related to the three month periods ended March 31, 2010 and 2009, respectively. Such impact, including the amounts attributable to each of the Company’s business segments, is described in the table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Operating income, as reported above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100,943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Special item:</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2"/>
              </w:rPr>
              <w:t>Acceleration of amortization expense pertaining to the amendment of Lazard’s retirement policy with respect to RSU</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awards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120,514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78,573</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0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reported above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$170,458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Special item: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Acceleration of amortization expense pertaining to the amendment of Lazard’s retirement policy with respect to RSU</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173,360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Operating loss, as reported above</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 (159,341)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87,108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Acceleration of amortization expense pertaining to the amendment of Lazard’s retirement policy with respect to RSU</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Operating loss, excluding impact of special items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(69,846)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Operating income, as reported above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112,060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87,108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Acceleration of amortization expense pertaining to the amendment of Lazard’s retirement policy with respect to RSU</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224,028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102,927</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ind w:left="562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(the “MD&amp;A”) included in our Annual Report on Form 10-K for the year ended December 31, 2009 (the “Form 10-K”). All references to “2010”, “2009”, “third quarter”, “nine months”, or “the period” refer to, as the context requires, the three month and nine month periods ended September 30, 2010 and September 30, 2009.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24"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 investment activities, except for Fonds Partenaires Gestion SA (“FPG”), our private equity business in France. Such activities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transferred to LFCM Holdings represented the alternative investment activities of Lazard Alternative Investments Holdings LLC (“LAI”) and included private equity investments of Corporate Partners II Limited (“CP II”) and Lazard Senior Housing Partners LP. CP II was managed by a subsidiary of LAI until February 16, 2009. Effective February 17, 2009, ownership and control of CP II was transferred to the investment professionals who manage CP II. We also transferred to LFCM Holdings certain principal investments by Lazard Group in the funds managed by the separated businesses, subject to certain options by us to reacquire such investments, while we retained our investment in our French private equity funds. Since 2005, consistent with our obligations to LFCM Holdings, we have engaged in a number of alternative investments and private equity activities. Effective September 30, 2009, the Company sold FPG to a fund management company forming part of a group that manages investment companies and funds, in some of which Lazard could earn carried interests. The managing directors and staff conducting this activity were accordingly transferred to the buyer. The sale of FPG did not have a material impact on our financial condition or results of operations. Operating results of FPG have been included in our consolidated financial statements through the effective date of sale.</w:t>
      </w:r>
    </w:p>
    <w:p>
      <w:pPr>
        <w:spacing w:after="0" w:line="10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8 of Notes to Condensed Consolidated Financial Statements). Also, consistent with our obligations to LFCM Holdings, we may explore discrete capital markets opportunities.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consolidated net revenue was derived from the following segments: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Nine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2009</w:t>
            </w:r>
          </w:p>
        </w:tc>
        <w:tc>
          <w:tcPr>
            <w:tcW w:w="96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5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63%</w:t>
            </w:r>
          </w:p>
        </w:tc>
        <w:tc>
          <w:tcPr>
            <w:tcW w:w="15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960" w:type="dxa"/>
            <w:vAlign w:val="bottom"/>
          </w:tcPr>
          <w:p>
            <w:pPr>
              <w:spacing w:after="0"/>
              <w:rPr>
                <w:sz w:val="18"/>
                <w:szCs w:val="18"/>
                <w:color w:val="auto"/>
              </w:rPr>
            </w:pPr>
          </w:p>
        </w:tc>
        <w:tc>
          <w:tcPr>
            <w:tcW w:w="1520" w:type="dxa"/>
            <w:vAlign w:val="bottom"/>
            <w:gridSpan w:val="2"/>
          </w:tcPr>
          <w:p>
            <w:pPr>
              <w:jc w:val="right"/>
              <w:ind w:right="9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75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first nine months of 2010, economic and market conditions in general in the U.S. and globally have shown signs of a gradual, but uneven recovery, with the respective equity markets generally experiencing modest increases, albeit with significant volatility in the second and third quarters. Also contributing to the recovery in the first nine months of 2010 were healthier credit markets, improved corporate earnings and continued low interest rates. When compared to the first nine months of 2009, economic and market conditions have improved, which contributed to the improvement in our operating performance in both Financial Advisory and Asset Management during 2010.</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Global and trans-atlantic completed and announced M&amp;A transactions for the third quarter and the first nine months of 2010 increased versus the corresponding prior year periods, as shown in the following table, which sets forth industry statistics regarding the value of such transactions in the periods: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Three Months Ended</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Nine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8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jc w:val="right"/>
              <w:ind w:right="201"/>
              <w:spacing w:after="0" w:line="12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jc w:val="right"/>
              <w:ind w:right="179"/>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r>
      <w:tr>
        <w:trPr>
          <w:trHeight w:val="161"/>
        </w:trPr>
        <w:tc>
          <w:tcPr>
            <w:tcW w:w="486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Incr/(Decr)</w:t>
            </w:r>
          </w:p>
        </w:tc>
        <w:tc>
          <w:tcPr>
            <w:tcW w:w="70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Incr/(Decr)</w:t>
            </w:r>
          </w:p>
        </w:tc>
        <w:tc>
          <w:tcPr>
            <w:tcW w:w="20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4"/>
          </w:tcPr>
          <w:p>
            <w:pPr>
              <w:ind w:left="620"/>
              <w:spacing w:after="0" w:line="142" w:lineRule="exact"/>
              <w:rPr>
                <w:sz w:val="20"/>
                <w:szCs w:val="20"/>
                <w:color w:val="auto"/>
              </w:rPr>
            </w:pPr>
            <w:r>
              <w:rPr>
                <w:rFonts w:ascii="Arial" w:cs="Arial" w:eastAsia="Arial" w:hAnsi="Arial"/>
                <w:sz w:val="14"/>
                <w:szCs w:val="14"/>
                <w:b w:val="1"/>
                <w:bCs w:val="1"/>
                <w:color w:val="auto"/>
              </w:rPr>
              <w:t>($ in billions)</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Global</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  420</w:t>
            </w: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  388</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8 %</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$ 1,290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$ 1,190</w:t>
            </w:r>
          </w:p>
        </w:tc>
        <w:tc>
          <w:tcPr>
            <w:tcW w:w="5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Trans-Atlantic</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82"/>
        </w:trPr>
        <w:tc>
          <w:tcPr>
            <w:tcW w:w="48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Global</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436</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39 %</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Trans-Atlantic</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58</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28 %</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5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Source:Thomson Financial as of October </w:t>
      </w:r>
      <w:r>
        <w:rPr>
          <w:rFonts w:ascii="Arial" w:cs="Arial" w:eastAsia="Arial" w:hAnsi="Arial"/>
          <w:sz w:val="18"/>
          <w:szCs w:val="18"/>
          <w:color w:val="auto"/>
        </w:rPr>
        <w:t>25</w:t>
      </w:r>
      <w:r>
        <w:rPr>
          <w:rFonts w:ascii="Arial" w:cs="Arial" w:eastAsia="Arial" w:hAnsi="Arial"/>
          <w:sz w:val="18"/>
          <w:szCs w:val="18"/>
          <w:i w:val="1"/>
          <w:iCs w:val="1"/>
          <w:color w:val="auto"/>
        </w:rPr>
        <w:t>, 2010</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in the current environment we are relatively well positioned as our clients refinance, restructure and position their asset portfolios for growth. While overall M&amp;A industry statistics regarding the number and size of announced transactions increased in the first nine months of 2010 as compared to the 2009 period, we continue to remain cautious with respect to the overall economic environment and its impact on the M&amp;A business. Generally, during periods of unfavorable market or economic conditions, the volume and value of M&amp;A transactions may decrease, thereby reducing the demand for our advisory services and increasing competition among financial services companies seeking such engagements.</w:t>
      </w:r>
    </w:p>
    <w:p>
      <w:pPr>
        <w:spacing w:after="0" w:line="102" w:lineRule="exact"/>
        <w:rPr>
          <w:sz w:val="20"/>
          <w:szCs w:val="20"/>
          <w:color w:val="auto"/>
        </w:rPr>
      </w:pPr>
    </w:p>
    <w:p>
      <w:pPr>
        <w:ind w:right="260" w:firstLine="456"/>
        <w:spacing w:after="0" w:line="314" w:lineRule="auto"/>
        <w:rPr>
          <w:sz w:val="20"/>
          <w:szCs w:val="20"/>
          <w:color w:val="auto"/>
        </w:rPr>
      </w:pPr>
      <w:r>
        <w:rPr>
          <w:rFonts w:ascii="Arial" w:cs="Arial" w:eastAsia="Arial" w:hAnsi="Arial"/>
          <w:sz w:val="15"/>
          <w:szCs w:val="15"/>
          <w:color w:val="auto"/>
        </w:rPr>
        <w:t>Global restructuring activity during the first nine months of 2010 decreased from record levels in 2009 due to the decelerating pace of corporate debt defaults, partially resulting from the strengthening of the high yield and leveraged loan markets. According to Moody’s Investors Service, Inc., in the first nine months of 2010, a total of 40 issuers defaulted as compared to 237 in the corresponding 2009 period. While we believe that the number and value of corporate defaults will continue to decline throughout the balance of 2010 and in 2011, we expect, due to our Restructuring assignments currently in progress, that our Restructuring business will remain active, albeit at a lower level, from advising companies during this period on matters relating to debt and financing restructuring and other on- and off-balance sheet assignments. Our Restructuring assignments are generally executed over a six- to twelve-month period.</w:t>
      </w:r>
    </w:p>
    <w:p>
      <w:pPr>
        <w:spacing w:after="0" w:line="9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Private Fund Advisory Group, which is part of our Financial Advisory segment and is conducted in the U.S. through Lazard Frères &amp; Co. LLC, an SEC-registered broker-dealer and member of FINRA,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30, 2010, the SEC approved a rule that, among other things, will prohibit investment advisors from paying a third-party placement agent for soliciting investment advisory business from a U.S. governmental entity, unless the placement agent is (i) an SEC-registered investment advisor or (ii) an SEC-registered broker-dealer that is a member of FINRA and thus subject to FINRA’s forthcoming “pay-to-play” rule. We are continuing to evaluate the potential impact of state, local and other restrictions on our Private Fund Advisory Group.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shown in the table below, major global market indices at September 30, 2010 increased in most markets as compared to such indices at June 30, 2010, December 31, 2009, and September 30,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Percentage Change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September 30, 2010 vs.</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7040" w:type="dxa"/>
            <w:vAlign w:val="bottom"/>
          </w:tcPr>
          <w:p>
            <w:pPr>
              <w:spacing w:after="0"/>
              <w:rPr>
                <w:sz w:val="11"/>
                <w:szCs w:val="11"/>
                <w:color w:val="auto"/>
              </w:rPr>
            </w:pPr>
          </w:p>
        </w:tc>
        <w:tc>
          <w:tcPr>
            <w:tcW w:w="10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1"/>
                <w:szCs w:val="11"/>
                <w:color w:val="auto"/>
              </w:rPr>
            </w:pPr>
          </w:p>
        </w:tc>
        <w:tc>
          <w:tcPr>
            <w:tcW w:w="1840" w:type="dxa"/>
            <w:vAlign w:val="bottom"/>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1"/>
                <w:szCs w:val="11"/>
                <w:color w:val="auto"/>
              </w:rPr>
            </w:pPr>
          </w:p>
        </w:tc>
      </w:tr>
      <w:tr>
        <w:trPr>
          <w:trHeight w:val="161"/>
        </w:trPr>
        <w:tc>
          <w:tcPr>
            <w:tcW w:w="7040" w:type="dxa"/>
            <w:vAlign w:val="bottom"/>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04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22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5 %</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CAC 40</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2280" w:type="dxa"/>
            <w:vAlign w:val="bottom"/>
            <w:gridSpan w:val="3"/>
          </w:tcPr>
          <w:p>
            <w:pPr>
              <w:jc w:val="right"/>
              <w:ind w:right="840"/>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22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10 %</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FTSE 100</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2280" w:type="dxa"/>
            <w:vAlign w:val="bottom"/>
            <w:gridSpan w:val="3"/>
          </w:tcPr>
          <w:p>
            <w:pPr>
              <w:jc w:val="right"/>
              <w:ind w:right="860"/>
              <w:spacing w:after="0"/>
              <w:rPr>
                <w:sz w:val="20"/>
                <w:szCs w:val="20"/>
                <w:color w:val="auto"/>
              </w:rPr>
            </w:pPr>
            <w:r>
              <w:rPr>
                <w:rFonts w:ascii="Arial" w:cs="Arial" w:eastAsia="Arial" w:hAnsi="Arial"/>
                <w:sz w:val="18"/>
                <w:szCs w:val="18"/>
                <w:color w:val="auto"/>
              </w:rPr>
              <w:t>3 %</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22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MSCI Emerging Market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2280" w:type="dxa"/>
            <w:vAlign w:val="bottom"/>
            <w:gridSpan w:val="3"/>
          </w:tcPr>
          <w:p>
            <w:pPr>
              <w:jc w:val="right"/>
              <w:ind w:right="860"/>
              <w:spacing w:after="0"/>
              <w:rPr>
                <w:sz w:val="20"/>
                <w:szCs w:val="20"/>
                <w:color w:val="auto"/>
              </w:rPr>
            </w:pPr>
            <w:r>
              <w:rPr>
                <w:rFonts w:ascii="Arial" w:cs="Arial" w:eastAsia="Arial" w:hAnsi="Arial"/>
                <w:sz w:val="18"/>
                <w:szCs w:val="18"/>
                <w:color w:val="auto"/>
              </w:rPr>
              <w:t>9 %</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18 %</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22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4 %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11 %</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NASDAQ</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2280" w:type="dxa"/>
            <w:vAlign w:val="bottom"/>
            <w:gridSpan w:val="3"/>
          </w:tcPr>
          <w:p>
            <w:pPr>
              <w:jc w:val="right"/>
              <w:ind w:right="860"/>
              <w:spacing w:after="0"/>
              <w:rPr>
                <w:sz w:val="20"/>
                <w:szCs w:val="20"/>
                <w:color w:val="auto"/>
              </w:rPr>
            </w:pPr>
            <w:r>
              <w:rPr>
                <w:rFonts w:ascii="Arial" w:cs="Arial" w:eastAsia="Arial" w:hAnsi="Arial"/>
                <w:sz w:val="18"/>
                <w:szCs w:val="18"/>
                <w:color w:val="auto"/>
              </w:rPr>
              <w:t>4 %</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12 %</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22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8 %</w:t>
            </w:r>
          </w:p>
        </w:tc>
      </w:tr>
    </w:tbl>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Our AUM at September 30, 2010 increased 11% versus AUM at December 31, 2009, with average AUM for the third quarter and first nine months of 2010 increasing 22% and 36%, respectively, as compared to our average AUM for the corresponding periods of 2009, reflecting significant market appreciation as well as net inflows over the twelve month period ended September 30, 2010. Such increased AUM contributed to significantly higher management fee revenues in the 2010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from public and private securities offerings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Lazard’s Asset Management segment principally includes LAM, Lazard Frères Gestion SAS, FPG (through its disposition on September 30, 2009) and, effective July 15, 2009, Edgewater.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client asset inflows and outflows have a direct effect on Asset Management net revenue and operating income. Asset Management fees are generally based on the level of AUM measured as of the end of a quarter or month, and an increase or reduction in AUM at such dates,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assets that are denominated in currencies other than U.S. dollars, changes in the value of the U.S. dollar relative to foreign currencies will impact the value of Lazard’s AUM. Fees vary with the type of assets managed, with higher fees earned on equity assets, alternative investments (such as hedge funds) and private equity investments, and lower fees earned on fixed income and cash management products.</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Corporate segment net revenue consists primarily of net interest income, including amounts earned at LFB, and investment gains and losses on the Company’s investment portfolio of LAM-managed equity funds and principal investments in equities, debt securities at LFB and alternative investment funds. Interest expense is also included in Corporate net revenue. Corporate net revenue can fluctuate due to changes in the fair value of investments classified as “trading”, and with respect to “available-for-sale”, when realized, or when a decline is determined to be other than temporary with respect to “available-for-sale” and “held-to-maturity” investments, as well as due to changes in interest and currency exchange rates and in the levels of cash, investments and indebtedness.</w:t>
      </w:r>
    </w:p>
    <w:p>
      <w:pPr>
        <w:spacing w:after="0" w:line="1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Although Corporate segment net revenue during the first nine months of 2010 represented (4)% of Lazard’s net revenue, total assets in Corporate represented 52% of Lazard’s consolidated total assets as of September 30, 2010, which is attributable to assets associated with LFB, investments in government bonds, LAM-managed funds, other securities and cash.</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Our compensation and benefits expense includes amortization of the relevant portion of our share-based incentive compensation under the Lazard Ltd 2005 Equity Incentive Plan (“2005 Plan”) and the Lazard Ltd 2008 Incentive Compensation Plan (the “2008 Plan”), with such amortization generally determined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 straight-line basis over the vesting periods and not on the basis of revenue recognition. Compensation expense in any given period is dependent on many factors, including general economic and market conditions, our operating and financial performance, staffing levels and competitive pay conditions, the nature of revenues earned, as well as the mix between current and deferred compensation. Our compensation expense-to-operating revenue ratio for the nine month periods of 2010 and 2009 was 59.9% and 62.7%, respectively (with such ratio in the nine month period of 2010 excluding the compensation charge of approximately $25 million in connection with the accelerated vesting of restricted stock unit awards (“RSUs”) related to the Company’s change in retirement policy), and was 59.6% and 58.0% for the third quarters of 2010 and 2009, respectively. See Note 13 of Notes to Condensed Consolidated Financial Statements for additional information regarding the Company’s incentive plans.</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the nine month periods of 2010 and 2009, restructuring expense. Amortization of intangible assets related to acquisitions relates primarily to the July 2009 acquisition of Edgewater. Restructuring expense relates to certain staff reductions and realignment of personnel in the first quarters of 2010 and 2009, and includes severance and related benefits expense, the acceleration of unrecognized expense pertaining to RSUs previously granted to individuals who were terminated and certain other costs related to these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related to non-U.S. entities and to New York City Unincorporated Business Tax (“UBT”) attributable to Lazard’s operations apportioned to New York City.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Noncontrolling interests primarily relate to the charge (credit) attributable to Edgewater and various LAM-related general partnership interests (“GPs”) held directly by certain of our LAM managing directors. See Note 12 of Notes to Condensed Consolidated Financial Statements for information regarding the Company’s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the first quarters of 2010 and 2009 the Company reported certain charges (the “2010 special items” and the “2009 special item,” respectively, and collectively, the “2010 and 2009 special items”) that adversely impacted operating results for the nine month periods. The impact of such special items on the Company’s condensed consolidated statements of operations for the 2010 and 2009 nine month periods is described in more detail in the table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8"/>
              </w:rPr>
              <w:t>Nine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4"/>
              </w:rPr>
              <w:t>RSU</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Amendment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w w:val="98"/>
              </w:rPr>
              <w:t>Restructuring</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w:t>
            </w: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(b)</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6"/>
          </w:tcPr>
          <w:p>
            <w:pPr>
              <w:jc w:val="center"/>
              <w:ind w:right="420"/>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(87,108)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(24,860)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(111,968)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(62,550)</w:t>
            </w:r>
          </w:p>
        </w:tc>
      </w:tr>
      <w:tr>
        <w:trPr>
          <w:trHeight w:val="223"/>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Lazard Group</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(81,428)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(23,497)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(104,925)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(56,149)</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Restructuring plans announced in the first quarters of 2010 and 2009,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Additional amortization expense in connection with the accelerated vesting of RSUs related to the amendment of the Company’s retirement policy.</w:t>
      </w:r>
    </w:p>
    <w:p>
      <w:pPr>
        <w:spacing w:after="0" w:line="17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discussion of the Company’s consolidated results of operations for the 2010 and 2009 periods is set forth below, followed by a more detailed discussion of business segment results. For comparability purposes in the discussion that follows, the results for the nine month periods in 2010 and 2009 are shown in tables below, as applicable, on both an “as reported” U.S. GAAP and “excluding special items” non-U.S. GAAP basis.</w:t>
      </w:r>
    </w:p>
    <w:p>
      <w:pPr>
        <w:spacing w:after="0" w:line="8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-7620</wp:posOffset>
            </wp:positionV>
            <wp:extent cx="12522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w w:val="76"/>
              </w:rPr>
              <w:t>in thousands)</w:t>
            </w:r>
          </w:p>
        </w:tc>
        <w:tc>
          <w:tcPr>
            <w:tcW w:w="68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960" w:type="dxa"/>
            <w:vAlign w:val="bottom"/>
          </w:tcPr>
          <w:p>
            <w:pPr>
              <w:spacing w:after="0"/>
              <w:rPr>
                <w:sz w:val="3"/>
                <w:szCs w:val="3"/>
                <w:color w:val="auto"/>
              </w:rPr>
            </w:pPr>
          </w:p>
        </w:tc>
        <w:tc>
          <w:tcPr>
            <w:tcW w:w="4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452,541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411,406</w:t>
            </w:r>
          </w:p>
        </w:tc>
        <w:tc>
          <w:tcPr>
            <w:tcW w:w="0" w:type="dxa"/>
            <w:vAlign w:val="bottom"/>
          </w:tcPr>
          <w:p>
            <w:pPr>
              <w:spacing w:after="0"/>
              <w:rPr>
                <w:sz w:val="1"/>
                <w:szCs w:val="1"/>
                <w:color w:val="auto"/>
              </w:rPr>
            </w:pPr>
          </w:p>
        </w:tc>
      </w:tr>
      <w:tr>
        <w:trPr>
          <w:trHeight w:val="29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4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282,525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250,912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 expense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89,379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85,292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4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4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373,623</w:t>
            </w: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338,236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58"/>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4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68,613</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8"/>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260" w:type="dxa"/>
            <w:vAlign w:val="bottom"/>
            <w:vMerge w:val="restart"/>
          </w:tcPr>
          <w:p>
            <w:pPr>
              <w:jc w:val="right"/>
              <w:ind w:right="3352"/>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9"/>
              <w:spacing w:after="0" w:line="129" w:lineRule="exact"/>
              <w:rPr>
                <w:sz w:val="20"/>
                <w:szCs w:val="20"/>
                <w:color w:val="auto"/>
              </w:rPr>
            </w:pPr>
            <w:r>
              <w:rPr>
                <w:rFonts w:ascii="Arial" w:cs="Arial" w:eastAsia="Arial" w:hAnsi="Arial"/>
                <w:sz w:val="14"/>
                <w:szCs w:val="14"/>
                <w:b w:val="1"/>
                <w:bCs w:val="1"/>
                <w:color w:val="auto"/>
                <w:w w:val="87"/>
              </w:rPr>
              <w:t>Non-U.S.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w w:val="87"/>
              </w:rPr>
              <w:t>Non-U.S.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Impact of</w:t>
            </w:r>
          </w:p>
        </w:tc>
        <w:tc>
          <w:tcPr>
            <w:tcW w:w="140" w:type="dxa"/>
            <w:vAlign w:val="bottom"/>
          </w:tcPr>
          <w:p>
            <w:pPr>
              <w:spacing w:after="0"/>
              <w:rPr>
                <w:sz w:val="12"/>
                <w:szCs w:val="12"/>
                <w:color w:val="auto"/>
              </w:rPr>
            </w:pPr>
          </w:p>
        </w:tc>
        <w:tc>
          <w:tcPr>
            <w:tcW w:w="1240" w:type="dxa"/>
            <w:vAlign w:val="bottom"/>
            <w:gridSpan w:val="2"/>
          </w:tcPr>
          <w:p>
            <w:pPr>
              <w:jc w:val="center"/>
              <w:ind w:right="472"/>
              <w:spacing w:after="0" w:line="149" w:lineRule="exact"/>
              <w:rPr>
                <w:sz w:val="20"/>
                <w:szCs w:val="20"/>
                <w:color w:val="auto"/>
              </w:rPr>
            </w:pPr>
            <w:r>
              <w:rPr>
                <w:rFonts w:ascii="Arial" w:cs="Arial" w:eastAsia="Arial" w:hAnsi="Arial"/>
                <w:sz w:val="14"/>
                <w:szCs w:val="14"/>
                <w:b w:val="1"/>
                <w:bCs w:val="1"/>
                <w:color w:val="auto"/>
                <w:w w:val="93"/>
              </w:rPr>
              <w:t>GAAP</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Impact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U.S. GAAP</w:t>
            </w: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Special</w:t>
            </w:r>
          </w:p>
        </w:tc>
        <w:tc>
          <w:tcPr>
            <w:tcW w:w="140" w:type="dxa"/>
            <w:vAlign w:val="bottom"/>
          </w:tcPr>
          <w:p>
            <w:pPr>
              <w:spacing w:after="0"/>
              <w:rPr>
                <w:sz w:val="12"/>
                <w:szCs w:val="12"/>
                <w:color w:val="auto"/>
              </w:rPr>
            </w:pPr>
          </w:p>
        </w:tc>
        <w:tc>
          <w:tcPr>
            <w:tcW w:w="1240" w:type="dxa"/>
            <w:vAlign w:val="bottom"/>
            <w:gridSpan w:val="2"/>
          </w:tcPr>
          <w:p>
            <w:pPr>
              <w:jc w:val="center"/>
              <w:ind w:right="472"/>
              <w:spacing w:after="0" w:line="149" w:lineRule="exact"/>
              <w:rPr>
                <w:sz w:val="20"/>
                <w:szCs w:val="20"/>
                <w:color w:val="auto"/>
              </w:rPr>
            </w:pPr>
            <w:r>
              <w:rPr>
                <w:rFonts w:ascii="Arial" w:cs="Arial" w:eastAsia="Arial" w:hAnsi="Arial"/>
                <w:sz w:val="14"/>
                <w:szCs w:val="14"/>
                <w:b w:val="1"/>
                <w:bCs w:val="1"/>
                <w:color w:val="auto"/>
                <w:w w:val="86"/>
              </w:rPr>
              <w:t>Excluding</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U.S. GAAP</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Special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As Reported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Items (a)</w:t>
            </w:r>
          </w:p>
        </w:tc>
        <w:tc>
          <w:tcPr>
            <w:tcW w:w="3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Special Items (b)</w:t>
            </w:r>
          </w:p>
        </w:tc>
        <w:tc>
          <w:tcPr>
            <w:tcW w:w="40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As Reported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Item (a)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Special Item (b)</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left="459"/>
              <w:spacing w:after="0"/>
              <w:rPr>
                <w:sz w:val="20"/>
                <w:szCs w:val="20"/>
                <w:color w:val="auto"/>
              </w:rPr>
            </w:pPr>
            <w:r>
              <w:rPr>
                <w:rFonts w:ascii="Arial" w:cs="Arial" w:eastAsia="Arial" w:hAnsi="Arial"/>
                <w:sz w:val="14"/>
                <w:szCs w:val="14"/>
                <w:b w:val="1"/>
                <w:bCs w:val="1"/>
                <w:color w:val="auto"/>
                <w:w w:val="90"/>
              </w:rPr>
              <w:t>($ in</w:t>
            </w:r>
          </w:p>
        </w:tc>
        <w:tc>
          <w:tcPr>
            <w:tcW w:w="120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w w:val="82"/>
              </w:rPr>
              <w:t>thousands)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14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1,309,296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1,309,296</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1,035,308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1,035,308</w:t>
            </w:r>
          </w:p>
        </w:tc>
        <w:tc>
          <w:tcPr>
            <w:tcW w:w="0" w:type="dxa"/>
            <w:vAlign w:val="bottom"/>
          </w:tcPr>
          <w:p>
            <w:pPr>
              <w:spacing w:after="0"/>
              <w:rPr>
                <w:sz w:val="1"/>
                <w:szCs w:val="1"/>
                <w:color w:val="auto"/>
              </w:rPr>
            </w:pPr>
          </w:p>
        </w:tc>
      </w:tr>
      <w:tr>
        <w:trPr>
          <w:trHeight w:val="290"/>
        </w:trPr>
        <w:tc>
          <w:tcPr>
            <w:tcW w:w="4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845,918</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$24,860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821,058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693,718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Non-compensation expense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258,952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258,952</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235,943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Amortization of intangible assets related to acquisitions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5,258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87,108</w:t>
            </w:r>
          </w:p>
        </w:tc>
        <w:tc>
          <w:tcPr>
            <w:tcW w:w="26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87,108</w:t>
            </w:r>
          </w:p>
        </w:tc>
        <w:tc>
          <w:tcPr>
            <w:tcW w:w="140" w:type="dxa"/>
            <w:vAlign w:val="bottom"/>
          </w:tcPr>
          <w:p>
            <w:pPr>
              <w:spacing w:after="0"/>
              <w:rPr>
                <w:sz w:val="18"/>
                <w:szCs w:val="18"/>
                <w:color w:val="auto"/>
              </w:rPr>
            </w:pPr>
          </w:p>
        </w:tc>
        <w:tc>
          <w:tcPr>
            <w:tcW w:w="840" w:type="dxa"/>
            <w:vAlign w:val="bottom"/>
          </w:tcPr>
          <w:p>
            <w:pPr>
              <w:jc w:val="center"/>
              <w:ind w:left="419"/>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62,550</w:t>
            </w:r>
          </w:p>
        </w:tc>
        <w:tc>
          <w:tcPr>
            <w:tcW w:w="700" w:type="dxa"/>
            <w:vAlign w:val="bottom"/>
            <w:gridSpan w:val="2"/>
          </w:tcPr>
          <w:p>
            <w:pPr>
              <w:jc w:val="center"/>
              <w:ind w:left="39"/>
              <w:spacing w:after="0"/>
              <w:rPr>
                <w:sz w:val="20"/>
                <w:szCs w:val="20"/>
                <w:color w:val="auto"/>
              </w:rPr>
            </w:pPr>
            <w:r>
              <w:rPr>
                <w:rFonts w:ascii="Arial" w:cs="Arial" w:eastAsia="Arial" w:hAnsi="Arial"/>
                <w:sz w:val="18"/>
                <w:szCs w:val="18"/>
                <w:color w:val="auto"/>
                <w:w w:val="89"/>
              </w:rPr>
              <w:t>$62,550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1,197,236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1,085,268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994,931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932,381</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112,060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224,028</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40,377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102,927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28,775</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(7,043)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35,818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29,951</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36,352</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Income</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83,285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188,210</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10,426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66,575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90"/>
              </w:rPr>
              <w:t>Less – Net Income Attributable to Noncontrolling Interests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3"/>
            <w:vMerge w:val="continue"/>
          </w:tcPr>
          <w:p>
            <w:pPr>
              <w:spacing w:after="0"/>
              <w:rPr>
                <w:sz w:val="19"/>
                <w:szCs w:val="19"/>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80,336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185,261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9,208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65,357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charges related to the previously described special items. See Notes 13, 15 and 19 of Notes to Condensed Consolidated Financial Statements.</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17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non-U.S. 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40" w:type="dxa"/>
            <w:vAlign w:val="bottom"/>
            <w:gridSpan w:val="5"/>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1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40" w:type="dxa"/>
            <w:vAlign w:val="bottom"/>
            <w:gridSpan w:val="5"/>
          </w:tcPr>
          <w:p>
            <w:pPr>
              <w:jc w:val="right"/>
              <w:ind w:right="67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1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4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4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$477,826</w:t>
            </w:r>
          </w:p>
        </w:tc>
        <w:tc>
          <w:tcPr>
            <w:tcW w:w="260" w:type="dxa"/>
            <w:vAlign w:val="bottom"/>
          </w:tcPr>
          <w:p>
            <w:pPr>
              <w:spacing w:after="0"/>
              <w:rPr>
                <w:sz w:val="18"/>
                <w:szCs w:val="18"/>
                <w:color w:val="auto"/>
              </w:rPr>
            </w:pPr>
          </w:p>
        </w:tc>
        <w:tc>
          <w:tcPr>
            <w:tcW w:w="1120" w:type="dxa"/>
            <w:vAlign w:val="bottom"/>
            <w:gridSpan w:val="3"/>
          </w:tcPr>
          <w:p>
            <w:pPr>
              <w:jc w:val="right"/>
              <w:ind w:right="192"/>
              <w:spacing w:after="0"/>
              <w:rPr>
                <w:sz w:val="20"/>
                <w:szCs w:val="20"/>
                <w:color w:val="auto"/>
              </w:rPr>
            </w:pPr>
            <w:r>
              <w:rPr>
                <w:rFonts w:ascii="Arial" w:cs="Arial" w:eastAsia="Arial" w:hAnsi="Arial"/>
                <w:sz w:val="18"/>
                <w:szCs w:val="18"/>
                <w:color w:val="auto"/>
              </w:rPr>
              <w:t>$439,298</w:t>
            </w:r>
          </w:p>
        </w:tc>
        <w:tc>
          <w:tcPr>
            <w:tcW w:w="98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$1,386,448</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$1,120,672</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(2,145)</w:t>
            </w:r>
          </w:p>
        </w:tc>
        <w:tc>
          <w:tcPr>
            <w:tcW w:w="1120" w:type="dxa"/>
            <w:vAlign w:val="bottom"/>
            <w:gridSpan w:val="3"/>
          </w:tcPr>
          <w:p>
            <w:pPr>
              <w:jc w:val="right"/>
              <w:ind w:right="132"/>
              <w:spacing w:after="0"/>
              <w:rPr>
                <w:sz w:val="20"/>
                <w:szCs w:val="20"/>
                <w:color w:val="auto"/>
              </w:rPr>
            </w:pPr>
            <w:r>
              <w:rPr>
                <w:rFonts w:ascii="Arial" w:cs="Arial" w:eastAsia="Arial" w:hAnsi="Arial"/>
                <w:sz w:val="18"/>
                <w:szCs w:val="18"/>
                <w:color w:val="auto"/>
              </w:rPr>
              <w:t>(3,075)</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(6,691)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(10,721)</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11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(3,716)</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(9,137)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473,681</w:t>
            </w:r>
          </w:p>
        </w:tc>
        <w:tc>
          <w:tcPr>
            <w:tcW w:w="260" w:type="dxa"/>
            <w:vAlign w:val="bottom"/>
          </w:tcPr>
          <w:p>
            <w:pPr>
              <w:spacing w:after="0"/>
              <w:rPr>
                <w:sz w:val="19"/>
                <w:szCs w:val="19"/>
                <w:color w:val="auto"/>
              </w:rPr>
            </w:pPr>
          </w:p>
        </w:tc>
        <w:tc>
          <w:tcPr>
            <w:tcW w:w="1120" w:type="dxa"/>
            <w:vAlign w:val="bottom"/>
            <w:gridSpan w:val="3"/>
          </w:tcPr>
          <w:p>
            <w:pPr>
              <w:jc w:val="right"/>
              <w:ind w:right="1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432,507</w:t>
            </w:r>
          </w:p>
        </w:tc>
        <w:tc>
          <w:tcPr>
            <w:tcW w:w="980" w:type="dxa"/>
            <w:vAlign w:val="bottom"/>
            <w:gridSpan w:val="2"/>
          </w:tcPr>
          <w:p>
            <w:pPr>
              <w:jc w:val="center"/>
              <w:ind w:left="11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1,370,620</w:t>
            </w: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1,107,048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interest expense incurred by LFB is deducted from total revenue because LFB is a commercial bank and we consider its interest expense to be a cost directly related to the conduct of its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 Further, such revenue is offset by a charge or credit to noncontrolling interests.</w:t>
      </w:r>
    </w:p>
    <w:p>
      <w:pPr>
        <w:spacing w:after="0" w:line="1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Certain key ratios, statistics and headcount information for the 2010 and 2009 periods are set forth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5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68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7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September 30,</w:t>
            </w:r>
          </w:p>
        </w:tc>
        <w:tc>
          <w:tcPr>
            <w:tcW w:w="3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4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96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960" w:type="dxa"/>
            <w:vAlign w:val="bottom"/>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12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54%</w:t>
            </w: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61%</w:t>
            </w:r>
          </w:p>
        </w:tc>
        <w:tc>
          <w:tcPr>
            <w:tcW w:w="6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58%</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9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28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w:t>
            </w:r>
          </w:p>
        </w:tc>
        <w:tc>
          <w:tcPr>
            <w:tcW w:w="6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vMerge w:val="continue"/>
          </w:tcPr>
          <w:p>
            <w:pPr>
              <w:spacing w:after="0"/>
              <w:rPr>
                <w:sz w:val="19"/>
                <w:szCs w:val="19"/>
                <w:color w:val="auto"/>
              </w:rPr>
            </w:pPr>
          </w:p>
        </w:tc>
        <w:tc>
          <w:tcPr>
            <w:tcW w:w="1280" w:type="dxa"/>
            <w:vAlign w:val="bottom"/>
            <w:gridSpan w:val="2"/>
          </w:tcPr>
          <w:p>
            <w:pPr>
              <w:jc w:val="right"/>
              <w:ind w:right="752"/>
              <w:spacing w:after="0"/>
              <w:rPr>
                <w:sz w:val="20"/>
                <w:szCs w:val="20"/>
                <w:color w:val="auto"/>
              </w:rPr>
            </w:pPr>
            <w:r>
              <w:rPr>
                <w:rFonts w:ascii="Arial" w:cs="Arial" w:eastAsia="Arial" w:hAnsi="Arial"/>
                <w:sz w:val="18"/>
                <w:szCs w:val="18"/>
                <w:color w:val="auto"/>
                <w:w w:val="95"/>
              </w:rPr>
              <w:t>100%</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w w:val="95"/>
              </w:rPr>
              <w:t>100%</w:t>
            </w:r>
          </w:p>
        </w:tc>
        <w:tc>
          <w:tcPr>
            <w:tcW w:w="600" w:type="dxa"/>
            <w:vAlign w:val="bottom"/>
            <w:gridSpan w:val="3"/>
          </w:tcPr>
          <w:p>
            <w:pPr>
              <w:jc w:val="right"/>
              <w:ind w:right="72"/>
              <w:spacing w:after="0"/>
              <w:rPr>
                <w:sz w:val="20"/>
                <w:szCs w:val="20"/>
                <w:color w:val="auto"/>
              </w:rPr>
            </w:pPr>
            <w:r>
              <w:rPr>
                <w:rFonts w:ascii="Arial" w:cs="Arial" w:eastAsia="Arial" w:hAnsi="Arial"/>
                <w:sz w:val="18"/>
                <w:szCs w:val="18"/>
                <w:color w:val="auto"/>
                <w:w w:val="95"/>
              </w:rPr>
              <w:t>100%</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7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7"/>
              </w:rPr>
              <w:t>As of September 30,</w:t>
            </w:r>
          </w:p>
        </w:tc>
        <w:tc>
          <w:tcPr>
            <w:tcW w:w="0" w:type="dxa"/>
            <w:vAlign w:val="bottom"/>
          </w:tcPr>
          <w:p>
            <w:pPr>
              <w:spacing w:after="0"/>
              <w:rPr>
                <w:sz w:val="1"/>
                <w:szCs w:val="1"/>
                <w:color w:val="auto"/>
              </w:rPr>
            </w:pPr>
          </w:p>
        </w:tc>
      </w:tr>
      <w:tr>
        <w:trPr>
          <w:trHeight w:val="142"/>
        </w:trPr>
        <w:tc>
          <w:tcPr>
            <w:tcW w:w="704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w w:val="97"/>
              </w:rPr>
              <w:t>1,112</w:t>
            </w:r>
          </w:p>
        </w:tc>
        <w:tc>
          <w:tcPr>
            <w:tcW w:w="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2,317</w:t>
            </w:r>
          </w:p>
        </w:tc>
        <w:tc>
          <w:tcPr>
            <w:tcW w:w="66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 As reflected in the table of consolidated results of operations above, charges related to the 2010 and 2009 special items had a significant impact on the Company’s reported operating results for the nine month periods in the respective years. Lazard management believes that comparisons between periods are most meaningful after excluding the impact of such items.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2010 versus September 30, 2009</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$69 million, as compared to net income of $50 million in the 2009 period. The changes in the Company’s operating results during the periods are described below.</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Net revenue and operating revenue each increased $41 million, or 10%, as compared to the 2009 period. Fees from investment banking and other advisory activities declined $7 million, or 3%, principally due to lower Restructuring fees, reflecting the decelerating pace of corporate debt defaults in the 2010 period. Principally offsetting such decline were increases in fees from M&amp;A and Strategic Advisory and Capital Markets and Other Advisory, largely from our Private Fund Advisory Group business, with the latter due to an increase in the value and number of fund closings. Money management fees, including incentive fees, increased $54 million, or 36%, due to a $24 billion,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or 22%, increase in average AUM for the 2010 period, primarily as the result of market appreciation and net inflows during the last twelve months, as well as a favorable change in the mix of AUM into higher margin global equity products. Interest income decreased $4 million, or 38%. Other revenue decreased</w:t>
      </w:r>
    </w:p>
    <w:p>
      <w:pPr>
        <w:ind w:right="40"/>
        <w:spacing w:after="0" w:line="261" w:lineRule="auto"/>
        <w:rPr>
          <w:sz w:val="20"/>
          <w:szCs w:val="20"/>
          <w:color w:val="auto"/>
        </w:rPr>
      </w:pPr>
      <w:r>
        <w:rPr>
          <w:rFonts w:ascii="Arial" w:cs="Arial" w:eastAsia="Arial" w:hAnsi="Arial"/>
          <w:sz w:val="18"/>
          <w:szCs w:val="18"/>
          <w:color w:val="auto"/>
        </w:rPr>
        <w:t>$4 million, or 15%, principally due to a decrease in underwriting fees as a result of a decline in equity capital markets transactions, and a $2 million net reduction in investment income. Interest expense decreased $3 million, or 9%.</w:t>
      </w:r>
    </w:p>
    <w:p>
      <w:pPr>
        <w:spacing w:after="0" w:line="12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Compensation and benefits expense for the 2010 period increased $32 million, or 13%, principally reflecting an increase in the provision for discretionary compensation and profit pools relating to the increase in operating revenue, partially offset by a decline in the amortization of share-based and deferred cash incentive compensation awards. Compensation and benefits expense was 59.6% and 58.0% of operating revenue for the 2010 and 2009 periods, respectively.</w:t>
      </w:r>
    </w:p>
    <w:p>
      <w:pPr>
        <w:spacing w:after="0" w:line="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Non-compensation expense increased $4 million, or 5%. Factors contributing to the increase were increased spending on travel and other business development activities, and increased fund administration expenses related to the increased level of business activity and AUM. The ratio of non-compensation expense to operating revenue was 18.9% as compared to 19.7% in the 2009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was unchanged from the 2009 period.</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Operating income for the 2010 period was $79 million, as compared to operating income of $73 million in the prior year period and, as a percentage of net revenue, was 17% and 18% in the 2010 and 2009 periods,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was $10 million, a decrease of $11 million, as compared to $21 million in the 2009 period.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decreased $2 million, as compared to the 2009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2010 versus September 30, 2009</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reported net income attributable to Lazard Group of $80 million, as compared to net income of $9 million in the 2009 period. The Company’s results in both periods were adversely affected by the 2010 and the 2009 special items, which served to decrease the net income attributable to Lazard Group in the 2010 and 2009 periods by $105 million and $56 million, respectively. Excluding the after-tax impact of the 2010 and 2009 special items in each year, net income attributable to Lazard Group in the 2010 period was $185 million, an increase of $120 million as compared to the 2009 period. The changes in the Company’s operating results during the period are described below.</w:t>
      </w:r>
    </w:p>
    <w:p>
      <w:pPr>
        <w:spacing w:after="0" w:line="1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Net revenue increased $274 million, or 26%, as compared to the 2009 period, with operating revenue increasing $264 million, or 24%. Fees from investment banking and other advisory activities increased $109 million, or 17%, including increases of $98 million, or 28%, in M&amp;A and Strategic Advisory fees, as well as higher Capital Markets and Other Advisory fees, principally from our Private Fund Advisory Group business, with the latter due to an increase in the value and number of fund closings, partially offset by a $27 million, or 10%, decline in Restructuring fees reflecting a sequential quarterly reduction in restructuring activity as the economy improves and the number of corporate debt defaults decelerates. Money management fees, including incentive fees, increased $192 million, or 52%, due to a $35 billion, or 36%, increase in average AUM for the 2010 period, primarily as the result of market appreciation and net inflows during the last twelve months, a favorable change in the mix of AUM into higher margin global equity products, as well as higher incentive fees earned in the 2010 period. Interest income decreased $8 million, or 29%, due primarily to the lower interest rate environment. Other revenue decreased $28 million, or 37%, primarily due to a $14 million, or 70%, decline in underwriting fees as a result of a lower level of equity capital markets transactions, an $8 million net reduction in investment income, and foreign exchange losses as compared to gains in the 2009 period. Interest expense decreased $8 million, or 10%, due to the lower interest rate environment and reduced levels of LFB’s customer deposits.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Compensation and benefits expense for the 2010 period, including the 2010 special item of $25 million, increased $152 million, or 22%. When excluding the 2010 special item, compensation and benefits expense increased $127 million, or 18%, which includes an increase in the provision for discretionary compensation and profit pools relating to the increase in operating revenue and a reduction in the amortization of share-based and deferred cash incentive compensation. Compensation and benefits expense, excluding the 2010 special item, was 59.9% and 62.7% of operating revenue for the 2010 and 2009 periods, respectively. The reduction in the compensation ratio for the first nine months of 2010 is due primarily to execution of our previously announced goal to grow annual compensation expense at a slower rate than operating revenue.</w:t>
      </w:r>
    </w:p>
    <w:p>
      <w:pPr>
        <w:spacing w:after="0" w:line="107"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Non-compensation expense increased $23 million, or 10%. Factors contributing to this increase include higher spending on travel and other business development activities, technology and fund administration expenses related to a higher level of business activity and AUM. The ratio of non-compensation expense to operating revenue was 18.9% as compared to 21.3% of operating revenue for the 2009 period.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$3 million principally due to the Edgewater acquisition in July 2009.</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first quarters of 2010 and 2009, the Company announced plans to reduce certain staff and realign personnel. As a result, the 2010 and 2009 special items include restructuring charges of $87 million and $63 million, respectively, in connection with severance and benefit payments, the acceleration of unrecognized expense pertaining to share-based incentive compensation previously granted to individuals who were terminated and certain other costs related to the restructuring initiatives.</w:t>
      </w:r>
    </w:p>
    <w:p>
      <w:pPr>
        <w:spacing w:after="0" w:line="13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Operating income for the 2010 period was $112 million, as compared to operating income of $40 million in the prior year period (with such amounts including the impact of the 2010 and 2009 special items) and, as a percentage of net revenue, was 9% as compared to 4% in the 2009 period. Excluding the impact of the 2010 and 2009 special items in each period, operating income was $224 million, an increase of $121 million, as compared to operating income of $103 million in 2009, and, as a percentage of net revenue, was 17%, as compared to 10%, respectively.</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provision for income taxes was $29 million as compared to $30 million in the 2009 period. When excluding the tax benefits of $7 million and $6 million relating to the 2010 and 2009 special items, respectively, the income tax provision was $36 million in both the 2010 and 2009 periods, representing effective tax rates of 16.0% and 35.3% in the 2010 and 2009 periods, respectively. The reduction in the effective tax rate in the 2010 period is principally due to a change in the geographic mix of operating income between the respective periods.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$2 million, as compared to the 2009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are presented, as applicable, on an “as reported” and “excluding special items” basis (see Note 19 of Notes to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Financial Advisory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67"/>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1"/>
              </w:rPr>
              <w:t>in thousands)</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75"/>
              <w:spacing w:after="0"/>
              <w:rPr>
                <w:sz w:val="20"/>
                <w:szCs w:val="20"/>
                <w:color w:val="auto"/>
              </w:rPr>
            </w:pPr>
            <w:r>
              <w:rPr>
                <w:rFonts w:ascii="Arial" w:cs="Arial" w:eastAsia="Arial" w:hAnsi="Arial"/>
                <w:sz w:val="18"/>
                <w:szCs w:val="18"/>
                <w:color w:val="auto"/>
                <w:w w:val="95"/>
              </w:rPr>
              <w:t>$160,662</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$124,691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4"/>
          </w:tcPr>
          <w:p>
            <w:pPr>
              <w:jc w:val="right"/>
              <w:ind w:right="175"/>
              <w:spacing w:after="0"/>
              <w:rPr>
                <w:sz w:val="20"/>
                <w:szCs w:val="20"/>
                <w:color w:val="auto"/>
              </w:rPr>
            </w:pPr>
            <w:r>
              <w:rPr>
                <w:rFonts w:ascii="Arial" w:cs="Arial" w:eastAsia="Arial" w:hAnsi="Arial"/>
                <w:sz w:val="18"/>
                <w:szCs w:val="18"/>
                <w:color w:val="auto"/>
              </w:rPr>
              <w:t>66,000</w:t>
            </w: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119,101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Markets and Other Advisory</w:t>
            </w: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75"/>
              <w:spacing w:after="0"/>
              <w:rPr>
                <w:sz w:val="20"/>
                <w:szCs w:val="20"/>
                <w:color w:val="auto"/>
              </w:rPr>
            </w:pPr>
            <w:r>
              <w:rPr>
                <w:rFonts w:ascii="Arial" w:cs="Arial" w:eastAsia="Arial" w:hAnsi="Arial"/>
                <w:sz w:val="18"/>
                <w:szCs w:val="18"/>
                <w:color w:val="auto"/>
              </w:rPr>
              <w:t>27,350</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Revenue</w:t>
            </w: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175"/>
              <w:spacing w:after="0"/>
              <w:rPr>
                <w:sz w:val="20"/>
                <w:szCs w:val="20"/>
                <w:color w:val="auto"/>
              </w:rPr>
            </w:pPr>
            <w:r>
              <w:rPr>
                <w:rFonts w:ascii="Arial" w:cs="Arial" w:eastAsia="Arial" w:hAnsi="Arial"/>
                <w:sz w:val="18"/>
                <w:szCs w:val="18"/>
                <w:color w:val="auto"/>
                <w:w w:val="98"/>
              </w:rPr>
              <w:t>254,012</w:t>
            </w:r>
          </w:p>
        </w:tc>
        <w:tc>
          <w:tcPr>
            <w:tcW w:w="40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259,221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75"/>
              <w:spacing w:after="0"/>
              <w:rPr>
                <w:sz w:val="20"/>
                <w:szCs w:val="20"/>
                <w:color w:val="auto"/>
              </w:rPr>
            </w:pPr>
            <w:r>
              <w:rPr>
                <w:rFonts w:ascii="Arial" w:cs="Arial" w:eastAsia="Arial" w:hAnsi="Arial"/>
                <w:sz w:val="18"/>
                <w:szCs w:val="18"/>
                <w:color w:val="auto"/>
                <w:w w:val="98"/>
              </w:rPr>
              <w:t>215,838</w:t>
            </w: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4"/>
          </w:tcPr>
          <w:p>
            <w:pPr>
              <w:jc w:val="right"/>
              <w:ind w:right="175"/>
              <w:spacing w:after="0"/>
              <w:rPr>
                <w:sz w:val="20"/>
                <w:szCs w:val="20"/>
                <w:color w:val="auto"/>
              </w:rPr>
            </w:pPr>
            <w:r>
              <w:rPr>
                <w:rFonts w:ascii="Arial" w:cs="Arial" w:eastAsia="Arial" w:hAnsi="Arial"/>
                <w:sz w:val="18"/>
                <w:szCs w:val="18"/>
                <w:color w:val="auto"/>
              </w:rPr>
              <w:t>$ 38,174</w:t>
            </w:r>
          </w:p>
        </w:tc>
        <w:tc>
          <w:tcPr>
            <w:tcW w:w="40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$ 46,678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Income, As A Percentage Of</w:t>
            </w: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1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7"/>
          </w:tcPr>
          <w:p>
            <w:pPr>
              <w:jc w:val="center"/>
              <w:ind w:right="700"/>
              <w:spacing w:after="0"/>
              <w:rPr>
                <w:sz w:val="20"/>
                <w:szCs w:val="20"/>
                <w:color w:val="auto"/>
              </w:rPr>
            </w:pPr>
            <w:r>
              <w:rPr>
                <w:rFonts w:ascii="Arial" w:cs="Arial" w:eastAsia="Arial" w:hAnsi="Arial"/>
                <w:sz w:val="14"/>
                <w:szCs w:val="14"/>
                <w:b w:val="1"/>
                <w:bCs w:val="1"/>
                <w:color w:val="auto"/>
                <w:w w:val="90"/>
              </w:rPr>
              <w:t>Nine Months Ended</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ind w:right="700"/>
              <w:spacing w:after="0"/>
              <w:rPr>
                <w:sz w:val="20"/>
                <w:szCs w:val="20"/>
                <w:color w:val="auto"/>
              </w:rPr>
            </w:pPr>
            <w:r>
              <w:rPr>
                <w:rFonts w:ascii="Arial" w:cs="Arial" w:eastAsia="Arial" w:hAnsi="Arial"/>
                <w:sz w:val="14"/>
                <w:szCs w:val="14"/>
                <w:b w:val="1"/>
                <w:bCs w:val="1"/>
                <w:color w:val="auto"/>
                <w:w w:val="85"/>
              </w:rPr>
              <w:t>September 30,</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7"/>
              <w:spacing w:after="0" w:line="129" w:lineRule="exact"/>
              <w:rPr>
                <w:sz w:val="20"/>
                <w:szCs w:val="20"/>
                <w:color w:val="auto"/>
              </w:rPr>
            </w:pPr>
            <w:r>
              <w:rPr>
                <w:rFonts w:ascii="Arial" w:cs="Arial" w:eastAsia="Arial" w:hAnsi="Arial"/>
                <w:sz w:val="14"/>
                <w:szCs w:val="14"/>
                <w:b w:val="1"/>
                <w:bCs w:val="1"/>
                <w:color w:val="auto"/>
                <w:w w:val="87"/>
              </w:rPr>
              <w:t>Non-</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5"/>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U.S. GAAP</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U.S. GAAP</w:t>
            </w:r>
          </w:p>
        </w:tc>
        <w:tc>
          <w:tcPr>
            <w:tcW w:w="260" w:type="dxa"/>
            <w:vAlign w:val="bottom"/>
          </w:tcPr>
          <w:p>
            <w:pPr>
              <w:spacing w:after="0"/>
              <w:rPr>
                <w:sz w:val="12"/>
                <w:szCs w:val="12"/>
                <w:color w:val="auto"/>
              </w:rPr>
            </w:pPr>
          </w:p>
        </w:tc>
        <w:tc>
          <w:tcPr>
            <w:tcW w:w="1180" w:type="dxa"/>
            <w:vAlign w:val="bottom"/>
            <w:gridSpan w:val="2"/>
          </w:tcPr>
          <w:p>
            <w:pPr>
              <w:jc w:val="center"/>
              <w:ind w:right="512"/>
              <w:spacing w:after="0" w:line="149" w:lineRule="exact"/>
              <w:rPr>
                <w:sz w:val="20"/>
                <w:szCs w:val="20"/>
                <w:color w:val="auto"/>
              </w:rPr>
            </w:pPr>
            <w:r>
              <w:rPr>
                <w:rFonts w:ascii="Arial" w:cs="Arial" w:eastAsia="Arial" w:hAnsi="Arial"/>
                <w:sz w:val="14"/>
                <w:szCs w:val="14"/>
                <w:b w:val="1"/>
                <w:bCs w:val="1"/>
                <w:color w:val="auto"/>
                <w:w w:val="89"/>
              </w:rPr>
              <w:t>Impact of</w:t>
            </w:r>
          </w:p>
        </w:tc>
        <w:tc>
          <w:tcPr>
            <w:tcW w:w="138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Excluding</w:t>
            </w:r>
          </w:p>
        </w:tc>
        <w:tc>
          <w:tcPr>
            <w:tcW w:w="8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U.S. GAAP</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7"/>
              </w:rPr>
              <w:t>As</w:t>
            </w:r>
          </w:p>
        </w:tc>
        <w:tc>
          <w:tcPr>
            <w:tcW w:w="260" w:type="dxa"/>
            <w:vAlign w:val="bottom"/>
          </w:tcPr>
          <w:p>
            <w:pPr>
              <w:spacing w:after="0"/>
              <w:rPr>
                <w:sz w:val="12"/>
                <w:szCs w:val="12"/>
                <w:color w:val="auto"/>
              </w:rPr>
            </w:pPr>
          </w:p>
        </w:tc>
        <w:tc>
          <w:tcPr>
            <w:tcW w:w="1180" w:type="dxa"/>
            <w:vAlign w:val="bottom"/>
            <w:gridSpan w:val="2"/>
          </w:tcPr>
          <w:p>
            <w:pPr>
              <w:jc w:val="center"/>
              <w:ind w:right="512"/>
              <w:spacing w:after="0" w:line="149" w:lineRule="exact"/>
              <w:rPr>
                <w:sz w:val="20"/>
                <w:szCs w:val="20"/>
                <w:color w:val="auto"/>
              </w:rPr>
            </w:pPr>
            <w:r>
              <w:rPr>
                <w:rFonts w:ascii="Arial" w:cs="Arial" w:eastAsia="Arial" w:hAnsi="Arial"/>
                <w:sz w:val="14"/>
                <w:szCs w:val="14"/>
                <w:b w:val="1"/>
                <w:bCs w:val="1"/>
                <w:color w:val="auto"/>
                <w:w w:val="81"/>
              </w:rPr>
              <w:t>Special</w:t>
            </w:r>
          </w:p>
        </w:tc>
        <w:tc>
          <w:tcPr>
            <w:tcW w:w="80" w:type="dxa"/>
            <w:vAlign w:val="bottom"/>
          </w:tcPr>
          <w:p>
            <w:pPr>
              <w:spacing w:after="0"/>
              <w:rPr>
                <w:sz w:val="12"/>
                <w:szCs w:val="12"/>
                <w:color w:val="auto"/>
              </w:rPr>
            </w:pPr>
          </w:p>
        </w:tc>
        <w:tc>
          <w:tcPr>
            <w:tcW w:w="130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81"/>
              </w:rPr>
              <w:t>Special</w:t>
            </w:r>
          </w:p>
        </w:tc>
        <w:tc>
          <w:tcPr>
            <w:tcW w:w="240" w:type="dxa"/>
            <w:vAlign w:val="bottom"/>
          </w:tcPr>
          <w:p>
            <w:pPr>
              <w:spacing w:after="0"/>
              <w:rPr>
                <w:sz w:val="12"/>
                <w:szCs w:val="12"/>
                <w:color w:val="auto"/>
              </w:rPr>
            </w:pPr>
          </w:p>
        </w:tc>
        <w:tc>
          <w:tcPr>
            <w:tcW w:w="6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Item (a)</w:t>
            </w: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right="7"/>
              <w:spacing w:after="0"/>
              <w:rPr>
                <w:sz w:val="20"/>
                <w:szCs w:val="20"/>
                <w:color w:val="auto"/>
              </w:rPr>
            </w:pPr>
            <w:r>
              <w:rPr>
                <w:rFonts w:ascii="Arial" w:cs="Arial" w:eastAsia="Arial" w:hAnsi="Arial"/>
                <w:sz w:val="14"/>
                <w:szCs w:val="14"/>
                <w:b w:val="1"/>
                <w:bCs w:val="1"/>
                <w:color w:val="auto"/>
                <w:w w:val="94"/>
              </w:rPr>
              <w:t>Item (b)</w:t>
            </w:r>
          </w:p>
        </w:tc>
        <w:tc>
          <w:tcPr>
            <w:tcW w:w="700" w:type="dxa"/>
            <w:vAlign w:val="bottom"/>
            <w:gridSpan w:val="2"/>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gridSpan w:val="4"/>
          </w:tcPr>
          <w:p>
            <w:pPr>
              <w:jc w:val="right"/>
              <w:ind w:right="387"/>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$454,073</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$454,073</w:t>
            </w:r>
          </w:p>
        </w:tc>
        <w:tc>
          <w:tcPr>
            <w:tcW w:w="3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$356,020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246,066</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246,066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273,261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Markets and Other Advisory</w:t>
            </w:r>
          </w:p>
        </w:tc>
        <w:tc>
          <w:tcPr>
            <w:tcW w:w="1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68,342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68,342</w:t>
            </w:r>
          </w:p>
        </w:tc>
        <w:tc>
          <w:tcPr>
            <w:tcW w:w="3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Revenue</w:t>
            </w:r>
          </w:p>
        </w:tc>
        <w:tc>
          <w:tcPr>
            <w:tcW w:w="1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768,481</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768,481</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674,222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(c)</w:t>
            </w:r>
          </w:p>
        </w:tc>
        <w:tc>
          <w:tcPr>
            <w:tcW w:w="1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667,538</w:t>
            </w:r>
          </w:p>
        </w:tc>
        <w:tc>
          <w:tcPr>
            <w:tcW w:w="144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$19,571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647,967</w:t>
            </w:r>
          </w:p>
        </w:tc>
        <w:tc>
          <w:tcPr>
            <w:tcW w:w="3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595,649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2"/>
            <w:vMerge w:val="continue"/>
          </w:tcPr>
          <w:p>
            <w:pPr>
              <w:spacing w:after="0"/>
              <w:rPr>
                <w:sz w:val="19"/>
                <w:szCs w:val="19"/>
                <w:color w:val="auto"/>
              </w:rPr>
            </w:pPr>
          </w:p>
        </w:tc>
        <w:tc>
          <w:tcPr>
            <w:tcW w:w="2560" w:type="dxa"/>
            <w:vAlign w:val="bottom"/>
            <w:gridSpan w:val="3"/>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100,943</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120,514</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$ 78,573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Income, As A Percentage Of</w:t>
            </w: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1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95"/>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7"/>
              </w:rPr>
              <w:t>As of 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540" w:type="dxa"/>
            <w:vAlign w:val="bottom"/>
            <w:tcBorders>
              <w:top w:val="single" w:sz="8" w:color="auto"/>
            </w:tcBorders>
            <w:gridSpan w:val="2"/>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(d):</w:t>
            </w: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679</w:t>
            </w:r>
          </w:p>
        </w:tc>
        <w:tc>
          <w:tcPr>
            <w:tcW w:w="4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1,017</w:t>
            </w:r>
          </w:p>
        </w:tc>
        <w:tc>
          <w:tcPr>
            <w:tcW w:w="4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Financial Advisory segment (see Note 19 of Notes to Condensed Consolidated Financial Statements).</w:t>
      </w: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56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88"/>
              </w:rPr>
              <w:t>Nine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9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24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Number of Clients:</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With Fees Greater than $1 million</w:t>
            </w:r>
          </w:p>
        </w:tc>
        <w:tc>
          <w:tcPr>
            <w:tcW w:w="1440" w:type="dxa"/>
            <w:vAlign w:val="bottom"/>
            <w:gridSpan w:val="2"/>
          </w:tcPr>
          <w:p>
            <w:pPr>
              <w:jc w:val="right"/>
              <w:ind w:right="832"/>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14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Number of M&amp;A Transactions Completed Greater than $1 billion (a)</w:t>
            </w:r>
          </w:p>
        </w:tc>
        <w:tc>
          <w:tcPr>
            <w:tcW w:w="1440" w:type="dxa"/>
            <w:vAlign w:val="bottom"/>
            <w:gridSpan w:val="2"/>
          </w:tcPr>
          <w:p>
            <w:pPr>
              <w:jc w:val="right"/>
              <w:ind w:right="83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Financial as of October 25, 2010.</w:t>
      </w:r>
    </w:p>
    <w:p>
      <w:pPr>
        <w:spacing w:after="0" w:line="15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(principally in the U.K., France, Italy, Spain and Germany) and the rest of the world (principally in Australia). However, such distribution is not reflective of the geography in which the clients are located.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21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82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80" w:firstLine="456"/>
        <w:spacing w:after="0" w:line="316" w:lineRule="auto"/>
        <w:rPr>
          <w:sz w:val="20"/>
          <w:szCs w:val="20"/>
          <w:color w:val="auto"/>
        </w:rPr>
      </w:pPr>
      <w:r>
        <w:rPr>
          <w:rFonts w:ascii="Arial" w:cs="Arial" w:eastAsia="Arial" w:hAnsi="Arial"/>
          <w:sz w:val="15"/>
          <w:szCs w:val="15"/>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further periods. As reflected in the table of operating results of the Financial Advisory segment above, the portion of the 2010 special item attributable to the Financial Advisory segment had a significant impact on the segment’s reported operating results for the nine month period ended September 30, 2010. Lazard management believes that comparisons between periods are most meaningful after excluding the impact of such item.</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September 30, 2010 versus September 30, 2009</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Financial Advisory net revenue decreased $5 million, or 2%, as compared to the 2009 period, with increases in M&amp;A and Strategic Advisory revenue of $36 million, or 29% and Capital Markets and Other Advisory net revenue of $12 million, or 77%, being offset by decreases in Restructuring revenue of $53 million, or 45%.</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increase in M&amp;A and Strategic Advisory revenue was principally due to an increase in completed assignments in which we were engaged and higher average fees per M&amp;A and Strategic Advisory assignment. Our major clients, which in the aggregate represented a significant portion of our M&amp;A and Strategic Advisory revenue for the third quarter of 2010 included Coca-Cola Enterprises, Continental Airlines, Creative Artists Agency, DeCrane Aerospace, Deutsche Bahn, Healthscope, Honeywell, Micrus Endovascular, Newcrest Mining and Silpada Designs.</w:t>
      </w:r>
    </w:p>
    <w:p>
      <w:pPr>
        <w:spacing w:after="0" w:line="9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such as retiree health care obligations. The decrease in Restructuring revenue was principally driven by declines in both retainer and completion fees. The decline in retainer fees is related to a lower number of active deals versus that in the 2009 period, consistent with the decelerating pace of corporate debt defaults previously described. Notable assignments completed in the third quarter of 2010 included BNP Paribas, BTA Bank JSC, LNR Property, The Trump Group and U.S. Concrete. Several of these assignments that were completed in the third quarter of 2010 began in the fourth quarter of 2009.</w:t>
      </w:r>
    </w:p>
    <w:p>
      <w:pPr>
        <w:spacing w:after="0" w:line="13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increase in Capital Markets and Other Advisory net revenue principally reflected increased revenue in our Private Fund Advisory Group resulting from an increase in the number and value of fund closings, partially offset by decreases in underwriting fees from public offerings.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expenses increased $3 million, or 2%, as compared to the 2009 period, principally due to higher business development expenses.</w:t>
      </w:r>
    </w:p>
    <w:p>
      <w:pPr>
        <w:spacing w:after="0" w:line="18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Financial Advisory operating income was $38 million, a decrease of $9 million, as compared to the 2009 period, and represented 15% of segment net revenues in the 2010 period as compared to 18% in the 2009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Nine Months Ended September 30, 2010 versus September 30, 2009</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Financial Advisory net revenue increased approximately $94 million, or 14%, as compared to the 2009 period, reflecting increases in M&amp;A and Strategic Advisory revenue of $98 million, or 28% and Capital Markets and Other Advisory net revenue of $23 million, or 52%, partially offset by declines in Restructuring revenue of $27 million, or 10%.</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in M&amp;A and Strategic Advisory revenue was principally due to higher average fees per M&amp;A and Strategic Advisory assignment.</w:t>
      </w:r>
    </w:p>
    <w:p>
      <w:pPr>
        <w:spacing w:after="0" w:line="18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decrease in Restructuring revenue was principally driven by a decline in retainer fees earned, which was partially offset by an increase in completion fees. While the number of completed restructurings increased as compared to the 2009 period, the average fee per completed transaction declined. The decrease in retainer fees was due to a decline in the number of active assignments in the 2010 period as compared to the 2009 period.</w:t>
      </w:r>
    </w:p>
    <w:p>
      <w:pPr>
        <w:spacing w:after="0" w:line="9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increase in Capital Markets and Other Advisory net revenue principally reflected increased revenue in our Private Fund Advisory Group, resulting from an increase in the number and value of fund closings, and was partially offset by decreases in underwriting fees from public offerings.</w:t>
      </w:r>
    </w:p>
    <w:p>
      <w:pPr>
        <w:spacing w:after="0" w:line="72" w:lineRule="exact"/>
        <w:rPr>
          <w:sz w:val="20"/>
          <w:szCs w:val="20"/>
          <w:color w:val="auto"/>
        </w:rPr>
      </w:pPr>
    </w:p>
    <w:p>
      <w:pPr>
        <w:jc w:val="both"/>
        <w:ind w:right="720" w:firstLine="456"/>
        <w:spacing w:after="0" w:line="259" w:lineRule="auto"/>
        <w:rPr>
          <w:sz w:val="20"/>
          <w:szCs w:val="20"/>
          <w:color w:val="auto"/>
        </w:rPr>
      </w:pPr>
      <w:r>
        <w:rPr>
          <w:rFonts w:ascii="Arial" w:cs="Arial" w:eastAsia="Arial" w:hAnsi="Arial"/>
          <w:sz w:val="18"/>
          <w:szCs w:val="18"/>
          <w:color w:val="auto"/>
        </w:rPr>
        <w:t>Operating expenses increased $72 million, or 12%, as compared to the 2009 period. Excluding the impact of the portion of the 2010 special item attributable to the Financial Advisory segment, operating expenses increased $52 million, or 9%. Contributing to the increase was a higher provision for discretionary compensation related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increase in operating revenue, partially offset by a decline in the amortization of share-based and deferred cash incentive compensation awards, and higher costs related to travel and other business development expenses and technology expenses.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Financial Advisory operating income was $101 million, an increase of $22 million, as compared to the 2009 period, and represented 13% of segment net revenues in the 2010 period. Excluding the impact of the portion of the 2010 special item attributable to the Financial Advisory segment, operating income in the 2010 period increased $42 million, and represented 16% of segment net revenues, as compared to 12% in the 2009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5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left="375"/>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International Equities</w:t>
            </w:r>
          </w:p>
        </w:tc>
        <w:tc>
          <w:tcPr>
            <w:tcW w:w="324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30,831</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32,268</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58,332</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U.S. Equities</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3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120,538</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106,603</w:t>
            </w:r>
          </w:p>
        </w:tc>
        <w:tc>
          <w:tcPr>
            <w:tcW w:w="100" w:type="dxa"/>
            <w:vAlign w:val="bottom"/>
            <w:shd w:val="clear" w:color="auto" w:fill="CCEEFF"/>
          </w:tcPr>
          <w:p>
            <w:pPr>
              <w:spacing w:after="0"/>
              <w:rPr>
                <w:sz w:val="18"/>
                <w:szCs w:val="18"/>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12,467</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13,763</w:t>
            </w:r>
          </w:p>
        </w:tc>
        <w:tc>
          <w:tcPr>
            <w:tcW w:w="100" w:type="dxa"/>
            <w:vAlign w:val="bottom"/>
          </w:tcPr>
          <w:p>
            <w:pPr>
              <w:spacing w:after="0"/>
              <w:rPr>
                <w:sz w:val="19"/>
                <w:szCs w:val="19"/>
                <w:color w:val="auto"/>
              </w:rPr>
            </w:pPr>
          </w:p>
        </w:tc>
      </w:tr>
      <w:tr>
        <w:trPr>
          <w:trHeight w:val="21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U.S. Fixed Income</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3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100" w:type="dxa"/>
            <w:vAlign w:val="bottom"/>
            <w:shd w:val="clear" w:color="auto" w:fill="CCEEFF"/>
          </w:tcPr>
          <w:p>
            <w:pPr>
              <w:spacing w:after="0"/>
              <w:rPr>
                <w:sz w:val="18"/>
                <w:szCs w:val="18"/>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4,603</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9"/>
                <w:szCs w:val="19"/>
                <w:color w:val="auto"/>
              </w:rPr>
            </w:pPr>
          </w:p>
        </w:tc>
      </w:tr>
      <w:tr>
        <w:trPr>
          <w:trHeight w:val="21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Cash Management</w:t>
            </w:r>
          </w:p>
        </w:tc>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324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143,573</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129,543</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Average AUM for the 2010 and 2009 periods is set forth below. Average AUM is based on an average of quarterly ending balances for the respective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320" w:type="dxa"/>
            <w:vAlign w:val="bottom"/>
          </w:tcPr>
          <w:p>
            <w:pPr>
              <w:spacing w:after="0"/>
              <w:rPr>
                <w:sz w:val="14"/>
                <w:szCs w:val="14"/>
                <w:color w:val="auto"/>
              </w:rPr>
            </w:pPr>
          </w:p>
        </w:tc>
        <w:tc>
          <w:tcPr>
            <w:tcW w:w="170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740" w:type="dxa"/>
            <w:vAlign w:val="bottom"/>
          </w:tcPr>
          <w:p>
            <w:pPr>
              <w:spacing w:after="0"/>
              <w:rPr>
                <w:sz w:val="14"/>
                <w:szCs w:val="1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4"/>
                <w:szCs w:val="14"/>
                <w:color w:val="auto"/>
              </w:rPr>
            </w:pPr>
          </w:p>
        </w:tc>
        <w:tc>
          <w:tcPr>
            <w:tcW w:w="170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7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7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ind w:left="400"/>
              <w:spacing w:after="0" w:line="142" w:lineRule="exact"/>
              <w:rPr>
                <w:sz w:val="20"/>
                <w:szCs w:val="20"/>
                <w:color w:val="auto"/>
              </w:rPr>
            </w:pPr>
            <w:r>
              <w:rPr>
                <w:rFonts w:ascii="Arial" w:cs="Arial" w:eastAsia="Arial" w:hAnsi="Arial"/>
                <w:sz w:val="14"/>
                <w:szCs w:val="14"/>
                <w:b w:val="1"/>
                <w:bCs w:val="1"/>
                <w:color w:val="auto"/>
                <w:w w:val="83"/>
              </w:rPr>
              <w:t>($ in</w:t>
            </w:r>
          </w:p>
        </w:tc>
        <w:tc>
          <w:tcPr>
            <w:tcW w:w="1000" w:type="dxa"/>
            <w:vAlign w:val="bottom"/>
            <w:gridSpan w:val="2"/>
          </w:tcPr>
          <w:p>
            <w:pPr>
              <w:jc w:val="right"/>
              <w:ind w:right="412"/>
              <w:spacing w:after="0" w:line="142" w:lineRule="exact"/>
              <w:rPr>
                <w:sz w:val="20"/>
                <w:szCs w:val="20"/>
                <w:color w:val="auto"/>
              </w:rPr>
            </w:pPr>
            <w:r>
              <w:rPr>
                <w:rFonts w:ascii="Arial" w:cs="Arial" w:eastAsia="Arial" w:hAnsi="Arial"/>
                <w:sz w:val="14"/>
                <w:szCs w:val="14"/>
                <w:b w:val="1"/>
                <w:bCs w:val="1"/>
                <w:color w:val="auto"/>
                <w:w w:val="86"/>
              </w:rPr>
              <w:t>millions)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133,528</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109,102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$ 132,893</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$ 97,599</w:t>
            </w:r>
          </w:p>
        </w:tc>
      </w:tr>
      <w:tr>
        <w:trPr>
          <w:trHeight w:val="20"/>
        </w:trPr>
        <w:tc>
          <w:tcPr>
            <w:tcW w:w="7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Total AUM at September 30, 2010 increased $14 billion, or 11%, as compared to that at December 31, 2009. Average AUM for the three month and nine month periods in 2010 was 22% and 36% higher, respectively, than the average AUM for the corresponding 2009 periods, principally the result of market appreciation (which was generally consistent with the industry as a whole) and net inflows occurring over the last twelve month period. International, Global and U.S. equities represented 21%, 50% and 13% of total AUM at September 30, 2010, respectively, versus 25%, 45% and 12% of total AUM at December 31, 2009, respectively.</w:t>
      </w:r>
    </w:p>
    <w:p>
      <w:pPr>
        <w:spacing w:after="0" w:line="12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September 30, 2010 and December 31, 2009, approximately 90% and 89% of our AUM, respectively, was managed on behalf of institutional clients, including corporations, labor unions, public pension funds, insurance companies and banks, and through sub-advisory relationships, mutual fund sponsors, broker-dealers and registered advisors and, as of such dates, 10% and 11% of our AUM, respectively, was managed on behalf of individual client relationships, which are principally with family offices and high-net worth individuals.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September 30, 2010, AUM denominated in foreign currencies represented approximately 41% of our total AUM, as compared to 45% at December 31, 2009. Foreign denominated AUM declines in value with the strengthening of the U.S. dollar and increases in value as the U.S. dollar weakens.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2010 and 2009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right"/>
              <w:ind w:right="432"/>
              <w:spacing w:after="0" w:line="142" w:lineRule="exact"/>
              <w:rPr>
                <w:sz w:val="20"/>
                <w:szCs w:val="20"/>
                <w:color w:val="auto"/>
              </w:rPr>
            </w:pPr>
            <w:r>
              <w:rPr>
                <w:rFonts w:ascii="Arial" w:cs="Arial" w:eastAsia="Arial" w:hAnsi="Arial"/>
                <w:sz w:val="14"/>
                <w:szCs w:val="14"/>
                <w:b w:val="1"/>
                <w:bCs w:val="1"/>
                <w:color w:val="auto"/>
              </w:rPr>
              <w:t>($ in millions)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 - Beginning of Period</w:t>
            </w:r>
          </w:p>
        </w:tc>
        <w:tc>
          <w:tcPr>
            <w:tcW w:w="3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$123,483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98,020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$129,543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Flows(a)</w:t>
            </w:r>
          </w:p>
        </w:tc>
        <w:tc>
          <w:tcPr>
            <w:tcW w:w="3000" w:type="dxa"/>
            <w:vAlign w:val="bottom"/>
            <w:gridSpan w:val="3"/>
          </w:tcPr>
          <w:p>
            <w:pPr>
              <w:jc w:val="right"/>
              <w:ind w:right="220"/>
              <w:spacing w:after="0"/>
              <w:rPr>
                <w:sz w:val="20"/>
                <w:szCs w:val="20"/>
                <w:color w:val="auto"/>
              </w:rPr>
            </w:pPr>
            <w:r>
              <w:rPr>
                <w:rFonts w:ascii="Arial" w:cs="Arial" w:eastAsia="Arial" w:hAnsi="Arial"/>
                <w:sz w:val="18"/>
                <w:szCs w:val="18"/>
                <w:color w:val="auto"/>
              </w:rPr>
              <w:t>1,142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7,743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Acquisitions/(Dispositions)(b)</w:t>
            </w:r>
          </w:p>
        </w:tc>
        <w:tc>
          <w:tcPr>
            <w:tcW w:w="27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w:t>
            </w: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Market and Foreign Exchange Appreciation</w:t>
            </w:r>
          </w:p>
        </w:tc>
        <w:tc>
          <w:tcPr>
            <w:tcW w:w="2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15,253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 - End of Period</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143,573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120,185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143,573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120,185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40" w:hanging="452"/>
        <w:spacing w:after="0" w:line="286"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inflows of $5,627 and $11,110 and outflows of $4,485 and $3,367 for the three month periods in 2010 and 2009, respectively, and inflows of $21,917 and $20,393 and outflows of $15,744 and $14,743 for the nine month periods in 2010 and 2009, respectively.</w:t>
      </w:r>
    </w:p>
    <w:p>
      <w:pPr>
        <w:ind w:left="460" w:right="120" w:hanging="452"/>
        <w:spacing w:after="0" w:line="261"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AUM and unfunded fee-earning commitments related to the acquisition of Edgewater’s management vehicles, offset by the disposition of private equity AUM related to the sale of FPG.</w:t>
      </w:r>
    </w:p>
    <w:p>
      <w:pPr>
        <w:spacing w:after="0" w:line="12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Inflows in the first nine months of 2010 were principally in Global Equities due to increased investments in existing accounts, as well as new accounts gained. Outflows in the period occurred primarily in Global and International Equity and Fixed Income products.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October 22, 2010, AUM was $148.5 billion, a $4.9 billion increase since September 30, 2010. The change in AUM was due to market/foreign exchange appreciation of $3.8 billion and net inflows of $1.1 billion. Market appreciation was approximately 3% of AUM since September 30, 2010, which was generally consistent with the increase in global market indices during that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Asset Management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400"/>
              <w:spacing w:after="0"/>
              <w:rPr>
                <w:sz w:val="20"/>
                <w:szCs w:val="20"/>
                <w:color w:val="auto"/>
              </w:rPr>
            </w:pPr>
            <w:r>
              <w:rPr>
                <w:rFonts w:ascii="Arial" w:cs="Arial" w:eastAsia="Arial" w:hAnsi="Arial"/>
                <w:sz w:val="14"/>
                <w:szCs w:val="14"/>
                <w:b w:val="1"/>
                <w:bCs w:val="1"/>
                <w:color w:val="auto"/>
                <w:w w:val="85"/>
              </w:rPr>
              <w:t>September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78"/>
              </w:rPr>
              <w:t>in thousands)</w:t>
            </w:r>
          </w:p>
        </w:tc>
        <w:tc>
          <w:tcPr>
            <w:tcW w:w="68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183,974</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10,689</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210,132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160,744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Expenses (c)</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150,515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117,728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59,617</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gridSpan w:val="2"/>
            <w:vMerge w:val="continue"/>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8"/>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580" w:type="dxa"/>
            <w:vAlign w:val="bottom"/>
            <w:vMerge w:val="restart"/>
          </w:tcPr>
          <w:p>
            <w:pPr>
              <w:jc w:val="right"/>
              <w:ind w:right="3352"/>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519"/>
              <w:spacing w:after="0"/>
              <w:rPr>
                <w:sz w:val="20"/>
                <w:szCs w:val="20"/>
                <w:color w:val="auto"/>
              </w:rPr>
            </w:pPr>
            <w:r>
              <w:rPr>
                <w:rFonts w:ascii="Arial" w:cs="Arial" w:eastAsia="Arial" w:hAnsi="Arial"/>
                <w:sz w:val="14"/>
                <w:szCs w:val="14"/>
                <w:b w:val="1"/>
                <w:bCs w:val="1"/>
                <w:color w:val="auto"/>
                <w:w w:val="85"/>
              </w:rPr>
              <w:t>September 30,</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7"/>
              </w:rPr>
              <w:t>Non-</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Impact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U.S. GAAP</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U.S. GAAP</w:t>
            </w:r>
          </w:p>
        </w:tc>
        <w:tc>
          <w:tcPr>
            <w:tcW w:w="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Special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6"/>
              </w:rPr>
              <w:t>Excluding</w:t>
            </w:r>
          </w:p>
        </w:tc>
        <w:tc>
          <w:tcPr>
            <w:tcW w:w="74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U.S. GAAP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As Reported</w:t>
            </w:r>
          </w:p>
        </w:tc>
        <w:tc>
          <w:tcPr>
            <w:tcW w:w="3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Item (a)</w:t>
            </w:r>
          </w:p>
        </w:tc>
        <w:tc>
          <w:tcPr>
            <w:tcW w:w="6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Special Item (b)</w:t>
            </w:r>
          </w:p>
        </w:tc>
        <w:tc>
          <w:tcPr>
            <w:tcW w:w="7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80" w:type="dxa"/>
            <w:vAlign w:val="bottom"/>
            <w:gridSpan w:val="3"/>
          </w:tcPr>
          <w:p>
            <w:pPr>
              <w:jc w:val="center"/>
              <w:ind w:right="499"/>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3260" w:type="dxa"/>
            <w:vAlign w:val="bottom"/>
            <w:gridSpan w:val="3"/>
          </w:tcPr>
          <w:p>
            <w:pPr>
              <w:jc w:val="right"/>
              <w:ind w:right="380"/>
              <w:spacing w:after="0"/>
              <w:rPr>
                <w:sz w:val="20"/>
                <w:szCs w:val="20"/>
                <w:color w:val="auto"/>
              </w:rPr>
            </w:pPr>
            <w:r>
              <w:rPr>
                <w:rFonts w:ascii="Arial" w:cs="Arial" w:eastAsia="Arial" w:hAnsi="Arial"/>
                <w:sz w:val="18"/>
                <w:szCs w:val="18"/>
                <w:color w:val="auto"/>
              </w:rPr>
              <w:t>$ 512,757</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512,757</w:t>
            </w:r>
          </w:p>
        </w:tc>
        <w:tc>
          <w:tcPr>
            <w:tcW w:w="8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3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41,891</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41,891</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2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32,651</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32,651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26,003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587,299</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587,299</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393,810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Operating Expenses (c)</w:t>
            </w:r>
          </w:p>
        </w:tc>
        <w:tc>
          <w:tcPr>
            <w:tcW w:w="2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416,841</w:t>
            </w:r>
          </w:p>
        </w:tc>
        <w:tc>
          <w:tcPr>
            <w:tcW w:w="960" w:type="dxa"/>
            <w:vAlign w:val="bottom"/>
            <w:gridSpan w:val="2"/>
          </w:tcPr>
          <w:p>
            <w:pPr>
              <w:jc w:val="center"/>
              <w:ind w:left="302"/>
              <w:spacing w:after="0"/>
              <w:rPr>
                <w:sz w:val="20"/>
                <w:szCs w:val="20"/>
                <w:color w:val="auto"/>
              </w:rPr>
            </w:pPr>
            <w:r>
              <w:rPr>
                <w:rFonts w:ascii="Arial" w:cs="Arial" w:eastAsia="Arial" w:hAnsi="Arial"/>
                <w:sz w:val="18"/>
                <w:szCs w:val="18"/>
                <w:color w:val="auto"/>
                <w:w w:val="96"/>
              </w:rPr>
              <w:t>$ 2,902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413,939</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312,141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$ 170,458</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173,360</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Income, As A Percentage of Net Revenue</w:t>
            </w:r>
          </w:p>
        </w:tc>
        <w:tc>
          <w:tcPr>
            <w:tcW w:w="2720" w:type="dxa"/>
            <w:vAlign w:val="bottom"/>
            <w:gridSpan w:val="2"/>
          </w:tcPr>
          <w:p>
            <w:pPr>
              <w:jc w:val="right"/>
              <w:ind w:right="1840"/>
              <w:spacing w:after="0"/>
              <w:rPr>
                <w:sz w:val="20"/>
                <w:szCs w:val="20"/>
                <w:color w:val="auto"/>
              </w:rPr>
            </w:pPr>
            <w:r>
              <w:rPr>
                <w:rFonts w:ascii="Arial" w:cs="Arial" w:eastAsia="Arial" w:hAnsi="Arial"/>
                <w:sz w:val="18"/>
                <w:szCs w:val="18"/>
                <w:color w:val="auto"/>
              </w:rPr>
              <w:t>29%</w:t>
            </w:r>
          </w:p>
        </w:tc>
        <w:tc>
          <w:tcPr>
            <w:tcW w:w="1340" w:type="dxa"/>
            <w:vAlign w:val="bottom"/>
            <w:gridSpan w:val="3"/>
          </w:tcPr>
          <w:p>
            <w:pPr>
              <w:jc w:val="right"/>
              <w:ind w:right="206"/>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21%</w:t>
            </w: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2"/>
        </w:trPr>
        <w:tc>
          <w:tcPr>
            <w:tcW w:w="11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9"/>
              </w:rPr>
              <w:t>As of September 30,</w:t>
            </w:r>
          </w:p>
        </w:tc>
      </w:tr>
      <w:tr>
        <w:trPr>
          <w:trHeight w:val="142"/>
        </w:trPr>
        <w:tc>
          <w:tcPr>
            <w:tcW w:w="11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Headcount(d):</w:t>
            </w:r>
          </w:p>
        </w:tc>
        <w:tc>
          <w:tcPr>
            <w:tcW w:w="7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7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 functions</w:t>
            </w:r>
          </w:p>
        </w:tc>
        <w:tc>
          <w:tcPr>
            <w:tcW w:w="7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r>
      <w:tr>
        <w:trPr>
          <w:trHeight w:val="222"/>
        </w:trPr>
        <w:tc>
          <w:tcPr>
            <w:tcW w:w="61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666</w:t>
            </w:r>
          </w:p>
        </w:tc>
        <w:tc>
          <w:tcPr>
            <w:tcW w:w="3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1160" w:type="dxa"/>
            <w:vAlign w:val="bottom"/>
            <w:tcBorders>
              <w:bottom w:val="single" w:sz="8" w:color="auto"/>
            </w:tcBorders>
          </w:tcPr>
          <w:p>
            <w:pPr>
              <w:spacing w:after="0"/>
              <w:rPr>
                <w:sz w:val="4"/>
                <w:szCs w:val="4"/>
                <w:color w:val="auto"/>
              </w:rPr>
            </w:pPr>
          </w:p>
        </w:tc>
        <w:tc>
          <w:tcPr>
            <w:tcW w:w="4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Asset Management segment (see Note 19 of Notes to Condensed Consolidated Financial Statements).</w:t>
      </w: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geographical distribution of Asset Management net revenue is set forth below in percentage terms and is based on the revenue related to the location of the respective Lazard office’s AUM:</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74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40" w:type="dxa"/>
            <w:vAlign w:val="bottom"/>
            <w:tcBorders>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8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880" w:type="dxa"/>
            <w:vAlign w:val="bottom"/>
            <w:tcBorders>
              <w:right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59%</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w:t>
            </w:r>
          </w:p>
        </w:tc>
        <w:tc>
          <w:tcPr>
            <w:tcW w:w="13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57%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4880" w:type="dxa"/>
            <w:vAlign w:val="bottom"/>
            <w:gridSpan w:val="3"/>
          </w:tcPr>
          <w:p>
            <w:pPr>
              <w:jc w:val="right"/>
              <w:ind w:right="900"/>
              <w:spacing w:after="0"/>
              <w:rPr>
                <w:sz w:val="20"/>
                <w:szCs w:val="20"/>
                <w:color w:val="auto"/>
              </w:rPr>
            </w:pPr>
            <w:r>
              <w:rPr>
                <w:rFonts w:ascii="Arial" w:cs="Arial" w:eastAsia="Arial" w:hAnsi="Arial"/>
                <w:sz w:val="18"/>
                <w:szCs w:val="18"/>
                <w:color w:val="auto"/>
              </w:rPr>
              <w:t>30</w:t>
            </w:r>
          </w:p>
        </w:tc>
        <w:tc>
          <w:tcPr>
            <w:tcW w:w="1300" w:type="dxa"/>
            <w:vAlign w:val="bottom"/>
            <w:gridSpan w:val="2"/>
          </w:tcPr>
          <w:p>
            <w:pPr>
              <w:jc w:val="right"/>
              <w:ind w:right="820"/>
              <w:spacing w:after="0"/>
              <w:rPr>
                <w:sz w:val="20"/>
                <w:szCs w:val="20"/>
                <w:color w:val="auto"/>
              </w:rPr>
            </w:pPr>
            <w:r>
              <w:rPr>
                <w:rFonts w:ascii="Arial" w:cs="Arial" w:eastAsia="Arial" w:hAnsi="Arial"/>
                <w:sz w:val="18"/>
                <w:szCs w:val="18"/>
                <w:color w:val="auto"/>
              </w:rPr>
              <w:t>35</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4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w:t>
            </w:r>
          </w:p>
        </w:tc>
        <w:tc>
          <w:tcPr>
            <w:tcW w:w="13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00" w:type="dxa"/>
            <w:vAlign w:val="bottom"/>
            <w:vMerge w:val="continue"/>
          </w:tcPr>
          <w:p>
            <w:pPr>
              <w:spacing w:after="0"/>
              <w:rPr>
                <w:sz w:val="19"/>
                <w:szCs w:val="19"/>
                <w:color w:val="auto"/>
              </w:rPr>
            </w:pPr>
          </w:p>
        </w:tc>
        <w:tc>
          <w:tcPr>
            <w:tcW w:w="3440" w:type="dxa"/>
            <w:vAlign w:val="bottom"/>
          </w:tcPr>
          <w:p>
            <w:pPr>
              <w:spacing w:after="0"/>
              <w:rPr>
                <w:sz w:val="19"/>
                <w:szCs w:val="19"/>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72"/>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440" w:type="dxa"/>
            <w:vAlign w:val="bottom"/>
            <w:vMerge w:val="restart"/>
          </w:tcPr>
          <w:p>
            <w:pPr>
              <w:jc w:val="right"/>
              <w:ind w:right="852"/>
              <w:spacing w:after="0"/>
              <w:rPr>
                <w:sz w:val="20"/>
                <w:szCs w:val="20"/>
                <w:color w:val="auto"/>
              </w:rPr>
            </w:pPr>
            <w:r>
              <w:rPr>
                <w:rFonts w:ascii="Arial" w:cs="Arial" w:eastAsia="Arial" w:hAnsi="Arial"/>
                <w:sz w:val="18"/>
                <w:szCs w:val="18"/>
                <w:color w:val="auto"/>
              </w:rPr>
              <w:t>56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 As reflected in the table of operating results of the Asset Management segment above, the portion of the 2010 special item attributable to the Asset Management segment had a significant impact on the segment’s reported operating results for the nine month period ended September 30, 2010. Lazard management believes that comparisons between periods are most meaningful after excluding the impact of such item.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2010 versus September 30, 2009</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Asset Management net revenue increased $49 million, or 31%, as compared to the 2009 period. Management fees increased $51 million, or 38%, as compared to 2009, driven by a 22% increase in average AUM. This increase was due largely to the increase in equity market indices, a favorable change in the mix of AUM into higher margin global equity products and net inflows. Other revenue decreased $1 million as compared to the 2009 period.</w:t>
      </w:r>
    </w:p>
    <w:p>
      <w:pPr>
        <w:spacing w:after="0" w:line="93"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Operating expenses increased $33 million, or 28%, as compared to the 2009 period, principally due to a higher provision for discretionary compensation and profit pools related to the increase in operating revenue, as well as higher fees for outsourced services related to higher AUM and increased travel expenses.</w:t>
      </w:r>
    </w:p>
    <w:p>
      <w:pPr>
        <w:spacing w:after="0" w:line="4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Asset Management operating income was $60 million, an increase of $17 million, as compared to $43 million in the 2009 period, and represented 28% of segment net revenue, as compared to 27% in the 2009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2010 versus September 30, 2009</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Asset Management net revenue increased $193 million, or 49%, as compared to the 2009 period. Management fees increased $179 million, or 54%, as compared to 2009, driven by a 36% increase in average AUM. This increase was due largely to the increase in equity market indices, a favorable change in the mix of AUM into higher margin global equity products and net inflows. Incentive fees, primarily relating to traditional long-only investment strategies, increased $8 million, or 24%, as compared to the 2009 period. Other revenue increased $7 million as compared to the 2009 period, principally due to increased investment and commission income.</w:t>
      </w:r>
    </w:p>
    <w:p>
      <w:pPr>
        <w:spacing w:after="0" w:line="129"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Operating expenses increased $105 million, or 34%, as compared to the 2009 period. When excluding the 2010 special item, operating expenses increased $102 million, or 33%, principally due to a higher provision for discretionary compensation and profit pools related to the increase in operating revenue, as well as higher fees for outsourced services related to higher AUM and an increase in the amortization of intangible assets relating to the Edgewater acquisition.</w:t>
      </w:r>
    </w:p>
    <w:p>
      <w:pPr>
        <w:spacing w:after="0" w:line="7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Asset Management operating income was $170 million, an increase of $89 million, as compared to $82 million in the 2009 period, and represented 29% of segment net revenue. When excluding the impact of the 2010 special item, operating income increased $92 million, and represented 30% of segment net revenue as compared to 21% for the 2009 period.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the Corporate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11"/>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 in</w:t>
            </w:r>
          </w:p>
        </w:tc>
        <w:tc>
          <w:tcPr>
            <w:tcW w:w="980" w:type="dxa"/>
            <w:vAlign w:val="bottom"/>
            <w:gridSpan w:val="6"/>
          </w:tcPr>
          <w:p>
            <w:pPr>
              <w:jc w:val="right"/>
              <w:ind w:right="272"/>
              <w:spacing w:after="0" w:line="142" w:lineRule="exact"/>
              <w:rPr>
                <w:sz w:val="20"/>
                <w:szCs w:val="20"/>
                <w:color w:val="auto"/>
              </w:rPr>
            </w:pPr>
            <w:r>
              <w:rPr>
                <w:rFonts w:ascii="Arial" w:cs="Arial" w:eastAsia="Arial" w:hAnsi="Arial"/>
                <w:sz w:val="14"/>
                <w:szCs w:val="14"/>
                <w:b w:val="1"/>
                <w:bCs w:val="1"/>
                <w:color w:val="auto"/>
                <w:w w:val="79"/>
              </w:rPr>
              <w:t>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72"/>
              <w:spacing w:after="0"/>
              <w:rPr>
                <w:sz w:val="20"/>
                <w:szCs w:val="20"/>
                <w:color w:val="auto"/>
              </w:rPr>
            </w:pPr>
            <w:r>
              <w:rPr>
                <w:rFonts w:ascii="Arial" w:cs="Arial" w:eastAsia="Arial" w:hAnsi="Arial"/>
                <w:sz w:val="18"/>
                <w:szCs w:val="18"/>
                <w:color w:val="auto"/>
              </w:rPr>
              <w:t>$  4,651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780" w:type="dxa"/>
            <w:vAlign w:val="bottom"/>
            <w:gridSpan w:val="4"/>
          </w:tcPr>
          <w:p>
            <w:pPr>
              <w:jc w:val="right"/>
              <w:ind w:right="12"/>
              <w:spacing w:after="0"/>
              <w:rPr>
                <w:sz w:val="20"/>
                <w:szCs w:val="20"/>
                <w:color w:val="auto"/>
              </w:rPr>
            </w:pPr>
            <w:r>
              <w:rPr>
                <w:rFonts w:ascii="Arial" w:cs="Arial" w:eastAsia="Arial" w:hAnsi="Arial"/>
                <w:sz w:val="18"/>
                <w:szCs w:val="18"/>
                <w:color w:val="auto"/>
              </w:rPr>
              <w:t>(25,050)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(26,636)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7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(20,399)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(18,416)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8,796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12"/>
              <w:spacing w:after="0"/>
              <w:rPr>
                <w:sz w:val="20"/>
                <w:szCs w:val="20"/>
                <w:color w:val="auto"/>
              </w:rPr>
            </w:pPr>
            <w:r>
              <w:rPr>
                <w:rFonts w:ascii="Arial" w:cs="Arial" w:eastAsia="Arial" w:hAnsi="Arial"/>
                <w:sz w:val="18"/>
                <w:szCs w:val="18"/>
                <w:color w:val="auto"/>
              </w:rPr>
              <w:t>(11,603)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7,270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(18,873)</w:t>
            </w:r>
          </w:p>
        </w:tc>
        <w:tc>
          <w:tcPr>
            <w:tcW w:w="94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(16,524)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4"/>
          </w:tcPr>
          <w:p>
            <w:pPr>
              <w:jc w:val="center"/>
              <w:ind w:left="95"/>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63"/>
              <w:spacing w:after="0" w:line="129" w:lineRule="exact"/>
              <w:rPr>
                <w:sz w:val="20"/>
                <w:szCs w:val="20"/>
                <w:color w:val="auto"/>
              </w:rPr>
            </w:pPr>
            <w:r>
              <w:rPr>
                <w:rFonts w:ascii="Arial" w:cs="Arial" w:eastAsia="Arial" w:hAnsi="Arial"/>
                <w:sz w:val="14"/>
                <w:szCs w:val="14"/>
                <w:b w:val="1"/>
                <w:bCs w:val="1"/>
                <w:color w:val="auto"/>
                <w:w w:val="87"/>
              </w:rPr>
              <w:t>Non-U.S.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Non-U.S.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93"/>
              </w:rPr>
              <w:t>GAAP</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U.S. GAAP</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Impact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86"/>
              </w:rPr>
              <w:t>Excluding</w:t>
            </w:r>
          </w:p>
        </w:tc>
        <w:tc>
          <w:tcPr>
            <w:tcW w:w="12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U.S. GAAP</w:t>
            </w:r>
          </w:p>
        </w:tc>
        <w:tc>
          <w:tcPr>
            <w:tcW w:w="140" w:type="dxa"/>
            <w:vAlign w:val="bottom"/>
          </w:tcPr>
          <w:p>
            <w:pPr>
              <w:spacing w:after="0"/>
              <w:rPr>
                <w:sz w:val="12"/>
                <w:szCs w:val="12"/>
                <w:color w:val="auto"/>
              </w:rPr>
            </w:pPr>
          </w:p>
        </w:tc>
        <w:tc>
          <w:tcPr>
            <w:tcW w:w="840" w:type="dxa"/>
            <w:vAlign w:val="bottom"/>
            <w:gridSpan w:val="5"/>
          </w:tcPr>
          <w:p>
            <w:pPr>
              <w:jc w:val="center"/>
              <w:ind w:right="212"/>
              <w:spacing w:after="0" w:line="149" w:lineRule="exact"/>
              <w:rPr>
                <w:sz w:val="20"/>
                <w:szCs w:val="20"/>
                <w:color w:val="auto"/>
              </w:rPr>
            </w:pPr>
            <w:r>
              <w:rPr>
                <w:rFonts w:ascii="Arial" w:cs="Arial" w:eastAsia="Arial" w:hAnsi="Arial"/>
                <w:sz w:val="14"/>
                <w:szCs w:val="14"/>
                <w:b w:val="1"/>
                <w:bCs w:val="1"/>
                <w:color w:val="auto"/>
                <w:w w:val="89"/>
              </w:rPr>
              <w:t>Impact of</w:t>
            </w:r>
          </w:p>
        </w:tc>
        <w:tc>
          <w:tcPr>
            <w:tcW w:w="40" w:type="dxa"/>
            <w:vAlign w:val="bottom"/>
          </w:tcPr>
          <w:p>
            <w:pPr>
              <w:spacing w:after="0"/>
              <w:rPr>
                <w:sz w:val="12"/>
                <w:szCs w:val="12"/>
                <w:color w:val="auto"/>
              </w:rPr>
            </w:pPr>
          </w:p>
        </w:tc>
        <w:tc>
          <w:tcPr>
            <w:tcW w:w="9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7"/>
              </w:rPr>
              <w:t>As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Special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85"/>
              </w:rPr>
              <w:t>Special</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7"/>
              </w:rPr>
              <w:t>As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center"/>
              <w:ind w:right="252"/>
              <w:spacing w:after="0" w:line="149" w:lineRule="exact"/>
              <w:rPr>
                <w:sz w:val="20"/>
                <w:szCs w:val="20"/>
                <w:color w:val="auto"/>
              </w:rPr>
            </w:pPr>
            <w:r>
              <w:rPr>
                <w:rFonts w:ascii="Arial" w:cs="Arial" w:eastAsia="Arial" w:hAnsi="Arial"/>
                <w:sz w:val="14"/>
                <w:szCs w:val="14"/>
                <w:b w:val="1"/>
                <w:bCs w:val="1"/>
                <w:color w:val="auto"/>
                <w:w w:val="85"/>
              </w:rPr>
              <w:t>Special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Reported</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Items (a)</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Items (b)</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Item (a)</w:t>
            </w:r>
          </w:p>
        </w:tc>
        <w:tc>
          <w:tcPr>
            <w:tcW w:w="2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52"/>
              <w:spacing w:after="0"/>
              <w:rPr>
                <w:sz w:val="20"/>
                <w:szCs w:val="20"/>
                <w:color w:val="auto"/>
              </w:rPr>
            </w:pPr>
            <w:r>
              <w:rPr>
                <w:rFonts w:ascii="Arial" w:cs="Arial" w:eastAsia="Arial" w:hAnsi="Arial"/>
                <w:sz w:val="14"/>
                <w:szCs w:val="14"/>
                <w:b w:val="1"/>
                <w:bCs w:val="1"/>
                <w:color w:val="auto"/>
                <w:w w:val="94"/>
              </w:rPr>
              <w:t>Item (b)</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3"/>
              <w:spacing w:after="0" w:line="142" w:lineRule="exact"/>
              <w:rPr>
                <w:sz w:val="20"/>
                <w:szCs w:val="20"/>
                <w:color w:val="auto"/>
              </w:rPr>
            </w:pPr>
            <w:r>
              <w:rPr>
                <w:rFonts w:ascii="Arial" w:cs="Arial" w:eastAsia="Arial" w:hAnsi="Arial"/>
                <w:sz w:val="14"/>
                <w:szCs w:val="14"/>
                <w:b w:val="1"/>
                <w:bCs w:val="1"/>
                <w:color w:val="auto"/>
              </w:rPr>
              <w:t>($ in</w:t>
            </w:r>
          </w:p>
        </w:tc>
        <w:tc>
          <w:tcPr>
            <w:tcW w:w="1060" w:type="dxa"/>
            <w:vAlign w:val="bottom"/>
            <w:gridSpan w:val="3"/>
          </w:tcPr>
          <w:p>
            <w:pPr>
              <w:jc w:val="right"/>
              <w:ind w:right="404"/>
              <w:spacing w:after="0" w:line="142" w:lineRule="exact"/>
              <w:rPr>
                <w:sz w:val="20"/>
                <w:szCs w:val="20"/>
                <w:color w:val="auto"/>
              </w:rPr>
            </w:pPr>
            <w:r>
              <w:rPr>
                <w:rFonts w:ascii="Arial" w:cs="Arial" w:eastAsia="Arial" w:hAnsi="Arial"/>
                <w:sz w:val="14"/>
                <w:szCs w:val="14"/>
                <w:b w:val="1"/>
                <w:bCs w:val="1"/>
                <w:color w:val="auto"/>
                <w:w w:val="74"/>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14,753</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21,213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21,213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(75,738)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(75,738)</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(81,900)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(81,900)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(60,985)</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(60,985)</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(60,687)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(60,687)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27,963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(46,484)</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(46,484)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(32,724)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(32,724)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112,857</w:t>
            </w:r>
          </w:p>
        </w:tc>
        <w:tc>
          <w:tcPr>
            <w:tcW w:w="3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$89,495</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87,141</w:t>
            </w:r>
          </w:p>
        </w:tc>
        <w:tc>
          <w:tcPr>
            <w:tcW w:w="180" w:type="dxa"/>
            <w:vAlign w:val="bottom"/>
          </w:tcPr>
          <w:p>
            <w:pPr>
              <w:spacing w:after="0"/>
              <w:rPr>
                <w:sz w:val="19"/>
                <w:szCs w:val="19"/>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w w:val="89"/>
              </w:rPr>
              <w:t>$62,550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24,591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(159,341)</w:t>
            </w: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(69,846)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(119,865)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(57,315)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10"/>
          </w:tcPr>
          <w:p>
            <w:pPr>
              <w:jc w:val="right"/>
              <w:ind w:right="160"/>
              <w:spacing w:after="0"/>
              <w:rPr>
                <w:sz w:val="20"/>
                <w:szCs w:val="20"/>
                <w:color w:val="auto"/>
              </w:rPr>
            </w:pPr>
            <w:r>
              <w:rPr>
                <w:rFonts w:ascii="Arial" w:cs="Arial" w:eastAsia="Arial" w:hAnsi="Arial"/>
                <w:sz w:val="14"/>
                <w:szCs w:val="14"/>
                <w:b w:val="1"/>
                <w:bCs w:val="1"/>
                <w:color w:val="auto"/>
                <w:w w:val="89"/>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3"/>
          </w:tcPr>
          <w:p>
            <w:pPr>
              <w:spacing w:after="0"/>
              <w:rPr>
                <w:sz w:val="12"/>
                <w:szCs w:val="12"/>
                <w:color w:val="auto"/>
              </w:rPr>
            </w:pPr>
          </w:p>
        </w:tc>
        <w:tc>
          <w:tcPr>
            <w:tcW w:w="440" w:type="dxa"/>
            <w:vAlign w:val="bottom"/>
            <w:tcBorders>
              <w:top w:val="single" w:sz="8" w:color="auto"/>
            </w:tcBorders>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(c):</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portion of the 2010 and 2009 special items attributable to the Corporate segment (see Note 19 of Notes to Condensed Consolidated Financial Statements).</w:t>
      </w: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As reflected in the table of operating results of the Corporate segment above, the 2010 and 2009 special items had a significant impact on the segment’s reported operating results in the nine month periods of the respective years. Lazard management believes that comparisons between periods are most meaningful after excluding the impact of such items.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September 30, 2010 versus September 30, 2009</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Net interest expense increased $2 million, or 11%, as compared to the 2009 period. Other revenue declined $1 million, or 11%, compared to the 2009 period, principally due to a net reduction in foreign exchange gains.</w:t>
      </w:r>
    </w:p>
    <w:p>
      <w:pPr>
        <w:spacing w:after="0" w:line="118" w:lineRule="exact"/>
        <w:rPr>
          <w:sz w:val="20"/>
          <w:szCs w:val="20"/>
          <w:color w:val="auto"/>
        </w:rPr>
      </w:pPr>
    </w:p>
    <w:p>
      <w:pPr>
        <w:ind w:left="460" w:right="1520"/>
        <w:spacing w:after="0" w:line="375" w:lineRule="auto"/>
        <w:rPr>
          <w:sz w:val="20"/>
          <w:szCs w:val="20"/>
          <w:color w:val="auto"/>
        </w:rPr>
      </w:pPr>
      <w:r>
        <w:rPr>
          <w:rFonts w:ascii="Arial" w:cs="Arial" w:eastAsia="Arial" w:hAnsi="Arial"/>
          <w:sz w:val="18"/>
          <w:szCs w:val="18"/>
          <w:color w:val="auto"/>
        </w:rPr>
        <w:t xml:space="preserve">Operating expenses declined $1 million, principally relating to a reduction in the amortization of share-based incentive compensation. </w:t>
      </w:r>
      <w:r>
        <w:rPr>
          <w:rFonts w:ascii="Arial" w:cs="Arial" w:eastAsia="Arial" w:hAnsi="Arial"/>
          <w:sz w:val="18"/>
          <w:szCs w:val="18"/>
          <w:i w:val="1"/>
          <w:iCs w:val="1"/>
          <w:color w:val="auto"/>
        </w:rPr>
        <w:t>Nine Months Ended September 30, 2010 versus September 30, 2009</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interest expense was unchanged as compared to the 2009 period. Other revenue declined $13 million, or 48%, compared to the 2009 period, principally due to lower investment income.</w:t>
      </w:r>
    </w:p>
    <w:p>
      <w:pPr>
        <w:spacing w:after="0" w:line="118"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Operating expenses increased $26 million, substantially all of which related to the net impact of the 2010 and 2009 special items attributable to the Corporate segment. When excluding the impact of the 2010 and 2009 special items, operating expenses declined $1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340"/>
              <w:spacing w:after="0" w:line="142" w:lineRule="exact"/>
              <w:rPr>
                <w:sz w:val="20"/>
                <w:szCs w:val="20"/>
                <w:color w:val="auto"/>
              </w:rPr>
            </w:pPr>
            <w:r>
              <w:rPr>
                <w:rFonts w:ascii="Arial" w:cs="Arial" w:eastAsia="Arial" w:hAnsi="Arial"/>
                <w:sz w:val="14"/>
                <w:szCs w:val="14"/>
                <w:b w:val="1"/>
                <w:bCs w:val="1"/>
                <w:color w:val="auto"/>
                <w:w w:val="79"/>
              </w:rPr>
              <w:t>($</w:t>
            </w:r>
          </w:p>
        </w:tc>
        <w:tc>
          <w:tcPr>
            <w:tcW w:w="1080" w:type="dxa"/>
            <w:vAlign w:val="bottom"/>
            <w:gridSpan w:val="4"/>
          </w:tcPr>
          <w:p>
            <w:pPr>
              <w:jc w:val="right"/>
              <w:ind w:right="333"/>
              <w:spacing w:after="0" w:line="142" w:lineRule="exact"/>
              <w:rPr>
                <w:sz w:val="20"/>
                <w:szCs w:val="20"/>
                <w:color w:val="auto"/>
              </w:rPr>
            </w:pPr>
            <w:r>
              <w:rPr>
                <w:rFonts w:ascii="Arial" w:cs="Arial" w:eastAsia="Arial" w:hAnsi="Arial"/>
                <w:sz w:val="14"/>
                <w:szCs w:val="14"/>
                <w:b w:val="1"/>
                <w:bCs w:val="1"/>
                <w:color w:val="auto"/>
                <w:w w:val="86"/>
              </w:rPr>
              <w:t>in millions)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83.3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w w:val="97"/>
              </w:rPr>
              <w:t>279.1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243.0</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87"/>
              </w:rPr>
              <w:t>(320.9)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(196.9)</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97"/>
              </w:rPr>
              <w:t>113.2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(115.1)</w:t>
            </w: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w w:val="87"/>
              </w:rPr>
              <w:t>(225.7)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(190.0)</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(228.0)</w:t>
            </w:r>
          </w:p>
        </w:tc>
        <w:tc>
          <w:tcPr>
            <w:tcW w:w="0" w:type="dxa"/>
            <w:vAlign w:val="bottom"/>
          </w:tcPr>
          <w:p>
            <w:pPr>
              <w:spacing w:after="0"/>
              <w:rPr>
                <w:sz w:val="1"/>
                <w:szCs w:val="1"/>
                <w:color w:val="auto"/>
              </w:rPr>
            </w:pPr>
          </w:p>
        </w:tc>
      </w:tr>
      <w:tr>
        <w:trPr>
          <w:trHeight w:val="218"/>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w w:val="97"/>
              </w:rPr>
              <w:t>899.7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907.3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96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$ 824.7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679.3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7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240" w:type="dxa"/>
            <w:vAlign w:val="bottom"/>
            <w:gridSpan w:val="2"/>
          </w:tcPr>
          <w:p>
            <w:pPr>
              <w:spacing w:after="0"/>
              <w:rPr>
                <w:sz w:val="20"/>
                <w:szCs w:val="20"/>
                <w:color w:val="auto"/>
              </w:rPr>
            </w:pPr>
            <w:r>
              <w:rPr>
                <w:rFonts w:ascii="Arial" w:cs="Arial" w:eastAsia="Arial" w:hAnsi="Arial"/>
                <w:sz w:val="18"/>
                <w:szCs w:val="18"/>
                <w:color w:val="auto"/>
              </w:rPr>
              <w:t>(a)Consists of the following:</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share-based incentive compensation and interest rate hedge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w w:val="97"/>
              </w:rPr>
              <w:t>257.3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223.8</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Arial" w:cs="Arial" w:eastAsia="Arial" w:hAnsi="Arial"/>
                <w:sz w:val="18"/>
                <w:szCs w:val="18"/>
                <w:color w:val="auto"/>
              </w:rPr>
              <w:t>(Gain) loss on extinguishment of debt</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$ 279.1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243.0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 principally relating to accrued compensation and benefits and other liabilities.</w:t>
      </w:r>
    </w:p>
    <w:p>
      <w:pPr>
        <w:spacing w:after="0" w:line="15"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Principally relates to purchases and proceeds from sales and maturities of “available-for-sale” and “held-to maturity” securities, and, in the 2010 period, the disposition of our equity method investment in Sapphire (see Note 4 of Notes to Condensed Consolidated Financial Statements).</w:t>
      </w:r>
    </w:p>
    <w:p>
      <w:pPr>
        <w:spacing w:after="0" w:line="1" w:lineRule="exact"/>
        <w:rPr>
          <w:rFonts w:ascii="Arial" w:cs="Arial" w:eastAsia="Arial" w:hAnsi="Arial"/>
          <w:sz w:val="16"/>
          <w:szCs w:val="16"/>
          <w:color w:val="auto"/>
        </w:rPr>
      </w:pPr>
    </w:p>
    <w:p>
      <w:pPr>
        <w:ind w:left="460" w:right="36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Primarily includes distributions to members and noncontrolling interest holders, settlements of vested RSUs, repurchases of shares of Class A common stock and activity related to borrowings.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 operating income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have been made during the first four months of the year. As a consequence, cash on hand generally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color w:val="auto"/>
        </w:rPr>
        <w:t>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4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September 30, 2010, Lazard had approximately $1.1 billion of cash and liquid securities, including $148 million of U.S. Government debt and agencies securities and $85 million of investments in equity securities. We maintain lines of credit in excess of anticipated liquidity requirements. As of September 30, 2010, Lazard had approximately $235 million in unused lines of credit available to it, including a $150 million, three-year, senior revolving credit facility with a group of lenders that matures in April 2013 (the “Credit Facility”) (see “—Financing” below) and an aggregate of $63 million of unused lines of credit available to LFB and Edgewater. In addition, LFB has access to the Eurosystem Covered Bond Purchase Program of the Banque de France.</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April 29, 2010, Lazard Group entered into the Credit Facility pursuant to an agreement with the banks parties thereto and Citibank, N.A., as administrative agent. The Credit Facility replaces the prior senior revolving credit facility, which was terminated as a condition to effectiveness of the Credit Facility. The Credit Facility contains customary terms and conditions substantially similar to the prior credit facility. Such terms and conditions include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Over the past several years, Lazard has entered into several financing agreements designed to strengthen both its capital base and liquidity. Each of these agreements is discussed in more detail in our consolidated financial statements and related notes included elsewhere in this Form 10-Q and in our Form 10-K. The table below sets forth our corporate indebtedness as of September 30, 2010 and December 31, 2009.</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32"/>
              <w:spacing w:after="0"/>
              <w:rPr>
                <w:sz w:val="20"/>
                <w:szCs w:val="20"/>
                <w:color w:val="auto"/>
              </w:rPr>
            </w:pPr>
            <w:r>
              <w:rPr>
                <w:rFonts w:ascii="Arial" w:cs="Arial" w:eastAsia="Arial" w:hAnsi="Arial"/>
                <w:sz w:val="14"/>
                <w:szCs w:val="14"/>
                <w:b w:val="1"/>
                <w:bCs w:val="1"/>
                <w:color w:val="auto"/>
                <w:w w:val="79"/>
              </w:rPr>
              <w:t>As of</w:t>
            </w:r>
          </w:p>
        </w:tc>
        <w:tc>
          <w:tcPr>
            <w:tcW w:w="6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7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 in millions)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7.125%</w:t>
            </w:r>
          </w:p>
        </w:tc>
        <w:tc>
          <w:tcPr>
            <w:tcW w:w="526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2015</w:t>
            </w: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528.5</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538.5</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2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2017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Subordinated Debt (a):</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3.25%</w:t>
            </w:r>
          </w:p>
        </w:tc>
        <w:tc>
          <w:tcPr>
            <w:tcW w:w="52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2016</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1,226.9</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1,236.9</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Convertible into shares of Class A common stock at an effective conversion price of $57 per share. One third in principal amount became convertible on and after each of July 1, 2008, July 1, 2009, and July 1, 2010, and no principal amount is convertible after June 30, 2011.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owing to the lending bank group, the Credit Facility includes financial condition covenants that require that Lazard Group not permit (i)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Leverage Ratio (as defined in the Credit Facility) for the 12-month period ending on the last day of any fiscal quarter to be greater than 4.00 to 1.00 or (ii) its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Consolidated Interest Coverage Ratio (as defined in the Credit Facility) for the 12-month period ending on the last day of any fiscal quarter to be less than 3.00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1.00. For the 12-month period ended September 30, 2010 Lazard Group was in compliance with such ratios, with its Consolidated Leverage Ratio being 2.22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and its Consolidated Interest Coverage Ratio being 6.83 to 1.00. In any event, no amounts were outstanding under the Credit Facility as of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5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September 30, 2010,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99" w:lineRule="exact"/>
        <w:rPr>
          <w:sz w:val="20"/>
          <w:szCs w:val="20"/>
          <w:color w:val="auto"/>
        </w:rPr>
      </w:pPr>
    </w:p>
    <w:p>
      <w:pPr>
        <w:ind w:right="1220" w:firstLine="456"/>
        <w:spacing w:after="0" w:line="375" w:lineRule="auto"/>
        <w:rPr>
          <w:sz w:val="20"/>
          <w:szCs w:val="20"/>
          <w:color w:val="auto"/>
        </w:rPr>
      </w:pPr>
      <w:r>
        <w:rPr>
          <w:rFonts w:ascii="Arial" w:cs="Arial" w:eastAsia="Arial" w:hAnsi="Arial"/>
          <w:sz w:val="18"/>
          <w:szCs w:val="18"/>
          <w:color w:val="auto"/>
        </w:rPr>
        <w:t xml:space="preserve">See Note 10 of Notes to Condensed Consolidated Financial Statements for additional information regarding senior and subordinated debt. </w:t>
      </w:r>
      <w:r>
        <w:rPr>
          <w:rFonts w:ascii="Arial" w:cs="Arial" w:eastAsia="Arial" w:hAnsi="Arial"/>
          <w:sz w:val="18"/>
          <w:szCs w:val="18"/>
          <w:b w:val="1"/>
          <w:bCs w:val="1"/>
          <w:i w:val="1"/>
          <w:iCs w:val="1"/>
          <w:color w:val="auto"/>
        </w:rPr>
        <w:t>Members’ Equity</w:t>
      </w:r>
    </w:p>
    <w:p>
      <w:pPr>
        <w:spacing w:after="0" w:line="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September 30, 2010, total members’ equity was $417 million as compared to $283 million at December 31, 2009, including $122 million and $128 million of noncontrolling interests on the respective dates. The net activity in members’ equity in the nine month period ended September 30, 2010 is reflected in the table below (in millions of dollars):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 – December 31, 2009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38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Delivery of Class A common stock in connection with share-based incentive compensation awards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decreases in AOCI (including noncontrolling interests’ portion thereof)(*)</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Purchase of Class A common stock and Lazard Group common membership interests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80"/>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members and noncontrolling interests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Other – net</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 – September 30, 2010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 Includes:</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3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negative foreign currency translation adjustments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w w:val="90"/>
              </w:rPr>
              <w:t>Net mark-ups and adjustments for items reclassified to earnings related to securities designated as “available-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640"/>
              <w:spacing w:after="0"/>
              <w:rPr>
                <w:sz w:val="20"/>
                <w:szCs w:val="20"/>
                <w:color w:val="auto"/>
              </w:rPr>
            </w:pPr>
            <w:r>
              <w:rPr>
                <w:rFonts w:ascii="Arial" w:cs="Arial" w:eastAsia="Arial" w:hAnsi="Arial"/>
                <w:sz w:val="18"/>
                <w:szCs w:val="18"/>
                <w:color w:val="auto"/>
              </w:rPr>
              <w:t>for-sale”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 adjustments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jc w:val="right"/>
              <w:ind w:right="3632"/>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(see Note 12 of Notes to Condensed Consolidated Financial Statements for information regarding the share repurchase program). During the nine month period ended September 30, 2010 the Company repurchased 3,466,178 shares of Class A common stock, at an aggregate cost of $106 million and 167,286 Lazard Group common membership interests at an aggregate cost of $5 million. Accordingly, at September 30, 2010, $89 million of the share purchase authorization remained available for future repurchases. In addition to the repurchases of 3,466,178 shares described above, during the nine month period ended September 30, 2010, in order, among other reasons, to help neutralize the dilutive effect of our share-based incentive compensation plans, Lazard Ltd utilized $55 million to satisfy certain employees’ withholding tax obligations on vested RSUs in lieu of issuing 1,602,999 shares.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87"/>
              </w:rPr>
              <w:t>Contractual Obligations - Payments Due by Period</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9"/>
              </w:rPr>
              <w:t>1 Year</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3"/>
              </w:rPr>
              <w:t>1-3 Years</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3-5 Years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 in thousands)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$ 1,709,750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$ 160,185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$688,685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780,787</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Operating Leases (exclusive of $97,332 of sublease income)</w:t>
            </w:r>
          </w:p>
        </w:tc>
        <w:tc>
          <w:tcPr>
            <w:tcW w:w="820" w:type="dxa"/>
            <w:vAlign w:val="bottom"/>
          </w:tcPr>
          <w:p>
            <w:pPr>
              <w:jc w:val="right"/>
              <w:spacing w:after="0"/>
              <w:rPr>
                <w:sz w:val="20"/>
                <w:szCs w:val="20"/>
                <w:color w:val="auto"/>
              </w:rPr>
            </w:pPr>
            <w:r>
              <w:rPr>
                <w:rFonts w:ascii="Arial" w:cs="Arial" w:eastAsia="Arial" w:hAnsi="Arial"/>
                <w:sz w:val="18"/>
                <w:szCs w:val="18"/>
                <w:color w:val="auto"/>
              </w:rPr>
              <w:t>394,397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65,267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97,788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170,839</w:t>
            </w: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(b)</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820" w:type="dxa"/>
            <w:vAlign w:val="bottom"/>
          </w:tcPr>
          <w:p>
            <w:pPr>
              <w:jc w:val="right"/>
              <w:spacing w:after="0"/>
              <w:rPr>
                <w:sz w:val="20"/>
                <w:szCs w:val="20"/>
                <w:color w:val="auto"/>
              </w:rPr>
            </w:pPr>
            <w:r>
              <w:rPr>
                <w:rFonts w:ascii="Arial" w:cs="Arial" w:eastAsia="Arial" w:hAnsi="Arial"/>
                <w:sz w:val="18"/>
                <w:szCs w:val="18"/>
                <w:color w:val="auto"/>
              </w:rPr>
              <w:t>27,465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6,405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12,498</w:t>
            </w: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(c)</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740" w:type="dxa"/>
            <w:vAlign w:val="bottom"/>
            <w:gridSpan w:val="2"/>
          </w:tcPr>
          <w:p>
            <w:pPr>
              <w:spacing w:after="0"/>
              <w:rPr>
                <w:sz w:val="20"/>
                <w:szCs w:val="20"/>
                <w:color w:val="auto"/>
              </w:rPr>
            </w:pPr>
            <w:r>
              <w:rPr>
                <w:rFonts w:ascii="Arial" w:cs="Arial" w:eastAsia="Arial" w:hAnsi="Arial"/>
                <w:sz w:val="18"/>
                <w:szCs w:val="18"/>
                <w:color w:val="auto"/>
              </w:rPr>
              <w:t>Total (d)</w:t>
            </w: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$ 2,228,922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155,832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$ 354,774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754,192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$964,124</w:t>
            </w: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1160" w:type="dxa"/>
            <w:vAlign w:val="bottom"/>
            <w:tcBorders>
              <w:bottom w:val="single" w:sz="8" w:color="auto"/>
            </w:tcBorders>
          </w:tcPr>
          <w:p>
            <w:pPr>
              <w:spacing w:after="0"/>
              <w:rPr>
                <w:sz w:val="4"/>
                <w:szCs w:val="4"/>
                <w:color w:val="auto"/>
              </w:rPr>
            </w:pPr>
          </w:p>
        </w:tc>
        <w:tc>
          <w:tcPr>
            <w:tcW w:w="5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Note 7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Note 11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16 of Notes to Condensed Consolidated Financial Statements regarding information in connection with commitments, incentive plans, employee benefit plans and income taxes.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At September 30, 2010 and December 31, 2009, the Company had receivables past due of approximately $21 and $14 million, respectively, and its allowance for doubtful accounts was $17 and $12 million,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which could materially impact 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w:t>
      </w:r>
    </w:p>
    <w:p>
      <w:pPr>
        <w:spacing w:after="0" w:line="10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At September 30, 2010, net investments (representing total investments, net of securities sold, not yet purchased of $3 million), totaled $709 million, or 23% of total assets. Included in this amount is $413 million of debt securities, representing 58% of net investments, that primarily consist of securities issued by the U.S. Government and agencies and the French government, and fixed and floating rate European corporate bonds, all of which subject Lazard to market risk. Approximately 55%, 15%, 12%, 9% and 9% of such debt securities are invested in the government, financial, consumer, industrial and other sectors, respectively. At September 30, 2010, approximately 86% of the corporate bonds held investment grade ratings, and approximately $12 million of pre-tax unrealized losses are included in AOCI related to such portfolio.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Also included in the $709 million of net investments were $82 million, or 12%, of investments in equities (net of securities sold, not yet purchased) all of which subject the Company to market risk. We employ hedging strategies to reduce the market risk and, in turn, the volatility to earnings. Approximately 60% of such amount represents the Company’s investment in marketable equity securities to seed asset management products and was invested 26%, 25%, 11% and 38% in the consumer, financial, industrial and other sectors, respectively. Asset Management fund investments represent the remaining 40% of total equities. The Company’s asset management fund investments are diversified and may incorporate particular strategies; however, there are no investments in funds with single sector specific strategies.</w:t>
      </w:r>
    </w:p>
    <w:p>
      <w:pPr>
        <w:spacing w:after="0" w:line="13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to the equity securities above, at September 30, 2010 Lazard held $51 million, or 7%, of net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Private equity investments owned by Lazard of $99 million represent approximately 14% of net investments and 3% of total assets at September 30, 2010 and are comprised of investments in private equity funds and direct private equity interests that are generally not subject to short-term market fluctuation, but may subject Lazard to market/credit risk. Private equity investments primarily include (i) a mezzanine fund, which invests in mezzanine debt of a diversified selection of small- to mid-cap European companies (the “mezzanine fund”); (ii) CP II, a private equity fund targeting significant noncontrolling investments in established public and private companies; and (iii) Lazard Senior Housing Partners LP, which acquires companies and assets in the senior housing, extended-stay hotel and shopping center sectors.</w:t>
      </w:r>
    </w:p>
    <w:p>
      <w:pPr>
        <w:spacing w:after="0" w:line="13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remaining $64 million, or 9%, of net investments at September 30, 2010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presented within “members’ equity” on the consolidated statements of financial condition.</w:t>
      </w:r>
    </w:p>
    <w:p>
      <w:pPr>
        <w:spacing w:after="0" w:line="9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At December 31, 2009, net investments (net of securities sold, not yet purchased of $5 million), totaled $803 million, or 26% of total assets. Included in this amount is $461 million of debt securities, representing 57% of net investments that primarily consist of fixed and floating rate European corporate bonds, U.S. Government and agencies and French government debt securities, all of which subject Lazard to market risk. Approximately 45%, 21%, 14%, 12% and 8% of such debt securities are invested in the government, financial, consumer, industrial and other sectors, respectively. At December 31, 2009, approximately 85% of the corporate bonds held investment grade ratings, and approximately $19 million of pre-tax unrealized losses are included in AOCI related to such portfolio.</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Also included in the $803 million of net investments were $77 million, or 10%, of investments in equities (net of securities sold, not yet purchased) all of which subject the Company to market risk. Approximately 60% of such amount represents the Company’s investment in marketable equity securities to seed asset management products and was invested 27%, 25%, 10% and 38% in the consumer, financial, industrial and other sectors, respectively. Asset Management fund investments represent the remaining 40% of total equities. The Company’s asset management fund investments are diversified and may incorporate particular strategies; however, there are no investments in funds with single sector specific strategies.</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to the equity securities above, at December 31, 2009 Lazard held $50 million, or 6%, of net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Private equity investments owned by Lazard of $103 million represent approximately 13% of net investments and 3% of total assets at December 31, 2009 and are comprised of investments in private equity funds and direct private equity interests that are generally not subject to short-term market fluctuation, but may subject Lazard to market/credit risk. Private equity investments primarily include (i) the mezzanine fund; (ii) CP II; and (iii) Lazard Senior Housing Partners LP.</w:t>
      </w:r>
    </w:p>
    <w:p>
      <w:pPr>
        <w:spacing w:after="0" w:line="7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remaining $112 million, or 14%, of net investments at December 31, 2009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presented within “members’ equity” on the consolidated statements of financial condition.</w:t>
      </w:r>
    </w:p>
    <w:p>
      <w:pPr>
        <w:spacing w:after="0" w:line="93"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The decrease of $93 million in net investments at September 30, 2010 compared to December 31, 2009 primarily relates to sales and maturities in the corporate bond portfolio and the disposition of the Company’s investment in Sapphire Industrials Corp. in January 2010 (see Note 4 of Notes to Condensed Consolidated Financial Statements), partially offset by net purchases of non-U.S. Government and agency bonds.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Most of the Company’s investments in corporate bonds are considered Level 2 investments with such fair value based on observable data, principally broker quotes as provided by external pricing services. All other debt securities at fair value are considered Level 1 investments with such fair value based on unadjusted quoted prices in active markets.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hanging="455"/>
        <w:spacing w:after="0" w:line="256"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8" w:lineRule="exact"/>
        <w:rPr>
          <w:rFonts w:ascii="Arial" w:cs="Arial" w:eastAsia="Arial" w:hAnsi="Arial"/>
          <w:sz w:val="18"/>
          <w:szCs w:val="18"/>
          <w:color w:val="auto"/>
        </w:rPr>
      </w:pPr>
    </w:p>
    <w:p>
      <w:pPr>
        <w:ind w:left="1260" w:right="500" w:hanging="455"/>
        <w:spacing w:after="0" w:line="332" w:lineRule="auto"/>
        <w:tabs>
          <w:tab w:leader="none" w:pos="1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encounters risk in the normal course of business and therefore we have designed risk management processes to help manage and monitor such risks considering both the nature of our business and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20"/>
          </w:cols>
          <w:pgMar w:left="24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“Critical Accounting Policies and Estimates—Investments” above.</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At September 30, 2010 and December 31, 2009, derivative contracts related primarily to interest rate swaps, equity and foreign currency exchange rate contracts, and are recorded at fair value. Derivative assets amounted to $1 million at both September 30, 2010 and December 31, 2009, and derivative liabilities amounted to $29 million and $17 million at September 30, 2010 and December 31, 2009, respectively.</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primary market risks associated with LFB’s securities portfolio, foreign currency exchange hedging and lending activities are sensitivity to changes in the general level of credit spreads and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nine month period ended September 30, 2010:</w:t>
      </w:r>
    </w:p>
    <w:p>
      <w:pPr>
        <w:spacing w:after="0" w:line="18"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LFB’s credit spread risk, as measured by a 100+/– basis point change in credit spreads totaled $(7) million and $8 million, respectively.</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$200 thousand.</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$30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September 30, 2010, total receivables amounted to $863 million, net of an allowance for doubtful accounts of $17 million. As of that date, financial advisory fees and asset management fees, inter-bank deposits, customer and related party receivables comprised 54%, 21%, 16% and 9% of total receivables, respectively. At December 31, 2009, total receivables amounted to $701 million, net of 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allowance for doubtful accounts of $12 million. As of that date, financial advisory fees and asset management fees, inter-bank deposits, customer and related party receivables comprised 62%, 20%, 11% and 7% of total receivables, respectively. See also “Critical Accounting Policies and Estimates—Revenue Recognition” above and Note 3 of Notes to Condensed Consolidated Financial Statements for additional information regarding receivables.</w:t>
      </w:r>
    </w:p>
    <w:p>
      <w:pPr>
        <w:spacing w:after="0" w:line="93"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Receivables from banks represent those related to LFB’s short-term deposits in the inter-bank market and with the Banque de France. The level of these deposits may be driven by the level of LFB customer and bank-related interest-bearing time and demand deposits (which can fluctuate significantly on a daily basis) and by changes in asset allocation. Historically the risk of loss associated with such deposits is extremely low. The Company closely monitors the creditworthiness of counterparties to minimize its exposure to loss in adverse market conditions. Based on its review of its receivables from banks at September 30, 2010 and December 31, 2009, LFB has determined that an allowance for doubtful accounts related to such receivables from banks was not required.</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September 30, 2010, excluding deposits with inter-bank counterparties, LFB had no exposure to an individual counterparty that exceeded $31 million (with such amount being fully collateralized).</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 respect to activities outside LFB, as of September 30, 2010, the Company’s largest individual counterparty exposure was a Financial Advisory-related fee receivable of $20 million, substantially all of which has been collected subsequent to September 30, 2010.</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significant portion of the Company’s liabilities has fixed interest rates, while its cash and short-term investments generally have floating interest rates. Based on account balances as of September 30, 2010, Lazard estimates that its annual operating income relating to cash and short-term investments and corporate indebtedness would increase by approximately $8 million in the event interest rates were to increase by 1% and decrease by approximately $3 million if rates were to decrease by 1%.</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September 30, 2010, the Company’s cash and cash equivalents totaled $825 million. Substantially all of the Company’s cash and cash equivalents were invested in highly liquid institutional money market funds (a significant majority of which were invested solely in U.S. Government or agency securities)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Except as discussed below, there were no material changes from the risk factors previously disclosed in the Company’s Annual Report on Form 10-K and the Quarterly Report on Form 10-Q for the quarterly period ended June 30, 2010.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LAZ-MD Holdings relies on an exception from the Investment Company Act of 1940, as amended (the “Investment Company Act”).</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LAZ-MD Holdings currently has less than 100 holders and does not publicly offer its shares. Accordingly, LAZ-MD Holdings relies on an exception from the definition of “investment company” under the Investment Company Act and the rules thereunder. Lazard Ltd expects that LAZ-MD Holdings will continue to conduct its operations such that LAZ-MD Holdings will not be subject to regulation as an investment company under the Investment Company Act.</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0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5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3.1</w:t>
            </w: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Lazard Group LLC’s Certificate of Formation (incorporated by reference to Exhibit 3.1 to Lazard Group LLC’s Registration Statement (File No.</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333-126751) on Form S-4 filed on July 21,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10600" w:type="dxa"/>
            <w:vAlign w:val="bottom"/>
          </w:tcPr>
          <w:p>
            <w:pPr>
              <w:ind w:left="380"/>
              <w:spacing w:after="0"/>
              <w:rPr>
                <w:sz w:val="20"/>
                <w:szCs w:val="20"/>
                <w:color w:val="auto"/>
              </w:rPr>
            </w:pPr>
            <w:r>
              <w:rPr>
                <w:rFonts w:ascii="Arial" w:cs="Arial" w:eastAsia="Arial" w:hAnsi="Arial"/>
                <w:sz w:val="18"/>
                <w:szCs w:val="18"/>
                <w:color w:val="auto"/>
                <w:w w:val="96"/>
              </w:rPr>
              <w:t>Lazard Group LLC’s Certificate of Amendment of Certificate of Formation of Lazard Group LLC, changing name to Lazard Group LLC</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3.2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3.3</w:t>
            </w:r>
          </w:p>
        </w:tc>
        <w:tc>
          <w:tcPr>
            <w:tcW w:w="10600" w:type="dxa"/>
            <w:vAlign w:val="bottom"/>
          </w:tcPr>
          <w:p>
            <w:pPr>
              <w:ind w:left="380"/>
              <w:spacing w:after="0"/>
              <w:rPr>
                <w:sz w:val="20"/>
                <w:szCs w:val="20"/>
                <w:color w:val="auto"/>
              </w:rPr>
            </w:pPr>
            <w:r>
              <w:rPr>
                <w:rFonts w:ascii="Arial" w:cs="Arial" w:eastAsia="Arial" w:hAnsi="Arial"/>
                <w:sz w:val="18"/>
                <w:szCs w:val="18"/>
                <w:color w:val="auto"/>
                <w:w w:val="93"/>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3.4</w:t>
            </w:r>
          </w:p>
        </w:tc>
        <w:tc>
          <w:tcPr>
            <w:tcW w:w="10600" w:type="dxa"/>
            <w:vAlign w:val="bottom"/>
          </w:tcPr>
          <w:p>
            <w:pPr>
              <w:ind w:left="380"/>
              <w:spacing w:after="0"/>
              <w:rPr>
                <w:sz w:val="20"/>
                <w:szCs w:val="20"/>
                <w:color w:val="auto"/>
              </w:rPr>
            </w:pPr>
            <w:r>
              <w:rPr>
                <w:rFonts w:ascii="Arial" w:cs="Arial" w:eastAsia="Arial" w:hAnsi="Arial"/>
                <w:sz w:val="18"/>
                <w:szCs w:val="18"/>
                <w:color w:val="auto"/>
                <w:w w:val="89"/>
              </w:rPr>
              <w:t>Amendment No. 1 to the Operating Agreement of Lazard Group LLC, dated as of December 19, 2005 (incorporated by reference to Exhibit 3.01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to Lazard Group LLC’s Current Report on Form 8-K (File No. 333-126751) filed on December 19,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3.5</w:t>
            </w:r>
          </w:p>
        </w:tc>
        <w:tc>
          <w:tcPr>
            <w:tcW w:w="10600" w:type="dxa"/>
            <w:vAlign w:val="bottom"/>
          </w:tcPr>
          <w:p>
            <w:pPr>
              <w:ind w:left="380"/>
              <w:spacing w:after="0"/>
              <w:rPr>
                <w:sz w:val="20"/>
                <w:szCs w:val="20"/>
                <w:color w:val="auto"/>
              </w:rPr>
            </w:pPr>
            <w:r>
              <w:rPr>
                <w:rFonts w:ascii="Arial" w:cs="Arial" w:eastAsia="Arial" w:hAnsi="Arial"/>
                <w:sz w:val="18"/>
                <w:szCs w:val="18"/>
                <w:color w:val="auto"/>
                <w:w w:val="93"/>
              </w:rPr>
              <w:t>Amendment No. 2 dated as of May 7, 2008, to the Operating Agreement of Lazard Group LLC dated as of May 10, 2005 (incorporated by</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3.1 to the Registrant’s Current Report on</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Form 8-K (File No. 333-126751) filed on May 8, 2008).</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3.6</w:t>
            </w: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10.6 to the Registrant’s Quarterly Report (File No. 333-126751) on Form 10-Q filed on April 30, 2010).</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10600" w:type="dxa"/>
            <w:vAlign w:val="bottom"/>
          </w:tcPr>
          <w:p>
            <w:pPr>
              <w:ind w:left="380"/>
              <w:spacing w:after="0"/>
              <w:rPr>
                <w:sz w:val="20"/>
                <w:szCs w:val="20"/>
                <w:color w:val="auto"/>
              </w:rPr>
            </w:pPr>
            <w:r>
              <w:rPr>
                <w:rFonts w:ascii="Arial" w:cs="Arial" w:eastAsia="Arial" w:hAnsi="Arial"/>
                <w:sz w:val="18"/>
                <w:szCs w:val="18"/>
                <w:color w:val="auto"/>
                <w:w w:val="97"/>
              </w:rPr>
              <w:t>First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4.2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4.3</w:t>
            </w:r>
          </w:p>
        </w:tc>
        <w:tc>
          <w:tcPr>
            <w:tcW w:w="10600" w:type="dxa"/>
            <w:vAlign w:val="bottom"/>
          </w:tcPr>
          <w:p>
            <w:pPr>
              <w:ind w:left="380"/>
              <w:spacing w:after="0"/>
              <w:rPr>
                <w:sz w:val="20"/>
                <w:szCs w:val="20"/>
                <w:color w:val="auto"/>
              </w:rPr>
            </w:pPr>
            <w:r>
              <w:rPr>
                <w:rFonts w:ascii="Arial" w:cs="Arial" w:eastAsia="Arial" w:hAnsi="Arial"/>
                <w:sz w:val="18"/>
                <w:szCs w:val="18"/>
                <w:color w:val="auto"/>
                <w:w w:val="94"/>
              </w:rPr>
              <w:t>Second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(incorporated by reference to Exhibit 10.37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4.4</w:t>
            </w:r>
          </w:p>
        </w:tc>
        <w:tc>
          <w:tcPr>
            <w:tcW w:w="10600" w:type="dxa"/>
            <w:vAlign w:val="bottom"/>
          </w:tcPr>
          <w:p>
            <w:pPr>
              <w:ind w:left="380"/>
              <w:spacing w:after="0"/>
              <w:rPr>
                <w:sz w:val="20"/>
                <w:szCs w:val="20"/>
                <w:color w:val="auto"/>
              </w:rPr>
            </w:pPr>
            <w:r>
              <w:rPr>
                <w:rFonts w:ascii="Arial" w:cs="Arial" w:eastAsia="Arial" w:hAnsi="Arial"/>
                <w:sz w:val="18"/>
                <w:szCs w:val="18"/>
                <w:color w:val="auto"/>
                <w:w w:val="88"/>
              </w:rPr>
              <w:t>Amended and Restated Third Supplemental Indenture, dated as of May 15, 2008, by and among Lazard Group LLC and The Bank of New York,</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as trustee (incorporated by reference to Exhibit 4.01 to Lazard Group LLC’s Current Report on Form 8-K (Commission File No. 333-126751)</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filed on</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May 16, 2008).</w:t>
            </w:r>
          </w:p>
        </w:tc>
      </w:tr>
      <w:tr>
        <w:trPr>
          <w:trHeight w:val="33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4.5</w:t>
            </w:r>
          </w:p>
        </w:tc>
        <w:tc>
          <w:tcPr>
            <w:tcW w:w="10600" w:type="dxa"/>
            <w:vAlign w:val="bottom"/>
          </w:tcPr>
          <w:p>
            <w:pPr>
              <w:ind w:left="380"/>
              <w:spacing w:after="0"/>
              <w:rPr>
                <w:sz w:val="20"/>
                <w:szCs w:val="20"/>
                <w:color w:val="auto"/>
              </w:rPr>
            </w:pPr>
            <w:r>
              <w:rPr>
                <w:rFonts w:ascii="Arial" w:cs="Arial" w:eastAsia="Arial" w:hAnsi="Arial"/>
                <w:sz w:val="18"/>
                <w:szCs w:val="18"/>
                <w:color w:val="auto"/>
              </w:rPr>
              <w:t>Form of Senior Note (included in Exhibit 4.4).</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4.6</w:t>
            </w: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$546 million 7.125% Senior Notes Due 2015, issued by Lazard Group LLC (incorporated by reference to Exhibit 4.5 to Lazard Group LLC’s</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Quarterly Report (File No. 333-126751) on Form 10-Q filed on November 10,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4.7</w:t>
            </w:r>
          </w:p>
        </w:tc>
        <w:tc>
          <w:tcPr>
            <w:tcW w:w="10600" w:type="dxa"/>
            <w:vAlign w:val="bottom"/>
          </w:tcPr>
          <w:p>
            <w:pPr>
              <w:ind w:left="380"/>
              <w:spacing w:after="0"/>
              <w:rPr>
                <w:sz w:val="20"/>
                <w:szCs w:val="20"/>
                <w:color w:val="auto"/>
              </w:rPr>
            </w:pPr>
            <w:r>
              <w:rPr>
                <w:rFonts w:ascii="Arial" w:cs="Arial" w:eastAsia="Arial" w:hAnsi="Arial"/>
                <w:sz w:val="18"/>
                <w:szCs w:val="18"/>
                <w:color w:val="auto"/>
                <w:w w:val="89"/>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Master Separation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Holdings LLC (incorporated by reference to Exhibit 2.1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10600" w:type="dxa"/>
            <w:vAlign w:val="bottom"/>
          </w:tcPr>
          <w:p>
            <w:pPr>
              <w:ind w:left="380"/>
              <w:spacing w:after="0"/>
              <w:rPr>
                <w:sz w:val="20"/>
                <w:szCs w:val="20"/>
                <w:color w:val="auto"/>
              </w:rPr>
            </w:pPr>
            <w:r>
              <w:rPr>
                <w:rFonts w:ascii="Arial" w:cs="Arial" w:eastAsia="Arial" w:hAnsi="Arial"/>
                <w:sz w:val="18"/>
                <w:szCs w:val="18"/>
                <w:color w:val="auto"/>
                <w:w w:val="87"/>
              </w:rPr>
              <w:t>Amendment No. 1, dated as of November 6, 2006, to the Master Separation Agreement, dated as of May 10, 2005, by and among the Lazard Ltd,</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Lazard Group LLC and LAZ-MD Holdings LLC (incorporated by reference to Exhibit 10.2 to the Registrant’s Quarterly Report (File No. 333-</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126751) on Form 10-Q filed on November 7, 2006).</w:t>
            </w:r>
          </w:p>
        </w:tc>
      </w:tr>
      <w:tr>
        <w:trPr>
          <w:trHeight w:val="365"/>
        </w:trPr>
        <w:tc>
          <w:tcPr>
            <w:tcW w:w="780" w:type="dxa"/>
            <w:vAlign w:val="bottom"/>
          </w:tcPr>
          <w:p>
            <w:pPr>
              <w:spacing w:after="0"/>
              <w:rPr>
                <w:sz w:val="24"/>
                <w:szCs w:val="24"/>
                <w:color w:val="auto"/>
              </w:rPr>
            </w:pPr>
          </w:p>
        </w:tc>
        <w:tc>
          <w:tcPr>
            <w:tcW w:w="10600" w:type="dxa"/>
            <w:vAlign w:val="bottom"/>
          </w:tcPr>
          <w:p>
            <w:pPr>
              <w:ind w:left="484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8-K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333-126751) filed on May 8, 2008).</w:t>
            </w: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38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Lazard Ltd’s Registration Statement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Amended and Restated Stockholders’ Agreement, dated as of November 6, 2006, by and among LAZ-MD Holdings LLC, Lazard Ltd and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certain members of LAZ-MD Holdings LLC (incorporated by reference to Exhibit 10.4 to the Registrant’s Quarterly Report (File No. 333-</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126751) on Form 10-Q filed on November 7, 2006).</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LAZ- MD Holdings LLC and Lazard Ltd (incorporated by reference to Exhibit 10.6 to the Registrant’s Quarterly Report (File No. 333-126751)</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Employee Benefits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Holdings LLC (incorporated by reference to Exhibit 10.4 to Lazard Ltd’s Quarterly Report (File No. 001-32492) on Form 10-Q filed on June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Frères S.A.S., Lazard &amp; Co. Holdings Limited and LFCM Holdings LLC (incorporated by reference to Exhibit 10.6 to Lazard Ltd’s Quarterly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38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Group LLC (incorporated by reference to Exhibit 10.7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10.8 to Lazard Ltd’s Quarterly 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Group LLC and LFCM Holdings LLC (incorporated by reference to Exhibit 10.12 to Registrant’s Annual Report (File No. 333-126751) on</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S-1/A filed on February 11,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Lazard Ltd’s Registration Statement (File No. 333-121407) on Form S-1/A</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filed on February 11, 2005).</w:t>
            </w:r>
          </w:p>
        </w:tc>
      </w:tr>
      <w:tr>
        <w:trPr>
          <w:trHeight w:val="365"/>
        </w:trPr>
        <w:tc>
          <w:tcPr>
            <w:tcW w:w="78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Burford (Stratton) Limited, Lazard &amp; Co., Limited and Lazard LLC (incorporated by reference to Exhibit 10.21 to Lazard Ltd’s Registration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Lazard Ltd’s 2005 Equity Incentive Plan (incorporated by reference to Exhibit 10.21 to Lazard Ltd’s Registration Statement (File No. 333-</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460" w:type="dxa"/>
            <w:vAlign w:val="bottom"/>
          </w:tcPr>
          <w:p>
            <w:pPr>
              <w:ind w:left="340"/>
              <w:spacing w:after="0"/>
              <w:rPr>
                <w:sz w:val="20"/>
                <w:szCs w:val="20"/>
                <w:color w:val="auto"/>
              </w:rPr>
            </w:pPr>
            <w:r>
              <w:rPr>
                <w:rFonts w:ascii="Arial" w:cs="Arial" w:eastAsia="Arial" w:hAnsi="Arial"/>
                <w:sz w:val="18"/>
                <w:szCs w:val="18"/>
                <w:color w:val="auto"/>
                <w:w w:val="95"/>
              </w:rPr>
              <w:t>Lazard Ltd’s 2008 Incentive Compensation Plan (incorporated by reference to Annex B to Lazard Ltd’s Definitive Proxy Statement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Lazard Ltd’s 2005 Bonus Plan (incorporated by reference to Exhibit 10.23 to Lazard Ltd’s Registration Statement (File No. 333-121407)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Form 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Schedule I for, each of Michael J. Castellano and Scott D. Hoffman (incorporated by reference to Exhibit 10.26 to Lazard Ltd’s Quarterly</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3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Report on Form 8-K (File No. 333-126751) filed on May 8,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February 26, 2009,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May 4, 2005 (as amended from time to time), for Michael J. Castellano (incorporated by reference to Exhibit 10.26 to Registrant’s Annual</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Report (File</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 333-126751) on Form 10-K filed on March 2, 2009).</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Form of Agreements Relating to Retention and Noncompetition and Other Covenants (incorporated by reference to Exhibit 10.27 to Lazard</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Ltd’s Registration Statement (File No. 333-121407)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Form S-1/A filed on April 11, 2005).</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89"/>
              </w:rPr>
              <w:t>and Alexander F. Stern (incorporated by reference to Exhibit 10.28 to Registrant’s Annual Report (File No. 333-126751) on Form 10-K filed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46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October 4, 2004, with Alexander F. Stern (incorporated by reference to Exhibit 10.2 to the Registrant’s Current Report on Form 8-K (File</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 333-126751) filed on March 23,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and Kenneth M. Jacobs (incorporated by reference to Exhibit 10.29 to the Registrant’s Annual Report on Form 10-K (File No. 333-126751)</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filed on March 1,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46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(File No. 333-126751) field on March 23,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6"/>
              </w:rPr>
              <w:t>(incorporated by reference to Exhibit 10.28 to Lazard Ltd’s Quarterly Report (File No. 001-32492) on Form 10-Q filed on J16, 2005).</w:t>
            </w:r>
          </w:p>
        </w:tc>
      </w:tr>
      <w:tr>
        <w:trPr>
          <w:trHeight w:val="365"/>
        </w:trPr>
        <w:tc>
          <w:tcPr>
            <w:tcW w:w="820" w:type="dxa"/>
            <w:vAlign w:val="bottom"/>
          </w:tcPr>
          <w:p>
            <w:pPr>
              <w:spacing w:after="0"/>
              <w:rPr>
                <w:sz w:val="24"/>
                <w:szCs w:val="24"/>
                <w:color w:val="auto"/>
              </w:rPr>
            </w:pPr>
          </w:p>
        </w:tc>
        <w:tc>
          <w:tcPr>
            <w:tcW w:w="10460" w:type="dxa"/>
            <w:vAlign w:val="bottom"/>
          </w:tcPr>
          <w:p>
            <w:pPr>
              <w:ind w:left="470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Acknowledgement Letter, dated as of November 6, 2006, from Lazard Group LLC to certain managing directors of Lazard Group LLC</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6, 2006 (incorporated by reference to Exhibit 10.23 to the Registrant’s Quarterly Report (File No. 333-126751) on Form 10-Q filed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November 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reference to Exhibit 10.27 to Lazard Ltd’s Registration Statement (File No. 333-121407) on Form 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IXIS Corporate and Investment Bank (incorporated by reference to Exhibit 10.30 to Lazard Ltd’s Quarterly Report (File No. 001-32492)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Letter Agreement, dated as of May 10, 2005, with Bruce Wasserstein family trusts (incorporated by reference to Exhibit 10.31 to Lazard Ltd’s</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Letter Agreement, dated as of March 16, 2010, among Lazard Ltd, Lazard Group LLC and the Cranberry Dune 1998 Long-term Trust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(incorporated by reference to Exhibit 10.1 to the Registrant’s Current Report on Form 8-K (File No. 001-32492) filed on March 22,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Description of Non-Executive Director Compensation (incorporated by reference to Exhibit 10.33 to Lazard Ltd’s Quarterly Report (File No.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10.36*</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10.41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10.38*</w:t>
            </w: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Form of Agreement evidencing a grant of Deferred Cash Awards to Executive Officers under the 2008 Incentive Compensation Plan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10.42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10.39</w:t>
            </w: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Termination Agreement, dated as of March 31, 2006, by and among Banca Intesa S.p.A., Lazard Group LLC, and Lazard &amp; Co. S.r.l.</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10.1 to the Registrant’s Current Report on Form 8-K (File No. 333-126751) filed on April 4,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10.40</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Amended and Restated $150 Million Subordinated Convertible Promissory Note due 2018, issued by Lazard Funding LLC to Banca Intesa</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S.p.A. (incorporated by reference to Exhibit 10.3 to the Registrant’s Current Report on Form 8-K (File No. 333-126751) filed on May 17,</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10.41</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Amended and Restated Guaranty of Lazard Group LLC to Banca Intesa S.p.A., dated as of May 15, 2006 (incorporated by reference to Exhibit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10.4 to the Registrant’s Current Report on Form 8-K (File No. 333-126751) filed on May 17,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10.42*</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Directors’ Fee Deferral Unit Plan (incorporated by reference to Exhibit 10.37 to the Registrant’s Quarterly Report on Form 10-Q (File No. 333-</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126751) filed on May 11, 2006).</w:t>
            </w:r>
          </w:p>
        </w:tc>
      </w:tr>
      <w:tr>
        <w:trPr>
          <w:trHeight w:val="365"/>
        </w:trPr>
        <w:tc>
          <w:tcPr>
            <w:tcW w:w="82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10.43*</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Plan (incorporated by reference to Exhibit 10.40 to the Registrant’s Annual Report on Form 10-K (File No. 333-126751) filed on March 1,</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10.44</w:t>
            </w: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Agreement and Plan of Merger, dated as of August 14, 2008, by and among Lazard Ltd, LAZ Sub I, Lazard Asset Management LLC, and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Lazard Asset Management Limited (incorporated by reference to Exhibit 2.1 to Lazard Ltd’s Current Report on Form 8-K (file No. 001-32492)</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filed on August 15,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10.45*</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Letter Agreement regarding employment dated as of April 21, 2010 between Lazard Group LLC and Gary W. Parr (incorporated by reference to</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10.46</w:t>
            </w: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Senior Revolving Credit Agreement, dated as of April 29, 2010 among Lazard Group LLC, the Banks from time to time parties thereto, and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Citibank, N.A., as Administrative Agent (incorporated by reference to Exhibit 10.53 to the Registrant’s Quarterly Report (File No. 333-126751)</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on Form 10-Q filed on April 30,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10.47*</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10.54 to the Registrant’s Quarterly Report (File No. 333-126751) filed on April 30, 2010).</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12.1</w:t>
            </w:r>
          </w:p>
        </w:tc>
        <w:tc>
          <w:tcPr>
            <w:tcW w:w="10480" w:type="dxa"/>
            <w:vAlign w:val="bottom"/>
          </w:tcPr>
          <w:p>
            <w:pPr>
              <w:ind w:left="34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34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340"/>
              <w:spacing w:after="0"/>
              <w:rPr>
                <w:sz w:val="20"/>
                <w:szCs w:val="20"/>
                <w:color w:val="auto"/>
              </w:rPr>
            </w:pPr>
            <w:r>
              <w:rPr>
                <w:rFonts w:ascii="Arial" w:cs="Arial" w:eastAsia="Arial" w:hAnsi="Arial"/>
                <w:sz w:val="18"/>
                <w:szCs w:val="18"/>
                <w:color w:val="auto"/>
              </w:rPr>
              <w:t>Rule 13a-14(a) Certification of Michael J. Castellano.</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34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340"/>
              <w:spacing w:after="0"/>
              <w:rPr>
                <w:sz w:val="20"/>
                <w:szCs w:val="20"/>
                <w:color w:val="auto"/>
              </w:rPr>
            </w:pPr>
            <w:r>
              <w:rPr>
                <w:rFonts w:ascii="Arial" w:cs="Arial" w:eastAsia="Arial" w:hAnsi="Arial"/>
                <w:sz w:val="18"/>
                <w:szCs w:val="18"/>
                <w:color w:val="auto"/>
              </w:rPr>
              <w:t>Section 1350 Certification for Michael J. Castellano.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2010</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Kenneth M. Jacobs</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Chairman and Chief Executive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Michael J. Castellano</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Nine Months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(dollars</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1"/>
              </w:rPr>
              <w:t>in thousands)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112,060</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(181,988)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42,029</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$436,064</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$333,676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345,676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Add - Fixed charges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91,768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132,785</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161,665</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154,790</w:t>
            </w:r>
          </w:p>
        </w:tc>
        <w:tc>
          <w:tcPr>
            <w:tcW w:w="3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119,698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94,659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Operating income (loss) from continuing operations before</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203,828</w:t>
            </w:r>
          </w:p>
        </w:tc>
        <w:tc>
          <w:tcPr>
            <w:tcW w:w="3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(49,203)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203,694</w:t>
            </w: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590,854</w:t>
            </w:r>
          </w:p>
        </w:tc>
        <w:tc>
          <w:tcPr>
            <w:tcW w:w="3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453,374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440,335</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77,152</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113,280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141,413</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$136,529</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$104,348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Other (d)</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14,616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20,252</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15,350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16,284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91,768</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132,785</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161,665</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154,790</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$ 119,698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2.22(f)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 (g)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72"/>
              <w:spacing w:after="0"/>
              <w:rPr>
                <w:sz w:val="20"/>
                <w:szCs w:val="20"/>
                <w:color w:val="auto"/>
              </w:rPr>
            </w:pPr>
            <w:r>
              <w:rPr>
                <w:rFonts w:ascii="Arial" w:cs="Arial" w:eastAsia="Arial" w:hAnsi="Arial"/>
                <w:sz w:val="18"/>
                <w:szCs w:val="18"/>
                <w:color w:val="auto"/>
              </w:rPr>
              <w:t>1.26(h)</w:t>
            </w:r>
          </w:p>
        </w:tc>
        <w:tc>
          <w:tcPr>
            <w:tcW w:w="680" w:type="dxa"/>
            <w:vAlign w:val="bottom"/>
          </w:tcPr>
          <w:p>
            <w:pPr>
              <w:jc w:val="right"/>
              <w:spacing w:after="0"/>
              <w:rPr>
                <w:sz w:val="20"/>
                <w:szCs w:val="20"/>
                <w:color w:val="auto"/>
              </w:rPr>
            </w:pPr>
            <w:r>
              <w:rPr>
                <w:rFonts w:ascii="Arial" w:cs="Arial" w:eastAsia="Arial" w:hAnsi="Arial"/>
                <w:sz w:val="18"/>
                <w:szCs w:val="18"/>
                <w:color w:val="auto"/>
              </w:rPr>
              <w:t>3.82</w:t>
            </w:r>
          </w:p>
        </w:tc>
        <w:tc>
          <w:tcPr>
            <w:tcW w:w="32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4.65(e)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6"/>
              </w:rPr>
              <w:t>Deficiency in the coverage of operating income (loss) from</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continuing operations before fixed charges to total fixed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181,988</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Data presented relates to the Company’s continuing operations.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90" w:lineRule="exact"/>
        <w:rPr>
          <w:rFonts w:ascii="Arial" w:cs="Arial" w:eastAsia="Arial" w:hAnsi="Arial"/>
          <w:sz w:val="18"/>
          <w:szCs w:val="18"/>
          <w:color w:val="auto"/>
        </w:rPr>
      </w:pPr>
    </w:p>
    <w:p>
      <w:pPr>
        <w:ind w:left="780" w:right="360" w:hanging="326"/>
        <w:spacing w:after="0" w:line="306" w:lineRule="auto"/>
        <w:tabs>
          <w:tab w:leader="none" w:pos="7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earnings for the nine month period ended September 30, 2010 and for the years ended December 31, 2009, 2008, 2007, 2006 and 2005 represent income from continuing operations before income taxes, and, for the period prior to May 10, 2005, the date of Lazard Ltd’s equity public offering, before distributions for services rendered by managing directors and employee members of LAM, and before fixed charges, and</w:t>
      </w:r>
    </w:p>
    <w:p>
      <w:pPr>
        <w:spacing w:after="0" w:line="25" w:lineRule="exact"/>
        <w:rPr>
          <w:rFonts w:ascii="Arial" w:cs="Arial" w:eastAsia="Arial" w:hAnsi="Arial"/>
          <w:sz w:val="16"/>
          <w:szCs w:val="16"/>
          <w:color w:val="auto"/>
        </w:rPr>
      </w:pPr>
    </w:p>
    <w:p>
      <w:pPr>
        <w:ind w:left="780" w:right="100" w:hanging="326"/>
        <w:spacing w:after="0" w:line="268" w:lineRule="auto"/>
        <w:tabs>
          <w:tab w:leader="none" w:pos="7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fixed charges represent the interest expense from continuing operations and the portion of rental expense from continuing operations which represents an appropriate interest factor.</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operations for the period prior to Lazard Ltd’s equity public offering and the financing transactions on May 10, 2005 are not comparable to results of operations for subsequent periods as described below:</w:t>
      </w:r>
    </w:p>
    <w:p>
      <w:pPr>
        <w:spacing w:after="0" w:line="50" w:lineRule="exact"/>
        <w:rPr>
          <w:rFonts w:ascii="Arial" w:cs="Arial" w:eastAsia="Arial" w:hAnsi="Arial"/>
          <w:sz w:val="18"/>
          <w:szCs w:val="18"/>
          <w:color w:val="auto"/>
        </w:rPr>
      </w:pPr>
    </w:p>
    <w:p>
      <w:pPr>
        <w:ind w:left="780" w:right="80" w:hanging="326"/>
        <w:spacing w:after="0" w:line="294" w:lineRule="auto"/>
        <w:tabs>
          <w:tab w:leader="none" w:pos="7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payment for services rendered by Lazard Group’s managing directors, which, as a result of Lazard Group operating as a limited liability company, historically had been accounted for as distributions from members’ capital, or in some cases as net income attributable to noncontrolling interests, rather than as compensation and benefits expense. As a result, Lazard Group’s operating income historically has not reflected payments for services rendered by its managing directors. For periods subsequent to the consummation of the equity public offering, the consolidated financial statements of Lazard Group include all payments for services rendered by its managing directors in compensation and benefits expense;</w:t>
      </w:r>
    </w:p>
    <w:p>
      <w:pPr>
        <w:spacing w:after="0" w:line="34" w:lineRule="exact"/>
        <w:rPr>
          <w:rFonts w:ascii="Arial" w:cs="Arial" w:eastAsia="Arial" w:hAnsi="Arial"/>
          <w:sz w:val="16"/>
          <w:szCs w:val="16"/>
          <w:color w:val="auto"/>
        </w:rPr>
      </w:pPr>
    </w:p>
    <w:p>
      <w:pPr>
        <w:ind w:left="780" w:hanging="326"/>
        <w:spacing w:after="0"/>
        <w:tabs>
          <w:tab w:leader="none" w:pos="7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use of proceeds from the financing transactions;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net incremental expense related to the financing transactions.</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income for the nine month period ended September 30, 2010 is presented after giving effect to (i) a restructuring expense of $87,108 in the first quarter of 2010 and (ii) a charge of $24,860 in the first</w:t>
      </w:r>
    </w:p>
    <w:p>
      <w:pPr>
        <w:sectPr>
          <w:pgSz w:w="11900" w:h="16838" w:orient="portrait"/>
          <w:cols w:equalWidth="0" w:num="1">
            <w:col w:w="11420"/>
          </w:cols>
          <w:pgMar w:left="240" w:top="139" w:right="239" w:bottom="1440" w:gutter="0" w:footer="0" w:header="0"/>
        </w:sectPr>
      </w:pPr>
    </w:p>
    <w:bookmarkStart w:id="81" w:name="page82"/>
    <w:bookmarkEnd w:id="81"/>
    <w:p>
      <w:pPr>
        <w:ind w:left="452"/>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quarter of 2010 relating to the amendment of Lazard’s retirement policy with respect to RSU awards in such period. Excluding the impact of such items, the ratio of earnings to fixed charges would have been 3.44.</w:t>
      </w:r>
    </w:p>
    <w:p>
      <w:pPr>
        <w:ind w:left="452" w:right="180" w:hanging="452"/>
        <w:spacing w:after="0" w:line="250"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income (loss) for the year ended December 31, 2009 is presented after giving effect to (i) a restructuring expense of $62,550 in the first quarter of 2009, (ii) the acceleration of amortization expense of $86,514 relating to the vesting of RSUs held by Lazard’s former Chairman and Chief Executive Officer as the result of his death in October 2009 and (iii) the acceleration of amortization expense of $60,512 in the fourth quarter of 2009 relating to the accelerated vesting of the unamortized portion of previously awarded deferred cash incentive awards. Excluding the impact of such items, the ratio of earnings to fixed charges would have been 1.21.</w:t>
      </w:r>
    </w:p>
    <w:p>
      <w:pPr>
        <w:spacing w:after="0" w:line="2" w:lineRule="exact"/>
        <w:rPr>
          <w:rFonts w:ascii="Arial" w:cs="Arial" w:eastAsia="Arial" w:hAnsi="Arial"/>
          <w:sz w:val="18"/>
          <w:szCs w:val="18"/>
          <w:color w:val="auto"/>
        </w:rPr>
      </w:pPr>
    </w:p>
    <w:p>
      <w:pPr>
        <w:ind w:left="452" w:right="20" w:hanging="452"/>
        <w:spacing w:after="0" w:line="261"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412"/>
          </w:cols>
          <w:pgMar w:left="248" w:top="2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2010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2010</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39"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2010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2010</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9"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October 29,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3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October 29,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3"/>
    </w:lvl>
  </w:abstractNum>
  <w:abstractNum w:abstractNumId="7">
    <w:nsid w:val="2901D82"/>
    <w:multiLevelType w:val="hybridMultilevel"/>
    <w:lvl w:ilvl="0">
      <w:lvlJc w:val="left"/>
      <w:lvlText w:val="%1."/>
      <w:numFmt w:val="decimal"/>
      <w:start w:val="4"/>
    </w:lvl>
  </w:abstractNum>
  <w:abstractNum w:abstractNumId="8">
    <w:nsid w:val="3A95F874"/>
    <w:multiLevelType w:val="hybridMultilevel"/>
    <w:lvl w:ilvl="0">
      <w:lvlJc w:val="left"/>
      <w:lvlText w:val="%1."/>
      <w:numFmt w:val="decimal"/>
      <w:start w:val="5"/>
    </w:lvl>
  </w:abstractNum>
  <w:abstractNum w:abstractNumId="9">
    <w:nsid w:val="8138641"/>
    <w:multiLevelType w:val="hybridMultilevel"/>
    <w:lvl w:ilvl="0">
      <w:lvlJc w:val="left"/>
      <w:lvlText w:val="%1."/>
      <w:numFmt w:val="decimal"/>
      <w:start w:val="6"/>
    </w:lvl>
  </w:abstractNum>
  <w:abstractNum w:abstractNumId="10">
    <w:nsid w:val="1E7FF521"/>
    <w:multiLevelType w:val="hybridMultilevel"/>
    <w:lvl w:ilvl="0">
      <w:lvlJc w:val="left"/>
      <w:lvlText w:val="%1."/>
      <w:numFmt w:val="decimal"/>
      <w:start w:val="7"/>
    </w:lvl>
  </w:abstractNum>
  <w:abstractNum w:abstractNumId="11">
    <w:nsid w:val="7C3DBD3D"/>
    <w:multiLevelType w:val="hybridMultilevel"/>
    <w:lvl w:ilvl="0">
      <w:lvlJc w:val="left"/>
      <w:lvlText w:val="%1."/>
      <w:numFmt w:val="decimal"/>
      <w:start w:val="8"/>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decimal"/>
      <w:start w:val="11"/>
    </w:lvl>
  </w:abstractNum>
  <w:abstractNum w:abstractNumId="16">
    <w:nsid w:val="3006C83E"/>
    <w:multiLevelType w:val="hybridMultilevel"/>
    <w:lvl w:ilvl="0">
      <w:lvlJc w:val="left"/>
      <w:lvlText w:val="%1."/>
      <w:numFmt w:val="decimal"/>
      <w:start w:val="12"/>
    </w:lvl>
  </w:abstractNum>
  <w:abstractNum w:abstractNumId="17">
    <w:nsid w:val="614FD4A1"/>
    <w:multiLevelType w:val="hybridMultilevel"/>
    <w:lvl w:ilvl="0">
      <w:lvlJc w:val="left"/>
      <w:lvlText w:val="%1."/>
      <w:numFmt w:val="decimal"/>
      <w:start w:val="13"/>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decimal"/>
      <w:start w:val="14"/>
    </w:lvl>
  </w:abstractNum>
  <w:abstractNum w:abstractNumId="20">
    <w:nsid w:val="440BADFC"/>
    <w:multiLevelType w:val="hybridMultilevel"/>
    <w:lvl w:ilvl="0">
      <w:lvlJc w:val="left"/>
      <w:lvlText w:val="%1."/>
      <w:numFmt w:val="decimal"/>
      <w:start w:val="15"/>
    </w:lvl>
  </w:abstractNum>
  <w:abstractNum w:abstractNumId="21">
    <w:nsid w:val="5072367"/>
    <w:multiLevelType w:val="hybridMultilevel"/>
    <w:lvl w:ilvl="0">
      <w:lvlJc w:val="left"/>
      <w:lvlText w:val="%1."/>
      <w:numFmt w:val="decimal"/>
      <w:start w:val="16"/>
    </w:lvl>
  </w:abstractNum>
  <w:abstractNum w:abstractNumId="22">
    <w:nsid w:val="3804823E"/>
    <w:multiLevelType w:val="hybridMultilevel"/>
    <w:lvl w:ilvl="0">
      <w:lvlJc w:val="left"/>
      <w:lvlText w:val="(%1)"/>
      <w:numFmt w:val="lowerRoman"/>
      <w:start w:val="2"/>
    </w:lvl>
  </w:abstractNum>
  <w:abstractNum w:abstractNumId="23">
    <w:nsid w:val="77465F01"/>
    <w:multiLevelType w:val="hybridMultilevel"/>
    <w:lvl w:ilvl="0">
      <w:lvlJc w:val="left"/>
      <w:lvlText w:val="%1."/>
      <w:numFmt w:val="decimal"/>
      <w:start w:val="17"/>
    </w:lvl>
  </w:abstractNum>
  <w:abstractNum w:abstractNumId="24">
    <w:nsid w:val="7724C67E"/>
    <w:multiLevelType w:val="hybridMultilevel"/>
    <w:lvl w:ilvl="0">
      <w:lvlJc w:val="left"/>
      <w:lvlText w:val="%1."/>
      <w:numFmt w:val="decimal"/>
      <w:start w:val="18"/>
    </w:lvl>
  </w:abstractNum>
  <w:abstractNum w:abstractNumId="25">
    <w:nsid w:val="5C482A97"/>
    <w:multiLevelType w:val="hybridMultilevel"/>
    <w:lvl w:ilvl="0">
      <w:lvlJc w:val="left"/>
      <w:lvlText w:val="%1."/>
      <w:numFmt w:val="decimal"/>
      <w:start w:val="19"/>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2"/>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lowerLetter"/>
      <w:start w:val="1"/>
    </w:lvl>
    <w:lvl w:ilvl="1">
      <w:lvlJc w:val="left"/>
      <w:lvlText w:val="•"/>
      <w:numFmt w:val="bullet"/>
      <w:start w:val="1"/>
    </w:lvl>
  </w:abstractNum>
  <w:abstractNum w:abstractNumId="47">
    <w:nsid w:val="684A481A"/>
    <w:multiLevelType w:val="hybridMultilevel"/>
    <w:lvl w:ilvl="0">
      <w:lvlJc w:val="left"/>
      <w:lvlText w:val="(%1)"/>
      <w:numFmt w:val="lowerLetter"/>
      <w:start w:val="7"/>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2019-12-11T00:55:05Z</dcterms:created>
  <dcterms:modified xsi:type="dcterms:W3CDTF">2019-12-11T00:55:05Z</dcterms:modified>
</cp:coreProperties>
</file>