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9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80" w:firstLine="342"/>
        <w:spacing w:after="0" w:line="268" w:lineRule="auto"/>
        <w:rPr>
          <w:sz w:val="20"/>
          <w:szCs w:val="20"/>
          <w:color w:val="auto"/>
        </w:rPr>
      </w:pPr>
      <w:r>
        <w:rPr>
          <w:rFonts w:ascii="Arial" w:cs="Arial" w:eastAsia="Arial" w:hAnsi="Arial"/>
          <w:sz w:val="18"/>
          <w:szCs w:val="18"/>
          <w:color w:val="auto"/>
        </w:rPr>
        <w:t>As of October 24, 2012,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September 30, 2012 of approximately 94.9%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3">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9"/>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340" w:type="dxa"/>
            <w:vAlign w:val="bottom"/>
            <w:gridSpan w:val="7"/>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September 30, 2012 and</w:t>
              </w:r>
            </w:hyperlink>
          </w:p>
        </w:tc>
        <w:tc>
          <w:tcPr>
            <w:tcW w:w="470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6340" w:type="dxa"/>
            <w:vAlign w:val="bottom"/>
            <w:tcBorders>
              <w:bottom w:val="single" w:sz="8" w:color="0000EE"/>
            </w:tcBorders>
            <w:gridSpan w:val="7"/>
            <w:vMerge w:val="continue"/>
          </w:tcPr>
          <w:p>
            <w:pPr>
              <w:spacing w:after="0"/>
              <w:rPr>
                <w:sz w:val="13"/>
                <w:szCs w:val="13"/>
                <w:color w:val="auto"/>
              </w:rPr>
            </w:pPr>
          </w:p>
        </w:tc>
        <w:tc>
          <w:tcPr>
            <w:tcW w:w="470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1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nine month periods ended</w:t>
              </w:r>
            </w:hyperlink>
          </w:p>
        </w:tc>
        <w:tc>
          <w:tcPr>
            <w:tcW w:w="39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September 30, 2012 and 2011</w:t>
              </w:r>
            </w:hyperlink>
          </w:p>
        </w:tc>
        <w:tc>
          <w:tcPr>
            <w:tcW w:w="87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1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nine month periods ended September 30, 2012 and 2011</w:t>
              </w:r>
            </w:hyperlink>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 periods ended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September 30, 2012 and 2011</w:t>
              </w:r>
            </w:hyperlink>
          </w:p>
        </w:tc>
        <w:tc>
          <w:tcPr>
            <w:tcW w:w="3680" w:type="dxa"/>
            <w:vAlign w:val="bottom"/>
            <w:tcBorders>
              <w:top w:val="single" w:sz="8" w:color="0000EE"/>
            </w:tcBorders>
            <w:gridSpan w:val="2"/>
          </w:tcPr>
          <w:p>
            <w:pPr>
              <w:spacing w:after="0"/>
              <w:rPr>
                <w:sz w:val="17"/>
                <w:szCs w:val="17"/>
                <w:color w:val="auto"/>
              </w:rPr>
            </w:pPr>
          </w:p>
        </w:tc>
        <w:tc>
          <w:tcPr>
            <w:tcW w:w="5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93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Members’ Equity for the nine month periods ended September 30, 2012 and 2011</w:t>
              </w:r>
            </w:hyperlink>
          </w:p>
        </w:tc>
        <w:tc>
          <w:tcPr>
            <w:tcW w:w="1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3"/>
          </w:tcPr>
          <w:p>
            <w:pPr>
              <w:spacing w:after="0"/>
              <w:rPr>
                <w:sz w:val="24"/>
                <w:szCs w:val="24"/>
                <w:color w:val="auto"/>
              </w:rPr>
            </w:pPr>
          </w:p>
        </w:tc>
        <w:tc>
          <w:tcPr>
            <w:tcW w:w="21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$821,926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266,680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61,863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75,506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4"/>
              </w:rPr>
              <w:t>Receivables (net of allowance for doubtful accounts of $22,324 and $19,450 at September 30, 2012 and December 31,</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respectively):</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Fees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389,346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84,063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210,570</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683,979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427,634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355,510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0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8"/>
              </w:rPr>
              <w:t>Property (net of accumulated amortization and depreciation of $272,740 and $266,673 at September 30, 2012 and</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December 31, 2011, respectively)</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216,412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168,429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2"/>
              </w:rPr>
              <w:t>Goodwill and other intangible assets (net of accumulated amortization of $33,094 and $26,922 at September 30, 2012 and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395,442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271,626</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$3,145,562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$3,037,453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900" w:type="dxa"/>
            <w:vAlign w:val="bottom"/>
          </w:tcPr>
          <w:p>
            <w:pPr>
              <w:jc w:val="right"/>
              <w:spacing w:after="0"/>
              <w:rPr>
                <w:sz w:val="20"/>
                <w:szCs w:val="20"/>
                <w:color w:val="auto"/>
              </w:rPr>
            </w:pPr>
            <w:r>
              <w:rPr>
                <w:rFonts w:ascii="Arial" w:cs="Arial" w:eastAsia="Arial" w:hAnsi="Arial"/>
                <w:sz w:val="18"/>
                <w:szCs w:val="18"/>
                <w:color w:val="auto"/>
              </w:rPr>
              <w:t>$262,206</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301,174</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900" w:type="dxa"/>
            <w:vAlign w:val="bottom"/>
          </w:tcPr>
          <w:p>
            <w:pPr>
              <w:jc w:val="right"/>
              <w:spacing w:after="0"/>
              <w:rPr>
                <w:sz w:val="20"/>
                <w:szCs w:val="20"/>
                <w:color w:val="auto"/>
              </w:rPr>
            </w:pPr>
            <w:r>
              <w:rPr>
                <w:rFonts w:ascii="Arial" w:cs="Arial" w:eastAsia="Arial" w:hAnsi="Arial"/>
                <w:sz w:val="18"/>
                <w:szCs w:val="18"/>
                <w:color w:val="auto"/>
              </w:rPr>
              <w:t>1,076,850</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900" w:type="dxa"/>
            <w:vAlign w:val="bottom"/>
          </w:tcPr>
          <w:p>
            <w:pPr>
              <w:jc w:val="right"/>
              <w:spacing w:after="0"/>
              <w:rPr>
                <w:sz w:val="20"/>
                <w:szCs w:val="20"/>
                <w:color w:val="auto"/>
              </w:rPr>
            </w:pPr>
            <w:r>
              <w:rPr>
                <w:rFonts w:ascii="Arial" w:cs="Arial" w:eastAsia="Arial" w:hAnsi="Arial"/>
                <w:sz w:val="18"/>
                <w:szCs w:val="18"/>
                <w:color w:val="auto"/>
              </w:rPr>
              <w:t>219,095</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475,902</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900" w:type="dxa"/>
            <w:vAlign w:val="bottom"/>
          </w:tcPr>
          <w:p>
            <w:pPr>
              <w:jc w:val="right"/>
              <w:spacing w:after="0"/>
              <w:rPr>
                <w:sz w:val="20"/>
                <w:szCs w:val="20"/>
                <w:color w:val="auto"/>
              </w:rPr>
            </w:pPr>
            <w:r>
              <w:rPr>
                <w:rFonts w:ascii="Arial" w:cs="Arial" w:eastAsia="Arial" w:hAnsi="Arial"/>
                <w:sz w:val="18"/>
                <w:szCs w:val="18"/>
                <w:color w:val="auto"/>
              </w:rPr>
              <w:t>2,353,375</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2,319,186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2"/>
              </w:rPr>
              <w:t>Members’ equity (net of 3,388,632 and 2,174,573 shares of Lazard Class A common stock, at a cost of $95,101 and</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$72,410 at September 30, 2012 and December 31, 2011 respectively)</w:t>
            </w:r>
          </w:p>
        </w:tc>
        <w:tc>
          <w:tcPr>
            <w:tcW w:w="900" w:type="dxa"/>
            <w:vAlign w:val="bottom"/>
          </w:tcPr>
          <w:p>
            <w:pPr>
              <w:jc w:val="right"/>
              <w:spacing w:after="0"/>
              <w:rPr>
                <w:sz w:val="20"/>
                <w:szCs w:val="20"/>
                <w:color w:val="auto"/>
              </w:rPr>
            </w:pPr>
            <w:r>
              <w:rPr>
                <w:rFonts w:ascii="Arial" w:cs="Arial" w:eastAsia="Arial" w:hAnsi="Arial"/>
                <w:sz w:val="18"/>
                <w:szCs w:val="18"/>
                <w:color w:val="auto"/>
              </w:rPr>
              <w:t>777,993</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(69,416)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Lazard Group members’ equity</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708,577</w:t>
            </w:r>
          </w:p>
        </w:tc>
        <w:tc>
          <w:tcPr>
            <w:tcW w:w="4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83,610</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members’ equity</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792,187</w:t>
            </w: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3,145,562</w:t>
            </w:r>
          </w:p>
        </w:tc>
        <w:tc>
          <w:tcPr>
            <w:tcW w:w="4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19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9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218,262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248,358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732,109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711,781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214,867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213,276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3,692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452,350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488,500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1,415,624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1,453,078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Net revenue</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429,311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465,323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1,346,776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1,381,248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283,805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273,518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905,488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19,096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8,288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381,811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374,547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1,221,244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1,126,124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10,769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26,138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spacing w:after="0" w:line="201" w:lineRule="exact"/>
              <w:rPr>
                <w:sz w:val="20"/>
                <w:szCs w:val="20"/>
                <w:color w:val="auto"/>
              </w:rPr>
            </w:pPr>
            <w:r>
              <w:rPr>
                <w:rFonts w:ascii="Arial" w:cs="Arial" w:eastAsia="Arial" w:hAnsi="Arial"/>
                <w:sz w:val="18"/>
                <w:szCs w:val="18"/>
                <w:b w:val="1"/>
                <w:bCs w:val="1"/>
                <w:color w:val="auto"/>
              </w:rPr>
              <w:t>LESS: NET INCOME (LOSS) ATTRIBUTABLE TO NONCONTROLLING</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36,731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$ 77,896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99,394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Actuarial loss (net of tax benefits of $994 and $2,402 for the three months ended</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60"/>
              <w:spacing w:after="0"/>
              <w:rPr>
                <w:sz w:val="20"/>
                <w:szCs w:val="20"/>
                <w:color w:val="auto"/>
              </w:rPr>
            </w:pPr>
            <w:r>
              <w:rPr>
                <w:rFonts w:ascii="Arial" w:cs="Arial" w:eastAsia="Arial" w:hAnsi="Arial"/>
                <w:sz w:val="18"/>
                <w:szCs w:val="18"/>
                <w:color w:val="auto"/>
                <w:w w:val="99"/>
              </w:rPr>
              <w:t>September 30, 2012 and 2011, respectively, and $3,719 and $4,308 for the nine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060"/>
              <w:spacing w:after="0"/>
              <w:rPr>
                <w:sz w:val="20"/>
                <w:szCs w:val="20"/>
                <w:color w:val="auto"/>
              </w:rPr>
            </w:pPr>
            <w:r>
              <w:rPr>
                <w:rFonts w:ascii="Arial" w:cs="Arial" w:eastAsia="Arial" w:hAnsi="Arial"/>
                <w:sz w:val="18"/>
                <w:szCs w:val="18"/>
                <w:color w:val="auto"/>
              </w:rPr>
              <w:t>months ended September 30, 2012 and 2011, respectively)</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(1,893)</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(4,585)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(7,947)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Adjustment for items reclassified to earnings (net of tax expense of $278 and $261 for</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5"/>
              </w:rPr>
              <w:t>the three months ended September 30, 2012 and 2011, respectively, and $856 and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$778 for the nine months ended September 30, 2012 and 2011, respectively)</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tcPr>
          <w:p>
            <w:pPr>
              <w:jc w:val="right"/>
              <w:spacing w:after="0"/>
              <w:rPr>
                <w:sz w:val="20"/>
                <w:szCs w:val="20"/>
                <w:color w:val="auto"/>
              </w:rPr>
            </w:pPr>
            <w:r>
              <w:rPr>
                <w:rFonts w:ascii="Arial" w:cs="Arial" w:eastAsia="Arial" w:hAnsi="Arial"/>
                <w:sz w:val="18"/>
                <w:szCs w:val="18"/>
                <w:color w:val="auto"/>
              </w:rPr>
              <w:t>11,638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(42,259)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9,905</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109,299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(LOSS) ATTRIBUTABLE TO NONCONTROLLING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(1,434)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49,803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$ 35,553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106,969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99,394</w:t>
            </w:r>
          </w:p>
        </w:tc>
        <w:tc>
          <w:tcPr>
            <w:tcW w:w="6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252,129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Loss on sale of intercompany receivable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5,638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13,614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(63,338)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(52,755)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(22,448)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(56,521)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232,508</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(71,722)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(69,564)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 of intercompany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(13,580)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(122,862)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(69,948)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(40,686)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(168,305)</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(484,733)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(219,738)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820,984</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821,926</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805,054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22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Lazard Group</w:t>
            </w:r>
          </w:p>
        </w:tc>
        <w:tc>
          <w:tcPr>
            <w:tcW w:w="2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Members’ Equity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2011 (*)</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$ 404,588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$ 490,447</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211,121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211,121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(8,215)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200"/>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199,176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6,887</w:t>
            </w:r>
          </w:p>
        </w:tc>
        <w:tc>
          <w:tcPr>
            <w:tcW w:w="300" w:type="dxa"/>
            <w:vAlign w:val="bottom"/>
          </w:tcPr>
          <w:p>
            <w:pPr>
              <w:spacing w:after="0"/>
              <w:rPr>
                <w:sz w:val="19"/>
                <w:szCs w:val="19"/>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206,063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211,466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211,466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(54,689)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(14,322)</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(69,011)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(158,617)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3"/>
              </w:rPr>
              <w:t>Delivery of Lazard Ltd Class A common stock in connection with</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w w:val="92"/>
              </w:rPr>
              <w:t>share-based incentive compensation and related tax benefit of</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$2,178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(90,159)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(90,159)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(90,159)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9"/>
              </w:rPr>
              <w:t>Repurchase of common membership interests from LAZ-MD</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Business acquisitions: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Delivery of Lazard Ltd Class A common stock</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Common membership interests issued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53,486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53,486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53,486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Lazard Ltd Class A common stock issuable (including in</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connection with LAM Merger and related amortization)</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2011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$ 623,079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(46,968)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576,111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113,447</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$ 689,558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460" w:right="56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Includes 127,350,561 and 129,766,090 common membership interests at January 1, 2011 and September 30, 2011, respectively. Also includes profit participation interests and two managing member interests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Lazard 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7"/>
              </w:rPr>
              <w:t>Members’</w:t>
            </w: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Members’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2012 (*)</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$ 693,596</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(79,252)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614,344</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103,923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97,133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97,133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14,548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280"/>
              <w:spacing w:after="0"/>
              <w:rPr>
                <w:sz w:val="20"/>
                <w:szCs w:val="20"/>
                <w:color w:val="auto"/>
              </w:rPr>
            </w:pPr>
            <w:r>
              <w:rPr>
                <w:rFonts w:ascii="Arial" w:cs="Arial" w:eastAsia="Arial" w:hAnsi="Arial"/>
                <w:sz w:val="18"/>
                <w:szCs w:val="18"/>
                <w:color w:val="auto"/>
              </w:rPr>
              <w:t>Net actuarial loss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(7,947)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(7,947)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(7,947)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Adjustments for items reclassified to</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earnings</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106,969</w:t>
            </w: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220,175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220,175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(69,948)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(69,948)</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(12,036)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Deconsolidation of investment companies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(10,607)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(122,862)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(122,862)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(122,862)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5"/>
              </w:rPr>
              <w:t>Delivery of Class A common stock in connection with shared-</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based incentive compensation and related tax expense of</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$972</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(41,658)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(41,658)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Class A common stock issued/issuable (including related</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3,549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3,549</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September 30, 2012 (*)</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$ 777,993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(69,416)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708,577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83,610</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$ 792,187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1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129,766,090 common membership interests at both January 1, 2012 and September 30, 2012. Also includes profit participation interests and two managing member interests at each such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0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Lazard Ltd, a Bermuda holding company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individuals.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Lazard Ltd indirectly held approximately 94.9% and 94.8% of all outstanding Lazard Group common membership interests as of September 30, 2012 and December 31, 2011, respectively. Lazard Ltd, through its control of the managing members of Lazard Group, controls Lazard Group. LAZ-MD Holdings LLC (“LAZ-MD Holdings”), an entity owned by Lazard Group’s current and former managing directors, held approximately 5.1% and 5.2% of the outstanding Lazard Group common membership interests as of September 30, 2012 and December 31, 2011, respectively. Additionally, LAZ-MD Holdings was the sole owner of the one issued and outstanding share of Lazard Ltd’s Class B common stock (the “Class B common stock”) which provided LAZ-MD Holdings with approximately 5.1% and 5.2% of the voting power but no economic rights in Lazard Ltd as of September 30, 2012 and December 31, 2011, respectively.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Autoritè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2011 (the “Form 10-K”). The accompanying December 31, 2011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nine month periods ended September 30, 2012 are not necessarily indicative of the results to be expected for any future interim or annual period.</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which 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 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6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“receivables” consist of receivables from fees, customers and other and related parties, net of an allowance for doubtful accounts.</w:t>
      </w:r>
    </w:p>
    <w:p>
      <w:pPr>
        <w:spacing w:after="0" w:line="194"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Receivables are stated net of an estimated allowance for doubtful accounts of $22,324 and $19,450 at September 30, 2012 and December 31, 2011, respectively, for certain past due amounts and for specific accounts deemed uncollectible, which may include situations where a fee is in dispute. The Company recorded net bad debt expense of $1,553 and $2,701 for the three month and nine month periods ended September 30, 2012, respectively, and $1,445 and $4,875 for the three month and nine month periods ended September 30, 2011, respectively. In addition, the Company recorded charge-offs, foreign currency translation and other adjustments, which resulted in a net increase (decrease) to the allowance for doubtful accounts of $15 and $173 for the three month and nine month periods ended September 30, 2012, respectively, and $(513) and $(2,435) for the three month and nine month periods ended September 30, 2011, respectively. At September 30, 2012 and December 31, 2011, the Company had receivables deemed past due or uncollectible of $25,990 and $22,785, respectively.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 of the following at September 30, 2012 and December 31,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Equities (a)</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207,695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117,194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194,195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175,389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427,634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 (included in “debt” above)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420,346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2,793</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Equities, interests in alternative asset management funds and fixed income funds include investments with fair values of $76,280, $3,577 and $21,856, respectively, at September 30, 2012 and $19,857, $2,256 and $5,212, respectively, at December 31, 2011,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13 of Notes to Condensed Consolidated Financial Statements).</w:t>
      </w:r>
    </w:p>
    <w:p>
      <w:pPr>
        <w:spacing w:after="0" w:line="14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Asset Management products and non-U.S. government debt securities.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Equities primarily consist of (i) seed investments in Asset Management products, which in turn invest in marketable equity securities of large-, mid- and small-cap domestic, international and global companies and include investments in public and private asset management funds managed by LAM and (ii) amounts relating to Lazard Fund Interests discussed above.</w:t>
      </w:r>
    </w:p>
    <w:p>
      <w:pPr>
        <w:spacing w:after="0" w:line="14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Interests in alternative asset management funds primarily consist of general partner (“GP”) interests in various Lazard-managed alternative asset management funds.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Fixed income funds primarily consist of (i) seed investments in Asset Management products, which invest in fixed income securities and (ii) amounts relating to Lazard Fund Interests discussed above.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w:t>
      </w:r>
    </w:p>
    <w:p>
      <w:pPr>
        <w:ind w:right="340" w:firstLine="8"/>
        <w:spacing w:after="0" w:line="254" w:lineRule="auto"/>
        <w:tabs>
          <w:tab w:leader="none" w:pos="3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Edgewater Growth Capital Partners III, L.P. (“EGCP III”), a private equity fund primarily making equity and buyout investments in lower middle market companies, (iv) Lazard Senior Housing Partners LP (“Senior Housing”), which targets controlling interests in companies and assets in the senior housing, extended-stay hotel and shopping center sectors, and (v) Lazard Australia Corporate Opportunities Fund 2 (“COF 2”), a Lazard-managed Australian private equity fund targeting Australasian mid-market investments.</w:t>
      </w:r>
    </w:p>
    <w:p>
      <w:pPr>
        <w:spacing w:after="0" w:line="144"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Private equity investments consolidated but not owned by Lazard relate to the economic interests that are owned by the management team and other investors in the Edgewater Funds (“Edgewater”) which aggregated $19,734 and $18,502 at September 30, 2012 and December 31, 2011, respectively.</w:t>
      </w:r>
    </w:p>
    <w:p>
      <w:pPr>
        <w:spacing w:after="0" w:line="62"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During the three month and nine month periods ended September 30, 2012 and 2011, the Company reported in “revenue-other” on its condensed consolidated statements of operations gross unrealized investment gains and losses pertaining to “trading” securities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 Period</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 Period Ended</w:t>
            </w:r>
          </w:p>
        </w:tc>
      </w:tr>
      <w:tr>
        <w:trPr>
          <w:trHeight w:val="161"/>
        </w:trPr>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Ended September 30,</w:t>
            </w:r>
          </w:p>
        </w:tc>
        <w:tc>
          <w:tcPr>
            <w:tcW w:w="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w w:val="89"/>
              </w:rPr>
              <w:t>2012</w:t>
            </w:r>
          </w:p>
        </w:tc>
        <w:tc>
          <w:tcPr>
            <w:tcW w:w="1300" w:type="dxa"/>
            <w:vAlign w:val="bottom"/>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3,256</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1,619</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344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657</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6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14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redeemable in the near term are classified as Level 2 and valued at NAV or its equivalent, which is primarily determined based on information provided by fund managers and, secondarily, from external pricing services to the extent managed by LAM; and Level 3 represents equities valued based on NAV or its equivalent that are not redeemable within the near term.</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valued at NAV or its equivalent, which is primarily determined based on information provided by fund managers and, secondarily, from external pricing services to the extent managed by LAM.</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investments in fixed income funds are considered Level 1 assets when the fair values are primarily based on the reported closing price for the fund or Level 2 assets when the fair values are primarily based on NAV or its equivalent and are redeemable in the near future.</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primarily based on NAV or its equivalent. Such investments are not redeemable within the near term.</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the fair values of interest rate swaps are based on the interest rate yield curve; and the fair value of derivative liabilities related to Lazard Fund Interests and other similar deferred compensation arrangements is based on the value of the underlying investments, adjusted for estimated forfeitures.</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and December 31, 2011 into the three-level fair value hierarchy in accordance with fair value measurement disclosure requirements: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25,192</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170,043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207,695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28,238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31,673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35,460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38,592</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117,194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117,194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227,380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72,187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120,825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420,392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101,238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101,238</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101,238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104,031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2011</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115,380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156,053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122,718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122,718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150,179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65,475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133,100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348,754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vMerge w:val="continue"/>
          </w:tcPr>
          <w:p>
            <w:pPr>
              <w:spacing w:after="0"/>
              <w:rPr>
                <w:sz w:val="19"/>
                <w:szCs w:val="19"/>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30,572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30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2012 and 2011.</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Three Months Ended September 30,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Net Unrealized/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Sales/</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117,194</w:t>
            </w:r>
          </w:p>
        </w:tc>
        <w:tc>
          <w:tcPr>
            <w:tcW w:w="100" w:type="dxa"/>
            <w:vAlign w:val="bottom"/>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$ 118,798</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120,825</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Nine Months Ended September 30, 2012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Sales/</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(3,160)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5,697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(23,093)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117,194</w:t>
            </w:r>
          </w:p>
        </w:tc>
        <w:tc>
          <w:tcPr>
            <w:tcW w:w="100" w:type="dxa"/>
            <w:vAlign w:val="bottom"/>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133,100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5,717</w:t>
            </w:r>
          </w:p>
        </w:tc>
        <w:tc>
          <w:tcPr>
            <w:tcW w:w="13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(29,976)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120,825</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4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Three Months Ended September 30, 2011</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7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Purchases/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8"/>
              </w:rPr>
              <w:t>Sales/</w:t>
            </w:r>
          </w:p>
        </w:tc>
        <w:tc>
          <w:tcPr>
            <w:tcW w:w="14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4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17,158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(45,058)(b)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r>
      <w:tr>
        <w:trPr>
          <w:trHeight w:val="27"/>
        </w:trPr>
        <w:tc>
          <w:tcPr>
            <w:tcW w:w="4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174,839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25,686</w:t>
            </w:r>
          </w:p>
        </w:tc>
        <w:tc>
          <w:tcPr>
            <w:tcW w:w="13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(45,058)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602"/>
              <w:spacing w:after="0"/>
              <w:rPr>
                <w:sz w:val="20"/>
                <w:szCs w:val="20"/>
                <w:color w:val="auto"/>
              </w:rPr>
            </w:pPr>
            <w:r>
              <w:rPr>
                <w:rFonts w:ascii="Arial" w:cs="Arial" w:eastAsia="Arial" w:hAnsi="Arial"/>
                <w:sz w:val="18"/>
                <w:szCs w:val="18"/>
                <w:color w:val="auto"/>
                <w:w w:val="79"/>
              </w:rPr>
              <w:t>16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w w:val="91"/>
              </w:rPr>
              <w:t>Nine Months Ended September 30, 2011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Included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60" w:type="dxa"/>
            <w:vAlign w:val="bottom"/>
          </w:tcPr>
          <w:p>
            <w:pPr>
              <w:spacing w:after="0"/>
              <w:rPr>
                <w:sz w:val="12"/>
                <w:szCs w:val="12"/>
                <w:color w:val="auto"/>
              </w:rPr>
            </w:pPr>
          </w:p>
        </w:tc>
        <w:tc>
          <w:tcPr>
            <w:tcW w:w="11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8"/>
              </w:rPr>
              <w:t>Sales/</w:t>
            </w:r>
          </w:p>
        </w:tc>
        <w:tc>
          <w:tcPr>
            <w:tcW w:w="12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(a)</w:t>
            </w:r>
          </w:p>
        </w:tc>
        <w:tc>
          <w:tcPr>
            <w:tcW w:w="3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30,233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(54,218)(b)</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142,778</w:t>
            </w:r>
          </w:p>
        </w:tc>
        <w:tc>
          <w:tcPr>
            <w:tcW w:w="1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163,798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38,761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(54,413)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151,432</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for the three month and nine month periods ended September 30, 2012 and the three month and nine month periods ended September 30, 2011 include net unrealized gains (losses) of $(460), $9,103, $(829) and $2,988, respectively.</w:t>
      </w:r>
    </w:p>
    <w:p>
      <w:pPr>
        <w:spacing w:after="0" w:line="131" w:lineRule="exact"/>
        <w:rPr>
          <w:rFonts w:ascii="Arial" w:cs="Arial" w:eastAsia="Arial" w:hAnsi="Arial"/>
          <w:sz w:val="18"/>
          <w:szCs w:val="18"/>
          <w:color w:val="auto"/>
        </w:rPr>
      </w:pPr>
    </w:p>
    <w:p>
      <w:pPr>
        <w:ind w:right="220" w:firstLine="464"/>
        <w:spacing w:after="0" w:line="332"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Sales/dispositions of private equity investments for the three month and nine month periods ended September 30, 2011 include $42,800 and $49,500, respectively, in connection with a reduction of interests in certain funds of Edgewater as such funds are no longer consolidated by Lazard.</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Fair Value of Certain Investments Based on NAV</w:t>
      </w:r>
      <w:r>
        <w:rPr>
          <w:rFonts w:ascii="Arial" w:cs="Arial" w:eastAsia="Arial" w:hAnsi="Arial"/>
          <w:sz w:val="18"/>
          <w:szCs w:val="18"/>
          <w:color w:val="auto"/>
        </w:rPr>
        <w:t>—The Company’s Level 2 and Level 3 investments at September 30, 2012 and December 31,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investments that are valued using NAV or its equivalent as a practical expedient in determining fair value. Information with respect thereto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w w:val="96"/>
              </w:rPr>
              <w:t>September 30, 2012</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20" w:type="dxa"/>
            <w:vAlign w:val="bottom"/>
            <w:gridSpan w:val="6"/>
          </w:tcPr>
          <w:p>
            <w:pPr>
              <w:jc w:val="right"/>
              <w:ind w:right="720"/>
              <w:spacing w:after="0" w:line="129" w:lineRule="exact"/>
              <w:rPr>
                <w:sz w:val="20"/>
                <w:szCs w:val="20"/>
                <w:color w:val="auto"/>
              </w:rPr>
            </w:pPr>
            <w:r>
              <w:rPr>
                <w:rFonts w:ascii="Arial" w:cs="Arial" w:eastAsia="Arial" w:hAnsi="Arial"/>
                <w:sz w:val="14"/>
                <w:szCs w:val="14"/>
                <w:b w:val="1"/>
                <w:bCs w:val="1"/>
                <w:color w:val="auto"/>
                <w:w w:val="9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28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Unfunded</w:t>
            </w: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Not</w:t>
            </w:r>
          </w:p>
        </w:tc>
        <w:tc>
          <w:tcPr>
            <w:tcW w:w="16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Next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5-10</w:t>
            </w:r>
          </w:p>
        </w:tc>
        <w:tc>
          <w:tcPr>
            <w:tcW w:w="480" w:type="dxa"/>
            <w:vAlign w:val="bottom"/>
          </w:tcPr>
          <w:p>
            <w:pPr>
              <w:spacing w:after="0"/>
              <w:rPr>
                <w:sz w:val="12"/>
                <w:szCs w:val="12"/>
                <w:color w:val="auto"/>
              </w:rPr>
            </w:pPr>
          </w:p>
        </w:tc>
        <w:tc>
          <w:tcPr>
            <w:tcW w:w="6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Interests in alternative asset management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funds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31,673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Private equity</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115,571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34,047</w:t>
            </w:r>
          </w:p>
        </w:tc>
        <w:tc>
          <w:tcPr>
            <w:tcW w:w="14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100%</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186,935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34,047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restart"/>
          </w:tcPr>
          <w:p>
            <w:pPr>
              <w:jc w:val="right"/>
              <w:ind w:right="568"/>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85"/>
              </w:rPr>
              <w:t>December 31, 2011</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gridSpan w:val="6"/>
          </w:tcPr>
          <w:p>
            <w:pPr>
              <w:jc w:val="right"/>
              <w:ind w:right="700"/>
              <w:spacing w:after="0" w:line="129" w:lineRule="exact"/>
              <w:rPr>
                <w:sz w:val="20"/>
                <w:szCs w:val="20"/>
                <w:color w:val="auto"/>
              </w:rPr>
            </w:pPr>
            <w:r>
              <w:rPr>
                <w:rFonts w:ascii="Arial" w:cs="Arial" w:eastAsia="Arial" w:hAnsi="Arial"/>
                <w:sz w:val="14"/>
                <w:szCs w:val="14"/>
                <w:b w:val="1"/>
                <w:bCs w:val="1"/>
                <w:color w:val="auto"/>
                <w:w w:val="9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5-10</w:t>
            </w:r>
          </w:p>
        </w:tc>
        <w:tc>
          <w:tcPr>
            <w:tcW w:w="480" w:type="dxa"/>
            <w:vAlign w:val="bottom"/>
          </w:tcPr>
          <w:p>
            <w:pPr>
              <w:spacing w:after="0"/>
              <w:rPr>
                <w:sz w:val="12"/>
                <w:szCs w:val="12"/>
                <w:color w:val="auto"/>
              </w:rPr>
            </w:pPr>
          </w:p>
        </w:tc>
        <w:tc>
          <w:tcPr>
            <w:tcW w:w="6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185,707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of investments with values based on NAV.</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September 30, 2012, the current maximum unfunded commitments by the Company for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to investment funds related to (i) CP II, amounting to $2,124 for potential “follow-on investments” and/or for fund expenses through the earlier of February 25, 2017 or the liquidation of the fund, (ii) EGCP III, amounting to $23,776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 as of that date remaining committed until October 12, 2023 in respect of “follow-on investments” and/or fund expenses) or the liquidation of the fund and (iii) COF 2, amounting to $8,147,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expected to be delivered upon settlement of Lazard Fund Interests awards, which is reported in “revenue-other” in the consolidated statements of operations.</w:t>
      </w:r>
    </w:p>
    <w:p>
      <w:pPr>
        <w:spacing w:after="0" w:line="19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tables below represent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reported within “accrued compensation and benefits” (see Note 13 of Notes to Condensed Consolidated Financial Statements) on the accompanying condensed consolidated statements of financial condition as of September 30, 2012 and December 31,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5,089</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shd w:val="clear" w:color="auto" w:fill="CCEEFF"/>
          </w:tcPr>
          <w:p>
            <w:pPr>
              <w:spacing w:after="0"/>
              <w:rPr>
                <w:sz w:val="18"/>
                <w:szCs w:val="18"/>
                <w:color w:val="auto"/>
              </w:rPr>
            </w:pP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101,238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30,572</w:t>
            </w:r>
          </w:p>
        </w:tc>
        <w:tc>
          <w:tcPr>
            <w:tcW w:w="10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included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and nine month periods ended September 30, 2012 and 2011, by type of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(14,815)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22,419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(18,541)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$ 10,703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management team retained a substantial economic interest in such entities. Edgewater’s activities are recorded in the Company’s Asset Management segment.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Lazard Group’s prior year business acquisitions, Lazard Group recorded related party payables of $3,695 at both September 30, 2012 and December 31, 2011 to subsidiaries of Lazard Ltd (see Note 16 of Notes to the Condensed Consolidated Financial Statements). Such amount will become members’ equity as the related shares of Class A common stock are issued. In the nine month period ended September 30, 2011, $56,210 of related party payables became members’ equity as a result of the issuance of 3,682,116 shares of Class A common stock (including 1,247,555 shares delivered from Class A common stock held by Lazard Group).</w:t>
      </w:r>
    </w:p>
    <w:p>
      <w:pPr>
        <w:spacing w:after="0" w:line="26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2012 and December 31, 2011 property-net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Estimated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9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Life in Years</w:t>
            </w:r>
          </w:p>
        </w:tc>
        <w:tc>
          <w:tcPr>
            <w:tcW w:w="1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163,234</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tcPr>
          <w:p>
            <w:pPr>
              <w:jc w:val="right"/>
              <w:spacing w:after="0"/>
              <w:rPr>
                <w:sz w:val="20"/>
                <w:szCs w:val="20"/>
                <w:color w:val="auto"/>
              </w:rPr>
            </w:pPr>
            <w:r>
              <w:rPr>
                <w:rFonts w:ascii="Arial" w:cs="Arial" w:eastAsia="Arial" w:hAnsi="Arial"/>
                <w:sz w:val="18"/>
                <w:szCs w:val="18"/>
                <w:color w:val="auto"/>
              </w:rPr>
              <w:t>2 - 20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182,070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159,191</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118,020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85,396</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25,828</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489,152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435,102</w:t>
            </w:r>
          </w:p>
        </w:tc>
        <w:tc>
          <w:tcPr>
            <w:tcW w:w="100" w:type="dxa"/>
            <w:vAlign w:val="bottom"/>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272,740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266,673</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216,412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168,429</w:t>
            </w:r>
          </w:p>
        </w:tc>
        <w:tc>
          <w:tcPr>
            <w:tcW w:w="100" w:type="dxa"/>
            <w:vAlign w:val="bottom"/>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2012 and December 31, 2011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60" w:type="dxa"/>
            <w:vAlign w:val="bottom"/>
            <w:gridSpan w:val="3"/>
          </w:tcPr>
          <w:p>
            <w:pPr>
              <w:ind w:left="1440"/>
              <w:spacing w:after="0"/>
              <w:rPr>
                <w:sz w:val="20"/>
                <w:szCs w:val="20"/>
                <w:color w:val="auto"/>
              </w:rPr>
            </w:pPr>
            <w:r>
              <w:rPr>
                <w:rFonts w:ascii="Arial" w:cs="Arial" w:eastAsia="Arial" w:hAnsi="Arial"/>
                <w:sz w:val="14"/>
                <w:szCs w:val="14"/>
                <w:b w:val="1"/>
                <w:bCs w:val="1"/>
                <w:color w:val="auto"/>
                <w:w w:val="83"/>
              </w:rPr>
              <w:t>September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364,761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356,657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30,681</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395,442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September 30, 2012 and December 31, 2011, goodwill of $300,220 and $292,116, respectively, was attributable to the Company’s Financial Advisory segment and, at such respective dates, $64,541 of goodwill was attributable to the Company’s Asset Management segment.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2012, and 2011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Business acquisitions, including, in the 2011 period, $39,654 of additional contingent consideration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earned relating to prior year business acquisitions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364,761</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2012 and December 31,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September 30, 2012</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$20,858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23,212</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9,823</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63,775</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30,681</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2012 was $2,494 and $6,172, respectively, and for the three month and nine month periods ended September 30, 2011 was $1,716 and $4,896, respectively. Estimated future amortization expense is as follows: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49"/>
        </w:trPr>
        <w:tc>
          <w:tcPr>
            <w:tcW w:w="8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3"/>
              </w:rPr>
              <w:t>Expense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2012 (October 1 through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214630</wp:posOffset>
            </wp:positionV>
            <wp:extent cx="720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50" w:lineRule="exact"/>
        <w:rPr>
          <w:sz w:val="20"/>
          <w:szCs w:val="20"/>
          <w:color w:val="auto"/>
        </w:rPr>
      </w:pPr>
    </w:p>
    <w:p>
      <w:pPr>
        <w:ind w:left="5620" w:right="3260" w:hanging="4707"/>
        <w:spacing w:after="0" w:line="440" w:lineRule="auto"/>
        <w:tabs>
          <w:tab w:leader="none" w:pos="14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 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September 30, 2012 and December 31, 2011: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4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5"/>
                <w:szCs w:val="5"/>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34"/>
        </w:trPr>
        <w:tc>
          <w:tcPr>
            <w:tcW w:w="4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Maturity</w:t>
            </w:r>
          </w:p>
        </w:tc>
        <w:tc>
          <w:tcPr>
            <w:tcW w:w="11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6"/>
              </w:rPr>
              <w:t>Interest</w:t>
            </w:r>
          </w:p>
        </w:tc>
        <w:tc>
          <w:tcPr>
            <w:tcW w:w="8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Amount</w:t>
            </w:r>
          </w:p>
        </w:tc>
        <w:tc>
          <w:tcPr>
            <w:tcW w:w="8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Date</w:t>
            </w:r>
          </w:p>
        </w:tc>
        <w:tc>
          <w:tcPr>
            <w:tcW w:w="11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Lazard Group 7.125% Senior Notes</w:t>
            </w:r>
          </w:p>
        </w:tc>
        <w:tc>
          <w:tcPr>
            <w:tcW w:w="18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3"/>
              </w:rPr>
              <w:t>5/15/15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w w:val="94"/>
              </w:rPr>
              <w:t>7.125%</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528,500</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4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1,076,850</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September 30, 2012, the annual interest rate for a loan accruing interest (based on the Federal Funds overnight rate), including the applicable margin, was 0.90%. At September 30, 2012 and December 31, 2011, no amounts were outstanding under the Credit Facility or the prior revolving credit facility, respectively.</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as well as the indenture and the supplemental indentures relating to Lazard Group’s senior notes, contain certain covenants, events of default and other customary provisions, including, where applicable, a customary make-whole provision in the event of early redemption. As of September 30, 2012, the Company was in compliance with all of these provisions. All of the Company’s senior debt obligations are unsecured.</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September 30, 2012, the Company had approximately $301,000 in unused lines of credit available to it, including the Credit Facility, and unused lines of credit available to LFB of approximately $91,000 (at September 30, 2012, exchange rates) and Edgewater of $55,000. In addition, LFB has access to the Eurosystem Covered Bond Purchase Program of the Banque de France.</w:t>
      </w:r>
    </w:p>
    <w:p>
      <w:pPr>
        <w:spacing w:after="0" w:line="14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Company’s senior debt at September 30, 2012 and December 31, 2011 is recorded at historical amounts. At those dates, the fair value of such senior debt outstanding was approximately $1,208,000 and $1,138,000, respectively, and exceeded the aggregate carrying value by approximately $131,000 and $61,000, respectively. The fair value of the Company’s senior debt was estimated using a discounted cash flow analysis based on the Company’s current borrowing rates for similar types of borrowing arrangements or based on market quotations, where available. The Company’s senior debt would be categorized within Level 2 of the hierarchy of fair value measurements if carried at fair value at both September 30, 2012 and December 31, 2011.</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color w:val="auto"/>
        </w:rPr>
        <w:t>—On July 22, 2011, the Company repurchased its then outstanding $150,000 subordinated promissory note, at a cost, excluding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of $131,829. Such repurchase resulted in a pre-tax gain of $18,171, which was recognized by the Company in the third quarter of 2011 and included in “revenue-other” on the accompanying condensed consolidated statement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2012, LFB had approximately $5,000 of such indemnifications and held approximately $4,000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September 30, 2012 aggregated approximately $22,000.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Notes 5, 7 and 14 of Notes to Condensed Consolidated Financial Statements for information regarding commitments relating to investment capital funding commitments, business acquisitions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September 30, 2012, LFB had no such underwriting commitments.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Issuance of Class A Common Shares</w:t>
      </w:r>
      <w:r>
        <w:rPr>
          <w:rFonts w:ascii="Arial" w:cs="Arial" w:eastAsia="Arial" w:hAnsi="Arial"/>
          <w:sz w:val="16"/>
          <w:szCs w:val="16"/>
          <w:color w:val="auto"/>
        </w:rPr>
        <w:t>—During the third quarter of 2011, Lazard Ltd issued an aggregate of 3,682,116 Class A common shares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1,247,555 shares delivered from Class A common stock held by Lazard Group) in connection with certain prior year business acquisitions.</w:t>
      </w:r>
    </w:p>
    <w:p>
      <w:pPr>
        <w:spacing w:after="0" w:line="8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Lazard Group Distributions</w:t>
      </w:r>
      <w:r>
        <w:rPr>
          <w:rFonts w:ascii="Arial" w:cs="Arial" w:eastAsia="Arial" w:hAnsi="Arial"/>
          <w:sz w:val="15"/>
          <w:szCs w:val="15"/>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nine month periods ended September 30, 2012 and 2011, Lazard Group distributed the following amounts to subsidiaries of Lazard Ltd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LAZ-MD Holdings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0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Subsidiaries of Lazard Ltd</w:t>
            </w:r>
          </w:p>
        </w:tc>
        <w:tc>
          <w:tcPr>
            <w:tcW w:w="3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$66,219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$51,409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37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69,948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54,689</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32"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 During the nine month periods ended September 30, 2012 and 2011, Lazard Ltd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191,701 and 738,655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and April 2012, the Board of Directors of Lazard Ltd authorized, on a cumulative basis,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repurchase of up to $250,000, $125,000 and $125,000, respectively, in aggregate cost of Class A common stock and Lazard Group common membership interests through December 31, 2012, December 31, 2013 and December 31, 2013,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nine month period ended September 30, 2012, Lazard Group and subsidiaries of Lazard Ltd purchased 8,235,306 shares of Class A common stock, at an aggregate cost of $222,679 (no Lazard Group common membership interests were purchased during such nine month period).</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September 30, 2012, $114,463 of the current aggregate share repurchase amount authorized as of such date remained available under the share repurchase program, all of which expires on December 31, 2013. In addition, under the terms of the 2005 Plan and the 2008 Plan, upon the vesting of restricted stock units (“RSUs”), shares of Class A common stock may be withheld by the Company to cover the recipient’s estimated income tax liability (see Note 13 of Notes to Condensed Consolidated Financial Statements).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nine month period ended September 30, 2012, the Company had written trading plans under Rule 10b5-1 of the Securities Exchange Act of 1934 in place, pursuant to which it effected stock repurchases through the open market.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October 2012, the Board of Directors of Lazard Ltd authorized the repurchase of up to an additional $200,000 in aggregate cost of Class A common stock and Lazard Group common membership interests through December 31, 2014. During the period October 1 through October 24, 2012, Lazard Group purchased 3,374,308 shares of Class A common stock, at an aggregate cost of $97,858 (including shares of Class A common stock received from members of LAZ-MD Holdings in exchange for a like number of LAZ-MD Holdings exchangeable interests). No Lazard Group common membership interests were purchased during such period. After giving effect to these purchases, and the additional share repurchase authorization described above, $216,605 of the current aggregate share repurchase amount authorized remained available under the share repurchase program as of October 24, 2012, $16,605 of which expires on December 31, 2013 and $200,000 of which expires on December 31, 2014.</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components of AOCI at September 30, 2012 and December 31, 2011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Interest rate hedge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(2,766)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(98,140)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(92,637)</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(69,331)</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(79,236)</w:t>
            </w:r>
          </w:p>
        </w:tc>
        <w:tc>
          <w:tcPr>
            <w:tcW w:w="0" w:type="dxa"/>
            <w:vAlign w:val="bottom"/>
          </w:tcPr>
          <w:p>
            <w:pPr>
              <w:spacing w:after="0"/>
              <w:rPr>
                <w:sz w:val="1"/>
                <w:szCs w:val="1"/>
                <w:color w:val="auto"/>
              </w:rPr>
            </w:pPr>
          </w:p>
        </w:tc>
      </w:tr>
      <w:tr>
        <w:trPr>
          <w:trHeight w:val="218"/>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tcPr>
          <w:p>
            <w:pPr>
              <w:spacing w:after="0"/>
              <w:rPr>
                <w:sz w:val="20"/>
                <w:szCs w:val="20"/>
                <w:color w:val="auto"/>
              </w:rPr>
            </w:pPr>
            <w:r>
              <w:rPr>
                <w:rFonts w:ascii="Arial" w:cs="Arial" w:eastAsia="Arial" w:hAnsi="Arial"/>
                <w:sz w:val="18"/>
                <w:szCs w:val="18"/>
                <w:color w:val="auto"/>
              </w:rPr>
              <w:t>Total Lazard Group AOCI</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(69,416)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ind w:right="340" w:firstLine="456"/>
        <w:spacing w:after="0" w:line="255" w:lineRule="auto"/>
        <w:rPr>
          <w:sz w:val="20"/>
          <w:szCs w:val="20"/>
          <w:color w:val="auto"/>
        </w:rPr>
      </w:pPr>
      <w:r>
        <w:rPr>
          <w:rFonts w:ascii="Arial" w:cs="Arial" w:eastAsia="Arial" w:hAnsi="Arial"/>
          <w:sz w:val="18"/>
          <w:szCs w:val="18"/>
          <w:color w:val="auto"/>
        </w:rPr>
        <w:t>The tables below summarize net income (loss) attributable to noncontrolling interests for the three month and nine month periods ended September 30, 2012 and 2011 and noncontrolling interests as of September 30, 2012 and December 31, 2011 as reflected in the Company’s accompanying condensed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8"/>
              </w:rPr>
              <w:t>Net Income (Loss) Attributable To</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640"/>
              <w:spacing w:after="0"/>
              <w:rPr>
                <w:sz w:val="20"/>
                <w:szCs w:val="20"/>
                <w:color w:val="auto"/>
              </w:rPr>
            </w:pPr>
            <w:r>
              <w:rPr>
                <w:rFonts w:ascii="Arial" w:cs="Arial" w:eastAsia="Arial" w:hAnsi="Arial"/>
                <w:sz w:val="14"/>
                <w:szCs w:val="14"/>
                <w:b w:val="1"/>
                <w:bCs w:val="1"/>
                <w:color w:val="auto"/>
                <w:w w:val="86"/>
              </w:rPr>
              <w:t>Noncontrolling Interests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900" w:type="dxa"/>
            <w:vAlign w:val="bottom"/>
            <w:gridSpan w:val="6"/>
          </w:tcPr>
          <w:p>
            <w:pPr>
              <w:jc w:val="right"/>
              <w:ind w:right="460"/>
              <w:spacing w:after="0" w:line="129"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1"/>
                <w:szCs w:val="11"/>
                <w:color w:val="auto"/>
              </w:rPr>
            </w:pPr>
          </w:p>
        </w:tc>
        <w:tc>
          <w:tcPr>
            <w:tcW w:w="1600" w:type="dxa"/>
            <w:vAlign w:val="bottom"/>
            <w:gridSpan w:val="3"/>
          </w:tcPr>
          <w:p>
            <w:pPr>
              <w:jc w:val="right"/>
              <w:ind w:right="137"/>
              <w:spacing w:after="0" w:line="12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$(1,704)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$ 2,168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4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93</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$ 2,261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$ 7,017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380" w:type="dxa"/>
            <w:vAlign w:val="bottom"/>
            <w:vMerge w:val="restart"/>
          </w:tcPr>
          <w:p>
            <w:pPr>
              <w:jc w:val="right"/>
              <w:ind w:right="1692"/>
              <w:spacing w:after="0"/>
              <w:rPr>
                <w:sz w:val="20"/>
                <w:szCs w:val="20"/>
                <w:color w:val="auto"/>
              </w:rPr>
            </w:pPr>
            <w:r>
              <w:rPr>
                <w:rFonts w:ascii="Arial" w:cs="Arial" w:eastAsia="Arial" w:hAnsi="Arial"/>
                <w:sz w:val="18"/>
                <w:szCs w:val="18"/>
                <w:color w:val="auto"/>
              </w:rPr>
              <w:t>25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Noncontrolling Interests</w:t>
            </w: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42"/>
              <w:spacing w:after="0"/>
              <w:rPr>
                <w:sz w:val="20"/>
                <w:szCs w:val="20"/>
                <w:color w:val="auto"/>
              </w:rPr>
            </w:pPr>
            <w:r>
              <w:rPr>
                <w:rFonts w:ascii="Arial" w:cs="Arial" w:eastAsia="Arial" w:hAnsi="Arial"/>
                <w:sz w:val="14"/>
                <w:szCs w:val="14"/>
                <w:b w:val="1"/>
                <w:bCs w:val="1"/>
                <w:color w:val="auto"/>
                <w:w w:val="90"/>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September 30,</w:t>
            </w:r>
          </w:p>
        </w:tc>
        <w:tc>
          <w:tcPr>
            <w:tcW w:w="7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8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83,610</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nine month periods ended September 30,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restricted stock units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on the day prior to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following is a summary of the impact of share-based incentive plans on “compensation and benefits” expense (with respect to RSUs and restricted stock awards) and “professional services” expense (with respect to deferred stock unit awards (“DSUs”)) within the Company’s accompanying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0"/>
              </w:rPr>
              <w:t>Three Months Ended</w:t>
            </w: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5"/>
              </w:rPr>
              <w:t>September 30,</w:t>
            </w: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11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70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3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RSUs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$65,952</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$58,489</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$211,271</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$200,899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374</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DSUs</w:t>
            </w:r>
          </w:p>
        </w:tc>
        <w:tc>
          <w:tcPr>
            <w:tcW w:w="3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683</w:t>
            </w: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67,650</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58,898</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219,492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210,869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80" w:type="dxa"/>
            <w:vAlign w:val="bottom"/>
            <w:vMerge w:val="restart"/>
          </w:tcPr>
          <w:p>
            <w:pPr>
              <w:jc w:val="right"/>
              <w:ind w:right="1272"/>
              <w:spacing w:after="0"/>
              <w:rPr>
                <w:sz w:val="20"/>
                <w:szCs w:val="20"/>
                <w:color w:val="auto"/>
              </w:rPr>
            </w:pPr>
            <w:r>
              <w:rPr>
                <w:rFonts w:ascii="Arial" w:cs="Arial" w:eastAsia="Arial" w:hAnsi="Arial"/>
                <w:sz w:val="18"/>
                <w:szCs w:val="18"/>
                <w:color w:val="auto"/>
              </w:rPr>
              <w:t>26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nine month periods ended September 30, 2012 and 2011, dividend participation rights required the issuance of 479,958 and 251,146 RSUs, respectively.</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receive approximately 55% of their annual compensation for service on the Board of Directors and its committees in the form of DSUs, which resulted in 49,982 and 26,859 DSUs granted during the nine month periods ended September 30, 2012 and 2011,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nine month periods ended September 30, 2012 and 2011.</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will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nine month periods ended September 30, 2012 and 2011, 7,988 and 5,371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2012 and 2011:</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20,751,829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479,958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8,121,632</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27.56</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57,970</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(401,065)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(4,425,534)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34.43</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24,046,862</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198,630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8"/>
                <w:szCs w:val="18"/>
                <w:color w:val="auto"/>
              </w:rPr>
            </w:pPr>
          </w:p>
        </w:tc>
      </w:tr>
      <w:tr>
        <w:trPr>
          <w:trHeight w:val="20"/>
        </w:trPr>
        <w:tc>
          <w:tcPr>
            <w:tcW w:w="62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620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22,108,635</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35.67</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251,146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6,764,420</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(287,975)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37.73</w:t>
            </w:r>
          </w:p>
        </w:tc>
        <w:tc>
          <w:tcPr>
            <w:tcW w:w="38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(7,848,744)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Balance, September 30, 2011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20,736,336</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36.99</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137,847</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RSUs which vested during the nine month periods ended September 30, 2012 and 2011, the Company satisfied certain employees’ tax obligations in lieu of issuing 1,331,812 and 2,302,798 shares of Class A common stock in the respective periods. Accordingly, 3,093,722 and 5,545,946 shares of Class A common stock held by the Company were delivered during the respective periods. In addition, during the nine month period ended September 30, 2012, 42,432 shares of previously delivered Class A common stock were forfeited by certain former employees and returned to the Company.</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2012, unrecognized RSU compensation expense, adjusted for estimated forfeitures, was approximately $257,000, with such unrecognized compensation expense expected to be recognized over a weighted average period of approximately 1.2 years subsequent to September 30,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2012 and 2011: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577,323</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(21,178)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(186,180)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465,297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80" w:type="dxa"/>
            <w:vAlign w:val="bottom"/>
            <w:shd w:val="clear" w:color="auto" w:fill="CCEEFF"/>
          </w:tcPr>
          <w:p>
            <w:pPr>
              <w:spacing w:after="0"/>
              <w:rPr>
                <w:sz w:val="18"/>
                <w:szCs w:val="18"/>
                <w:color w:val="auto"/>
              </w:rPr>
            </w:pPr>
          </w:p>
        </w:tc>
      </w:tr>
      <w:tr>
        <w:trPr>
          <w:trHeight w:val="20"/>
        </w:trPr>
        <w:tc>
          <w:tcPr>
            <w:tcW w:w="706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6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70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shares of restricted Class A common stock that vested during the nine month periods ended September 30, 2012 and 2011, the Company satisfied certain employees’ tax obligations in lieu of delivering 28,129 and 68,866 shares of Class A common stock during the respective periods. Accordingly, 158,051 and 258,372 shares of Class A common stock held by the Company were delivered during the respective nine month periods.</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September 30, 2012, unrecognized restricted stock expense was approximately $8,000, with such expense to be recognized over a weighted average period of approximately 1.8 years subsequent to September 30, 2012.</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 Such changes in the fair value of the derivative liability are recorded to “compensation and benefits” expense within the Company’s consolidated statements of operations, the impact of which equally offsets the changes in fair value of investments which are currently expected to be delivered upon settlement of Lazard Fund Interests awards, which is reported in “revenue-other” in the consolidated statement of operations (see Note 6 of Notes to Condensed Consolidated Financial Statements).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nine month period ended September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7"/>
              </w:rPr>
              <w:t>Prepaid</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Compensation</w:t>
            </w:r>
          </w:p>
        </w:tc>
      </w:tr>
      <w:tr>
        <w:trPr>
          <w:trHeight w:val="161"/>
        </w:trPr>
        <w:tc>
          <w:tcPr>
            <w:tcW w:w="790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64,658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64,658</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(8,640)</w:t>
            </w: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380" w:type="dxa"/>
            <w:vAlign w:val="bottom"/>
            <w:gridSpan w:val="3"/>
          </w:tcPr>
          <w:p>
            <w:pPr>
              <w:jc w:val="right"/>
              <w:ind w:right="620"/>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(1,706)</w:t>
            </w: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(24,508)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Increase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underlying investments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September 30,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56,426</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91,053</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1.8 years subsequent to September 30, 2012.</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following is a summary of the impact of Lazard Fund Interests and other similar deferred compensation arrangements on “compensation and benefits” expense within the accompanying condensed consolidated statements of operations for the three and nine month periods ended September 30, 2012 and 2011: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9"/>
              </w:rPr>
              <w:t>Three Months Ended</w:t>
            </w:r>
          </w:p>
        </w:tc>
        <w:tc>
          <w:tcPr>
            <w:tcW w:w="1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September 30,</w:t>
            </w:r>
          </w:p>
        </w:tc>
        <w:tc>
          <w:tcPr>
            <w:tcW w:w="18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after impact of forfeitures</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$ 2,480</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$26,611</w:t>
            </w:r>
          </w:p>
        </w:tc>
        <w:tc>
          <w:tcPr>
            <w:tcW w:w="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$ 7,534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Change in fair value of underlying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4,728</w:t>
            </w:r>
          </w:p>
        </w:tc>
        <w:tc>
          <w:tcPr>
            <w:tcW w:w="6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(3,961)</w:t>
            </w:r>
          </w:p>
        </w:tc>
        <w:tc>
          <w:tcPr>
            <w:tcW w:w="580" w:type="dxa"/>
            <w:vAlign w:val="bottom"/>
          </w:tcPr>
          <w:p>
            <w:pPr>
              <w:jc w:val="right"/>
              <w:spacing w:after="0"/>
              <w:rPr>
                <w:sz w:val="20"/>
                <w:szCs w:val="20"/>
                <w:color w:val="auto"/>
              </w:rPr>
            </w:pPr>
            <w:r>
              <w:rPr>
                <w:rFonts w:ascii="Arial" w:cs="Arial" w:eastAsia="Arial" w:hAnsi="Arial"/>
                <w:sz w:val="18"/>
                <w:szCs w:val="18"/>
                <w:color w:val="auto"/>
              </w:rPr>
              <w:t>4,639</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14,354</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(1,481)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31,250</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made a contribution to the U.S. pension plans during the nine month period ended September 30, 2012 of approximately $700.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will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at September 30, 2012 of approximately $16,500 has been recorded in “cash deposited with clearing organizations and other segregated cash” on the accompanying condensed consolidated statement of financial condition. Income on the escrow balance accretes to the Company and is recorded in interest income.</w:t>
      </w:r>
    </w:p>
    <w:p>
      <w:pPr>
        <w:spacing w:after="0" w:line="12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nine month period ended September 30, 2012, the Company contributed 1 million British pounds ($1,577 at September 30, 2012 exchange rates) to these U.K. pension plans, and no contributions were made to other non-U.S. pension plans.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net periodic benefit cost for the three month and nine month periods ended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Medical Plans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8"/>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2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6,862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(6,637)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(7,763)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20"/>
              <w:spacing w:after="0"/>
              <w:rPr>
                <w:sz w:val="20"/>
                <w:szCs w:val="20"/>
                <w:color w:val="auto"/>
              </w:rPr>
            </w:pPr>
            <w:r>
              <w:rPr>
                <w:rFonts w:ascii="Arial" w:cs="Arial" w:eastAsia="Arial" w:hAnsi="Arial"/>
                <w:sz w:val="18"/>
                <w:szCs w:val="18"/>
                <w:color w:val="auto"/>
              </w:rPr>
              <w:t>Net periodic benefit cost</w:t>
            </w:r>
          </w:p>
        </w:tc>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1,471</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980" w:type="dxa"/>
            <w:vAlign w:val="bottom"/>
            <w:vMerge w:val="restart"/>
          </w:tcPr>
          <w:p>
            <w:pPr>
              <w:jc w:val="right"/>
              <w:ind w:right="1472"/>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Post-Retirement</w:t>
            </w: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7"/>
          </w:tcPr>
          <w:p>
            <w:pPr>
              <w:ind w:left="180"/>
              <w:spacing w:after="0" w:line="142" w:lineRule="exact"/>
              <w:rPr>
                <w:sz w:val="20"/>
                <w:szCs w:val="20"/>
                <w:color w:val="auto"/>
              </w:rPr>
            </w:pPr>
            <w:r>
              <w:rPr>
                <w:rFonts w:ascii="Arial" w:cs="Arial" w:eastAsia="Arial" w:hAnsi="Arial"/>
                <w:sz w:val="14"/>
                <w:szCs w:val="14"/>
                <w:b w:val="1"/>
                <w:bCs w:val="1"/>
                <w:color w:val="auto"/>
                <w:w w:val="98"/>
              </w:rPr>
              <w:t>Nine Months Ended September 30,</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5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20,649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21,401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Expected return on plan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(19,931)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(23,029)</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Prior service cost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2,258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Settlement loss (a)</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9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right="140" w:firstLine="464"/>
        <w:spacing w:after="0" w:line="298" w:lineRule="auto"/>
        <w:tabs>
          <w:tab w:leader="none" w:pos="695" w:val="left"/>
        </w:tabs>
        <w:numPr>
          <w:ilvl w:val="1"/>
          <w:numId w:val="24"/>
        </w:numPr>
        <w:rPr>
          <w:rFonts w:ascii="Arial" w:cs="Arial" w:eastAsia="Arial" w:hAnsi="Arial"/>
          <w:sz w:val="16"/>
          <w:szCs w:val="16"/>
          <w:color w:val="auto"/>
        </w:rPr>
      </w:pPr>
      <w:r>
        <w:rPr>
          <w:rFonts w:ascii="Arial" w:cs="Arial" w:eastAsia="Arial" w:hAnsi="Arial"/>
          <w:sz w:val="16"/>
          <w:szCs w:val="16"/>
          <w:color w:val="auto"/>
        </w:rPr>
        <w:t>During the nine month period ended September 30,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$1,935 recorded in “other comprehensive income (loss), net of tax” (“OCI”), which, after recording a settlement loss of $886 recognized in “compensation and benefits” expense, resulted in a net charge to OCI of $1,049.</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w:t>
      </w:r>
    </w:p>
    <w:p>
      <w:pPr>
        <w:spacing w:after="0" w:line="38"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company that is treated as a partnership for U.S. federal income tax purposes. As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5"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Company recorded income tax provisions of $10,769 and $26,138 for the three month and nine month periods ended September 30, 2012, respectively, and $12,880 and $36,986 for the three month and nine month periods ended September 30, 2011, respectively, representing effective tax rates of 22.7%, 20.8%, 14.2% and 14.5%, respectively. The difference between the U.S. federal statutory rate of 35.0% and the effective tax rates described above principally relates to</w:t>
      </w:r>
    </w:p>
    <w:p>
      <w:pPr>
        <w:spacing w:after="0" w:line="1" w:lineRule="exact"/>
        <w:rPr>
          <w:sz w:val="20"/>
          <w:szCs w:val="20"/>
          <w:color w:val="auto"/>
        </w:rPr>
      </w:pPr>
    </w:p>
    <w:p>
      <w:pPr>
        <w:ind w:right="240" w:firstLine="8"/>
        <w:spacing w:after="0" w:line="261"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Lazard Group primarily operating as a limited liability company in the U.S. and (ii) U.S. state and local taxes (primarily UBT), which are incremental to the U.S. federal statutory tax rate.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9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Lazard Ltd subsidiaries</w:t>
            </w:r>
          </w:p>
        </w:tc>
        <w:tc>
          <w:tcPr>
            <w:tcW w:w="880" w:type="dxa"/>
            <w:vAlign w:val="bottom"/>
          </w:tcPr>
          <w:p>
            <w:pPr>
              <w:jc w:val="right"/>
              <w:spacing w:after="0"/>
              <w:rPr>
                <w:sz w:val="20"/>
                <w:szCs w:val="20"/>
                <w:color w:val="auto"/>
              </w:rPr>
            </w:pPr>
            <w:r>
              <w:rPr>
                <w:rFonts w:ascii="Arial" w:cs="Arial" w:eastAsia="Arial" w:hAnsi="Arial"/>
                <w:sz w:val="18"/>
                <w:szCs w:val="18"/>
                <w:color w:val="auto"/>
              </w:rPr>
              <w:t>$199,668</w:t>
            </w: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186,239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LFCM Holdings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23"/>
        </w:trPr>
        <w:tc>
          <w:tcPr>
            <w:tcW w:w="9120" w:type="dxa"/>
            <w:vAlign w:val="bottom"/>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$210,570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204,740</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Lazard Ltd subsidiaries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$216,058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126,875</w:t>
            </w:r>
          </w:p>
        </w:tc>
        <w:tc>
          <w:tcPr>
            <w:tcW w:w="0" w:type="dxa"/>
            <w:vAlign w:val="bottom"/>
          </w:tcPr>
          <w:p>
            <w:pPr>
              <w:spacing w:after="0"/>
              <w:rPr>
                <w:sz w:val="1"/>
                <w:szCs w:val="1"/>
                <w:color w:val="auto"/>
              </w:rPr>
            </w:pPr>
          </w:p>
        </w:tc>
      </w:tr>
      <w:tr>
        <w:trPr>
          <w:trHeight w:val="216"/>
        </w:trPr>
        <w:tc>
          <w:tcPr>
            <w:tcW w:w="9120" w:type="dxa"/>
            <w:vAlign w:val="bottom"/>
          </w:tcPr>
          <w:p>
            <w:pPr>
              <w:ind w:left="220"/>
              <w:spacing w:after="0"/>
              <w:rPr>
                <w:sz w:val="20"/>
                <w:szCs w:val="20"/>
                <w:color w:val="auto"/>
              </w:rPr>
            </w:pPr>
            <w:r>
              <w:rPr>
                <w:rFonts w:ascii="Arial" w:cs="Arial" w:eastAsia="Arial" w:hAnsi="Arial"/>
                <w:sz w:val="18"/>
                <w:szCs w:val="18"/>
                <w:color w:val="auto"/>
              </w:rPr>
              <w:t>LFCM Holdings</w:t>
            </w:r>
          </w:p>
        </w:tc>
        <w:tc>
          <w:tcPr>
            <w:tcW w:w="880" w:type="dxa"/>
            <w:vAlign w:val="bottom"/>
          </w:tcPr>
          <w:p>
            <w:pPr>
              <w:jc w:val="right"/>
              <w:spacing w:after="0"/>
              <w:rPr>
                <w:sz w:val="20"/>
                <w:szCs w:val="20"/>
                <w:color w:val="auto"/>
              </w:rPr>
            </w:pPr>
            <w:r>
              <w:rPr>
                <w:rFonts w:ascii="Arial" w:cs="Arial" w:eastAsia="Arial" w:hAnsi="Arial"/>
                <w:sz w:val="18"/>
                <w:szCs w:val="18"/>
                <w:color w:val="auto"/>
              </w:rPr>
              <w:t>2,290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$219,095</w:t>
            </w: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130,160</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Group’s receivables from subsidiaries of Lazard Ltd at September 30, 2012 and December 31, 2011 include interest-bearing loans of $196,998 and $186,078, respectively, including accrued interest thereon. Interest income relating to interest-bearing loans with subsidiaries of Lazard Ltd amounted to $2,960 and $8,420 for the three month and nine month periods ended September 30, 2012, respectively, and $1,911 and $5,641 for the three month and nine month periods ended September 30, 2011,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both September 30, 2012 and December 31, 2011, Lazard Group’s payables to subsidiaries of Lazard Ltd includes $3,695 in connection with Lazard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Group’s prior year business acquisitions (see Note 7 of Notes to Condensed Consolidated Financial Statements). In addition, as of September 30, 2012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Lazard Group’s payables to subsidiaries of Lazard Ltd include interest-bearing loans, plus accrued interest thereon,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$212,000 and $123,000, respectively. Such amount at September 30, 2012 includes approximately $86,000 resulting from the sale in the first quarter of 2012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interest-bearing intercompany receivable due from a Lazard Group subsidiary to a Lazard Ltd subsidiary, which was sold at a discount to reflect arm’s-length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resulting in a loss to Lazard Group of $5,638. Interest expense relating to interest-bearing loans with subsidiaries of Lazard Ltd amounted to $2,381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$7,497 for the three month and nine month periods ended September 30, 2012, respectively, and $1,013 and $3,035 for the three month and nine month periods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2011, respectively.</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For the three month and nine month periods ended September 30, 2012, amounts recorded by Lazard Group relating to the administrative services agreement amounted to $666 and $2,181, respectively, and net referral fees for underwriting, private placement, M&amp;A and restructuring transactions under the business alliance agreement amounted to $182 and $4,548, respectively. For the three month and nine month periods ended September 30, 2011, amounts recorded by Lazard Group relating to the administrative services agreement amounted to $596 and $1,788, respectively, and net referral fees for underwriting, private placement, M&amp;A and restructuring transactions under the business alliance agreement amounted to $5,927 and $19,074,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Receivables from LFCM Holdings and its subsidiaries as of September 30, 2012 and December 31, 2011 include $2,363 and $11,862, respectively, related to administrative and support services, and other receivables which include sublease income and reimbursement of expenses incurred on behalf of LFCM Holdings, and $4,674 and $2,928, respectively, related to referral fees for underwriting and private placement transactions. Payables to LFCM Holdings and its subsidiaries at September 30, 2012 and December 31, 2011 consist of $2,290 and $2,060, respectively, principally relating to certain advances and referral fees for Financial Advisory transactions.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Other receivables and payables at September 30, 2012 and December 31, 2011 primarily relate to referral fees for restructuring and M&amp;A transactions with MBA Lazard Holdings S.A. and its affiliates, an Argentina-based group in which the Company has a 50% ownership interest, and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nine month periods ended September 30, 2012, such charges amounted to $188 and $563, respectively. For the three month and nine month periods ended September 30, 2011, such charges amounted to $188 and $563,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September 30, 2012, LFNY’s regulatory net capital was $123,097, which exceeded the minimum requirement by $119,424.</w:t>
      </w:r>
    </w:p>
    <w:p>
      <w:pPr>
        <w:spacing w:after="0" w:line="113"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September 30, 2012, the aggregate regulatory net capital of the U.K. Subsidiaries was $107,795, which exceeded the minimum requirement by $89,602.</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September 30, 2012, the consolidated regulatory net capital of CFLF was $173,924, which exceeded the minimum requirement set for regulatory capital levels by $79,308.</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2012, for those subsidiaries with regulatory capital requirements, their aggregate net capital was $116,764, which exceeded the minimum required capital by an aggregate of $88,166.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2012, each of these subsidiaries individually was in compliance with its regulatory capital requirements.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which we are examining, LFB, as a European credit institution, is required to be supervised on a consolidated basis by another regulatory body, either in the U.S., by the Board of Governors of the Federal Reserve, or the European Union. The Dodd-Frank Act and the rules and regulations that may be adopted thereunder (including regulations that have not yet been proposed) could have other effects on us. We continue to monitor the process as such rules are proposed and adopted.</w:t>
      </w:r>
    </w:p>
    <w:p>
      <w:pPr>
        <w:spacing w:after="0" w:line="24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2012 and 2011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revenue, headcount, square footage and other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6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Financial Advisory</w:t>
            </w:r>
          </w:p>
        </w:tc>
        <w:tc>
          <w:tcPr>
            <w:tcW w:w="2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Net Revenue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219,973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253,585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739,793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731,621</w:t>
            </w:r>
          </w:p>
        </w:tc>
        <w:tc>
          <w:tcPr>
            <w:tcW w:w="0" w:type="dxa"/>
            <w:vAlign w:val="bottom"/>
          </w:tcPr>
          <w:p>
            <w:pPr>
              <w:spacing w:after="0"/>
              <w:rPr>
                <w:sz w:val="1"/>
                <w:szCs w:val="1"/>
                <w:color w:val="auto"/>
              </w:rPr>
            </w:pPr>
          </w:p>
        </w:tc>
      </w:tr>
      <w:tr>
        <w:trPr>
          <w:trHeight w:val="216"/>
        </w:trPr>
        <w:tc>
          <w:tcPr>
            <w:tcW w:w="4640" w:type="dxa"/>
            <w:vAlign w:val="bottom"/>
          </w:tcPr>
          <w:p>
            <w:pPr>
              <w:ind w:left="2260"/>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212,449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213,614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693,546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641,397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90,224</w:t>
            </w:r>
          </w:p>
        </w:tc>
        <w:tc>
          <w:tcPr>
            <w:tcW w:w="0" w:type="dxa"/>
            <w:vAlign w:val="bottom"/>
          </w:tcPr>
          <w:p>
            <w:pPr>
              <w:spacing w:after="0"/>
              <w:rPr>
                <w:sz w:val="1"/>
                <w:szCs w:val="1"/>
                <w:color w:val="auto"/>
              </w:rPr>
            </w:pPr>
          </w:p>
        </w:tc>
      </w:tr>
      <w:tr>
        <w:trPr>
          <w:trHeight w:val="330"/>
        </w:trPr>
        <w:tc>
          <w:tcPr>
            <w:tcW w:w="464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2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Net Revenue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221,516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219,077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690,785</w:t>
            </w:r>
          </w:p>
        </w:tc>
        <w:tc>
          <w:tcPr>
            <w:tcW w:w="0" w:type="dxa"/>
            <w:vAlign w:val="bottom"/>
          </w:tcPr>
          <w:p>
            <w:pPr>
              <w:spacing w:after="0"/>
              <w:rPr>
                <w:sz w:val="1"/>
                <w:szCs w:val="1"/>
                <w:color w:val="auto"/>
              </w:rPr>
            </w:pPr>
          </w:p>
        </w:tc>
      </w:tr>
      <w:tr>
        <w:trPr>
          <w:trHeight w:val="216"/>
        </w:trPr>
        <w:tc>
          <w:tcPr>
            <w:tcW w:w="4640" w:type="dxa"/>
            <w:vAlign w:val="bottom"/>
          </w:tcPr>
          <w:p>
            <w:pPr>
              <w:ind w:left="2260"/>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160,883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156,709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477,989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466,827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223,958</w:t>
            </w:r>
          </w:p>
        </w:tc>
        <w:tc>
          <w:tcPr>
            <w:tcW w:w="0" w:type="dxa"/>
            <w:vAlign w:val="bottom"/>
          </w:tcPr>
          <w:p>
            <w:pPr>
              <w:spacing w:after="0"/>
              <w:rPr>
                <w:sz w:val="1"/>
                <w:szCs w:val="1"/>
                <w:color w:val="auto"/>
              </w:rPr>
            </w:pPr>
          </w:p>
        </w:tc>
      </w:tr>
      <w:tr>
        <w:trPr>
          <w:trHeight w:val="330"/>
        </w:trPr>
        <w:tc>
          <w:tcPr>
            <w:tcW w:w="464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2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Net Revenue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(12,178)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(40,113)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(41,158)</w:t>
            </w:r>
          </w:p>
        </w:tc>
        <w:tc>
          <w:tcPr>
            <w:tcW w:w="0" w:type="dxa"/>
            <w:vAlign w:val="bottom"/>
          </w:tcPr>
          <w:p>
            <w:pPr>
              <w:spacing w:after="0"/>
              <w:rPr>
                <w:sz w:val="1"/>
                <w:szCs w:val="1"/>
                <w:color w:val="auto"/>
              </w:rPr>
            </w:pPr>
          </w:p>
        </w:tc>
      </w:tr>
      <w:tr>
        <w:trPr>
          <w:trHeight w:val="216"/>
        </w:trPr>
        <w:tc>
          <w:tcPr>
            <w:tcW w:w="4640" w:type="dxa"/>
            <w:vAlign w:val="bottom"/>
          </w:tcPr>
          <w:p>
            <w:pPr>
              <w:ind w:left="2260"/>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49,709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Operating Loss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(20,657)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(11,563)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(89,822)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(59,058)</w:t>
            </w:r>
          </w:p>
        </w:tc>
        <w:tc>
          <w:tcPr>
            <w:tcW w:w="0" w:type="dxa"/>
            <w:vAlign w:val="bottom"/>
          </w:tcPr>
          <w:p>
            <w:pPr>
              <w:spacing w:after="0"/>
              <w:rPr>
                <w:sz w:val="1"/>
                <w:szCs w:val="1"/>
                <w:color w:val="auto"/>
              </w:rPr>
            </w:pPr>
          </w:p>
        </w:tc>
      </w:tr>
      <w:tr>
        <w:trPr>
          <w:trHeight w:val="330"/>
        </w:trPr>
        <w:tc>
          <w:tcPr>
            <w:tcW w:w="4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Net Revenue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429,311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465,323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1,346,776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1,381,248</w:t>
            </w:r>
          </w:p>
        </w:tc>
        <w:tc>
          <w:tcPr>
            <w:tcW w:w="0" w:type="dxa"/>
            <w:vAlign w:val="bottom"/>
          </w:tcPr>
          <w:p>
            <w:pPr>
              <w:spacing w:after="0"/>
              <w:rPr>
                <w:sz w:val="1"/>
                <w:szCs w:val="1"/>
                <w:color w:val="auto"/>
              </w:rPr>
            </w:pPr>
          </w:p>
        </w:tc>
      </w:tr>
      <w:tr>
        <w:trPr>
          <w:trHeight w:val="216"/>
        </w:trPr>
        <w:tc>
          <w:tcPr>
            <w:tcW w:w="4640" w:type="dxa"/>
            <w:vAlign w:val="bottom"/>
          </w:tcPr>
          <w:p>
            <w:pPr>
              <w:ind w:left="2260"/>
              <w:spacing w:after="0"/>
              <w:rPr>
                <w:sz w:val="20"/>
                <w:szCs w:val="20"/>
                <w:color w:val="auto"/>
              </w:rPr>
            </w:pPr>
            <w:r>
              <w:rPr>
                <w:rFonts w:ascii="Arial" w:cs="Arial" w:eastAsia="Arial" w:hAnsi="Arial"/>
                <w:sz w:val="18"/>
                <w:szCs w:val="18"/>
                <w:color w:val="auto"/>
              </w:rPr>
              <w:t>Operating Expenses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381,811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374,547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1,221,244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1,126,124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255,124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400" w:type="dxa"/>
            <w:vAlign w:val="bottom"/>
            <w:vMerge w:val="restart"/>
          </w:tcPr>
          <w:p>
            <w:pPr>
              <w:jc w:val="right"/>
              <w:ind w:right="1152"/>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460" w:type="dxa"/>
            <w:vAlign w:val="bottom"/>
            <w:gridSpan w:val="3"/>
          </w:tcPr>
          <w:p>
            <w:pPr>
              <w:ind w:left="6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3000" w:type="dxa"/>
            <w:vAlign w:val="bottom"/>
            <w:gridSpan w:val="2"/>
          </w:tcPr>
          <w:p>
            <w:pPr>
              <w:ind w:left="28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760,366</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767,699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487,635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583,524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1,897,561</w:t>
            </w: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1,686,230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3,145,562</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3,037,453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October 2012, the Company announced a number of cost saving initiatives relating to the Company’s operations. The Company expects associated pre-tax implementation expenses to range between $110,000 and $130,000, primarily consisting of compensation expense. The Company expects to recognize a significant majority of the expense in the fourth quarter of 2012 and the remainder in the first half of 2013. Approximately 75% of the implementation expenses are expected to be paid in cash.</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2011 (the “Form 10-K”). All references to “2012”, “2011”, “third quarter”, “nine months” or “the period” refer to, as the context requires, the three month and nine month periods ended September 30, 2012 and September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Our websites and the information contained therein or connected thereto shall not be deemed to be incorporated into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by our segments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6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8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Asset Management</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47</w:t>
            </w:r>
          </w:p>
        </w:tc>
        <w:tc>
          <w:tcPr>
            <w:tcW w:w="1320" w:type="dxa"/>
            <w:vAlign w:val="bottom"/>
            <w:gridSpan w:val="2"/>
          </w:tcPr>
          <w:p>
            <w:pPr>
              <w:jc w:val="right"/>
              <w:ind w:right="832"/>
              <w:spacing w:after="0"/>
              <w:rPr>
                <w:sz w:val="20"/>
                <w:szCs w:val="20"/>
                <w:color w:val="auto"/>
              </w:rPr>
            </w:pPr>
            <w:r>
              <w:rPr>
                <w:rFonts w:ascii="Arial" w:cs="Arial" w:eastAsia="Arial" w:hAnsi="Arial"/>
                <w:sz w:val="18"/>
                <w:szCs w:val="18"/>
                <w:color w:val="auto"/>
              </w:rPr>
              <w:t>48</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34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vMerge w:val="continue"/>
          </w:tcPr>
          <w:p>
            <w:pPr>
              <w:spacing w:after="0"/>
              <w:rPr>
                <w:sz w:val="19"/>
                <w:szCs w:val="19"/>
                <w:color w:val="auto"/>
              </w:rPr>
            </w:pPr>
          </w:p>
        </w:tc>
        <w:tc>
          <w:tcPr>
            <w:tcW w:w="134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40" w:firstLine="8"/>
        <w:spacing w:after="0" w:line="287" w:lineRule="auto"/>
        <w:tabs>
          <w:tab w:leader="none" w:pos="2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(ii) Lazard Australia Corporate Opportunities Fund 2 (“COF 2”), a Lazard-managed Australian private equity fund targeting Australasian mid-market investments, (iii) a mezzanine fund, which invests in mezzanine debt of a diversified selection of small- to mid-cap European companies, (iv) Corporate Partners II Limited (“CP II”), a private equity fund targeting significant non-controlling investments in established public and private companies and (v) Lazard Senior Housing Partners LP (“Senior Housing”), which acquires companies and assets in the senior housing, extended stay and shopping center sectors.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Overall, global equity market indices at September 30, 2012 increased when compared to such indices at December 31, 2011, including increases in most of the indices during the third quarter of 2012. On an industry-wide basis, during the first nine months of 2012, M&amp;A activity has generally decreased as compared to the corresponding period in 2011. The announced value and number of global M&amp;A transactions decreased in the first nine months of 2012 as compared to the corresponding period in 2011. Restructuring volume declined in the third quarter of 2012, as compared to the corresponding period in 2011, despite an increase in the number of corporate defaults.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Entering the fourth quarter of 2012, interest rates remain low and corporate cash balances remain high. Macroeconomic conditions remain uncertain, however, especially with respect to Europe. The breadth of our businesses has mitigated the impact of the European financial crisis. Although European M&amp;A activity has declined in the third quarter of 2012 and affected our Financial Advisory business, we believe other advisory opportunities, including opportunities for our Restructuring, Debt Advisory, and Sovereign Advisory businesses, have offset the slowdown. In our Asset Management business, most of LAM’s European clients are invested with LAM primarily outside of Europe. Those who are invested in Europe are investing primarily in European fixed income, which has not had a significant impact on our Asset Management business. Nonetheless, the business situation in Europe remains challenging.</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announced a number of cost saving initiatives relating to our operations. See “October 2012 Cost Saving Initiatives” below and Note 19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212" w:lineRule="exact"/>
        <w:rPr>
          <w:sz w:val="20"/>
          <w:szCs w:val="20"/>
          <w:color w:val="auto"/>
        </w:rPr>
      </w:pPr>
    </w:p>
    <w:p>
      <w:pPr>
        <w:ind w:left="900" w:right="20" w:hanging="325"/>
        <w:spacing w:after="0" w:line="289"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Europe, we believe our Restructuring, Debt Advisory, Capital Markets Advisory and Sovereign Advisory businesses have positive growth prospects.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created Lazard Africa to leverage our sovereign and corporate expertise in the rapidly growing region, for our clients in both developed and developing countries.</w:t>
      </w:r>
    </w:p>
    <w:p>
      <w:pPr>
        <w:spacing w:after="0" w:line="158" w:lineRule="exact"/>
        <w:rPr>
          <w:rFonts w:ascii="Arial" w:cs="Arial" w:eastAsia="Arial" w:hAnsi="Arial"/>
          <w:sz w:val="16"/>
          <w:szCs w:val="16"/>
          <w:color w:val="auto"/>
        </w:rPr>
      </w:pPr>
    </w:p>
    <w:p>
      <w:pPr>
        <w:ind w:left="900" w:hanging="325"/>
        <w:spacing w:after="0" w:line="289"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Despite turbulent markets, we have recently seen investor demand across regions and investment platforms. In the short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a new office in Zurich. We are continually developing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332" w:lineRule="auto"/>
        <w:rPr>
          <w:sz w:val="20"/>
          <w:szCs w:val="20"/>
          <w:color w:val="auto"/>
        </w:rPr>
      </w:pPr>
      <w:r>
        <w:rPr>
          <w:rFonts w:ascii="Arial" w:cs="Arial" w:eastAsia="Arial" w:hAnsi="Arial"/>
          <w:sz w:val="16"/>
          <w:szCs w:val="16"/>
          <w:color w:val="auto"/>
        </w:rPr>
        <w:t>seeding new investment strategies that extend our existing platforms. Recent examples of growth initiatives include the following investment strategies: Emerging Market Debt, Core Emerging Markets, Real Estate, Managed Volatility Strategies, Multistrategy products and Global Trend.</w:t>
      </w:r>
    </w:p>
    <w:p>
      <w:pPr>
        <w:spacing w:after="0" w:line="8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 Overall, we continue to focus on the development of our business in this environment, including the generation of stable revenue and earnings growth and stockholder returns during periods of macroeconomic volatility, the prudent management of our costs and expenses, the efficient use of our capital and the return of cash to our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reflected in the following table, which sets forth industry statistics for the third quarter and first nine months of 2012 and 2011 regarding the value and number of global and Trans-Atlantic completed and announced M&amp;A transactions, the value and number of such transactions in the 2012 periods generally decreased compared to the corresponding prior year periods, reflecting transactions with generally lower average values.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8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jc w:val="center"/>
              <w:ind w:left="58"/>
              <w:spacing w:after="0" w:line="12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jc w:val="center"/>
              <w:ind w:left="98"/>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49"/>
        </w:trPr>
        <w:tc>
          <w:tcPr>
            <w:tcW w:w="3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95"/>
              </w:rPr>
              <w:t>Incr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Incr /</w:t>
            </w:r>
          </w:p>
        </w:tc>
      </w:tr>
      <w:tr>
        <w:trPr>
          <w:trHeight w:val="161"/>
        </w:trPr>
        <w:tc>
          <w:tcPr>
            <w:tcW w:w="3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w w:val="83"/>
              </w:rPr>
              <w:t>2012</w:t>
            </w:r>
          </w:p>
        </w:tc>
        <w:tc>
          <w:tcPr>
            <w:tcW w:w="620" w:type="dxa"/>
            <w:vAlign w:val="bottom"/>
          </w:tcPr>
          <w:p>
            <w:pPr>
              <w:spacing w:after="0"/>
              <w:rPr>
                <w:sz w:val="14"/>
                <w:szCs w:val="14"/>
                <w:color w:val="auto"/>
              </w:rPr>
            </w:pPr>
          </w:p>
        </w:tc>
        <w:tc>
          <w:tcPr>
            <w:tcW w:w="840" w:type="dxa"/>
            <w:vAlign w:val="bottom"/>
          </w:tcPr>
          <w:p>
            <w:pPr>
              <w:jc w:val="right"/>
              <w:ind w:right="474"/>
              <w:spacing w:after="0"/>
              <w:rPr>
                <w:sz w:val="20"/>
                <w:szCs w:val="20"/>
                <w:color w:val="auto"/>
              </w:rPr>
            </w:pPr>
            <w:r>
              <w:rPr>
                <w:rFonts w:ascii="Arial" w:cs="Arial" w:eastAsia="Arial" w:hAnsi="Arial"/>
                <w:sz w:val="14"/>
                <w:szCs w:val="14"/>
                <w:b w:val="1"/>
                <w:bCs w:val="1"/>
                <w:color w:val="auto"/>
                <w:w w:val="83"/>
              </w:rPr>
              <w:t>2011</w:t>
            </w:r>
          </w:p>
        </w:tc>
        <w:tc>
          <w:tcPr>
            <w:tcW w:w="1240" w:type="dxa"/>
            <w:vAlign w:val="bottom"/>
            <w:gridSpan w:val="2"/>
          </w:tcPr>
          <w:p>
            <w:pPr>
              <w:jc w:val="center"/>
              <w:ind w:right="532"/>
              <w:spacing w:after="0"/>
              <w:rPr>
                <w:sz w:val="20"/>
                <w:szCs w:val="20"/>
                <w:color w:val="auto"/>
              </w:rPr>
            </w:pPr>
            <w:r>
              <w:rPr>
                <w:rFonts w:ascii="Arial" w:cs="Arial" w:eastAsia="Arial" w:hAnsi="Arial"/>
                <w:sz w:val="14"/>
                <w:szCs w:val="14"/>
                <w:b w:val="1"/>
                <w:bCs w:val="1"/>
                <w:color w:val="auto"/>
                <w:w w:val="88"/>
              </w:rPr>
              <w:t>(Decr)</w:t>
            </w: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Pr>
          <w:p>
            <w:pPr>
              <w:spacing w:after="0"/>
              <w:rPr>
                <w:sz w:val="14"/>
                <w:szCs w:val="14"/>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2011</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(Decr)</w:t>
            </w:r>
          </w:p>
        </w:tc>
      </w:tr>
      <w:tr>
        <w:trPr>
          <w:trHeight w:val="156"/>
        </w:trPr>
        <w:tc>
          <w:tcPr>
            <w:tcW w:w="3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 in billions)</w:t>
            </w:r>
          </w:p>
        </w:tc>
        <w:tc>
          <w:tcPr>
            <w:tcW w:w="5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Global:</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547</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1,850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3800" w:type="dxa"/>
            <w:vAlign w:val="bottom"/>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6,396</w:t>
            </w:r>
          </w:p>
        </w:tc>
        <w:tc>
          <w:tcPr>
            <w:tcW w:w="620" w:type="dxa"/>
            <w:vAlign w:val="bottom"/>
          </w:tcPr>
          <w:p>
            <w:pPr>
              <w:spacing w:after="0"/>
              <w:rPr>
                <w:sz w:val="18"/>
                <w:szCs w:val="18"/>
                <w:color w:val="auto"/>
              </w:rPr>
            </w:pPr>
          </w:p>
        </w:tc>
        <w:tc>
          <w:tcPr>
            <w:tcW w:w="840" w:type="dxa"/>
            <w:vAlign w:val="bottom"/>
          </w:tcPr>
          <w:p>
            <w:pPr>
              <w:jc w:val="right"/>
              <w:ind w:right="354"/>
              <w:spacing w:after="0"/>
              <w:rPr>
                <w:sz w:val="20"/>
                <w:szCs w:val="20"/>
                <w:color w:val="auto"/>
              </w:rPr>
            </w:pPr>
            <w:r>
              <w:rPr>
                <w:rFonts w:ascii="Arial" w:cs="Arial" w:eastAsia="Arial" w:hAnsi="Arial"/>
                <w:sz w:val="18"/>
                <w:szCs w:val="18"/>
                <w:color w:val="auto"/>
                <w:w w:val="84"/>
              </w:rPr>
              <w:t>7,633</w:t>
            </w:r>
          </w:p>
        </w:tc>
        <w:tc>
          <w:tcPr>
            <w:tcW w:w="1240" w:type="dxa"/>
            <w:vAlign w:val="bottom"/>
            <w:gridSpan w:val="2"/>
          </w:tcPr>
          <w:p>
            <w:pPr>
              <w:jc w:val="right"/>
              <w:ind w:right="4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w w:val="83"/>
              </w:rPr>
              <w:t>20,494</w:t>
            </w:r>
          </w:p>
        </w:tc>
        <w:tc>
          <w:tcPr>
            <w:tcW w:w="58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w w:val="83"/>
              </w:rPr>
              <w:t>23,704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53</w:t>
            </w:r>
          </w:p>
        </w:tc>
        <w:tc>
          <w:tcPr>
            <w:tcW w:w="1240" w:type="dxa"/>
            <w:vAlign w:val="bottom"/>
            <w:gridSpan w:val="2"/>
          </w:tcPr>
          <w:p>
            <w:pPr>
              <w:jc w:val="right"/>
              <w:ind w:right="452"/>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352</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839</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554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552</w:t>
            </w:r>
          </w:p>
        </w:tc>
        <w:tc>
          <w:tcPr>
            <w:tcW w:w="1240" w:type="dxa"/>
            <w:vAlign w:val="bottom"/>
            <w:gridSpan w:val="2"/>
          </w:tcPr>
          <w:p>
            <w:pPr>
              <w:jc w:val="right"/>
              <w:ind w:right="472"/>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1,648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1,917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8,763</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84"/>
              </w:rPr>
              <w:t>9,968</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3"/>
              </w:rPr>
              <w:t>27,320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3"/>
              </w:rPr>
              <w:t>31,309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40</w:t>
            </w:r>
          </w:p>
        </w:tc>
        <w:tc>
          <w:tcPr>
            <w:tcW w:w="12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139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22"/>
        </w:trPr>
        <w:tc>
          <w:tcPr>
            <w:tcW w:w="3800" w:type="dxa"/>
            <w:vAlign w:val="bottom"/>
          </w:tcPr>
          <w:p>
            <w:pPr>
              <w:ind w:left="880"/>
              <w:spacing w:after="0"/>
              <w:rPr>
                <w:sz w:val="20"/>
                <w:szCs w:val="20"/>
                <w:color w:val="auto"/>
              </w:rPr>
            </w:pPr>
            <w:r>
              <w:rPr>
                <w:rFonts w:ascii="Arial" w:cs="Arial" w:eastAsia="Arial" w:hAnsi="Arial"/>
                <w:sz w:val="18"/>
                <w:szCs w:val="18"/>
                <w:color w:val="auto"/>
              </w:rPr>
              <w:t>Number</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19"/>
                <w:szCs w:val="19"/>
                <w:color w:val="auto"/>
              </w:rPr>
            </w:pPr>
          </w:p>
        </w:tc>
        <w:tc>
          <w:tcPr>
            <w:tcW w:w="840" w:type="dxa"/>
            <w:vAlign w:val="bottom"/>
          </w:tcPr>
          <w:p>
            <w:pPr>
              <w:jc w:val="right"/>
              <w:ind w:right="354"/>
              <w:spacing w:after="0"/>
              <w:rPr>
                <w:sz w:val="20"/>
                <w:szCs w:val="20"/>
                <w:color w:val="auto"/>
              </w:rPr>
            </w:pPr>
            <w:r>
              <w:rPr>
                <w:rFonts w:ascii="Arial" w:cs="Arial" w:eastAsia="Arial" w:hAnsi="Arial"/>
                <w:sz w:val="18"/>
                <w:szCs w:val="18"/>
                <w:color w:val="auto"/>
              </w:rPr>
              <w:t>388</w:t>
            </w:r>
          </w:p>
        </w:tc>
        <w:tc>
          <w:tcPr>
            <w:tcW w:w="1240" w:type="dxa"/>
            <w:vAlign w:val="bottom"/>
            <w:gridSpan w:val="2"/>
          </w:tcPr>
          <w:p>
            <w:pPr>
              <w:jc w:val="right"/>
              <w:ind w:right="4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994</w:t>
            </w:r>
          </w:p>
        </w:tc>
        <w:tc>
          <w:tcPr>
            <w:tcW w:w="580" w:type="dxa"/>
            <w:vAlign w:val="bottom"/>
          </w:tcPr>
          <w:p>
            <w:pPr>
              <w:spacing w:after="0"/>
              <w:rPr>
                <w:sz w:val="19"/>
                <w:szCs w:val="19"/>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1,159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October 24, 2012.</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Global restructuring activity during the first nine months of 2012, as measured by the value of debt defaults, decreased from the corresponding period in 2011. However, the number of issuers defaulting increased to 46 in the nine month period of 2012, according to Moody’s Investors Service, Inc., as compared to 17 in the corresponding period of 2011, with approximately one-half of such activity occurring in the first quarter of each respective year. Our Restructuring activities include advising companies on matters relating to debt restructurings, refinancings and other on- and off-balance sheet assignments, and our assignments are generally executed over a six- to eighteen-month period.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Fees related to our Sovereign Advisory activities are included in M&amp;A and Strategic Advisory revenue.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shown in the table below, major equity market indices at September 30, 2012 generally increased when compared to such indices at September 30, 2011, December 31, 2011 and June 30,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Percentage Changes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 2012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10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1"/>
                <w:szCs w:val="11"/>
                <w:color w:val="auto"/>
              </w:rPr>
            </w:pPr>
          </w:p>
        </w:tc>
        <w:tc>
          <w:tcPr>
            <w:tcW w:w="180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5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10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CAC 40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FTSE 100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NASDAQ</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3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product mix. Accordingly, market movements, foreign currency volatility and changes in our AUM product mix will impact the level of revenues we receive from our Asset Management business. A substantial portion of our AUM is invested in equities, and market movements reflected in the changes in Lazard’s AUM during the period generally reflect the changes in global market indices. While our AUM at September 30, 2012 increased 14% versus AUM at December 31, 2011 (primarily reflecting market appreciation), our average AUM for the third quarter of 2012 increased 5% as compared to the corresponding period of 2011, and, for the nine month period of 2012, decreased 0.4% as compared to our average AUM for the corresponding period of 2011. The changes in the levels of average AUM, as well as the AUM product mix, contributed to the changes in management fee revenue in the 2012 periods when compared to the corresponding periods in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2012 Cost Saving Initiatives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25, 2012, we announced a number of cost saving initiatives to reduce our expenses.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 We expect these initiatives will result in improved profitability with minimal impact on revenue growth. Our objective is for the majority of these initiatives to be completed in the fourth quarter of 2012, and to result in approximately $125 million in annual expense savings. We expect at least two-thirds of the expense savings to be realized in 2013, and we expect the full impact of the expense savings to be realized in 2014. Approximately $85 million of the expense savings relates to compensation expense and approximately $40 million relates to non-compensation expense. We expect pre-tax implementation expenses to range between $110 million and $130 million and to primarily consist of compensation expense. We expect to recognize a significant majority of these expenses in the fourth quarter of 2012 and the remainder in the first half of 2013. Approximately 75% of the implementation expenses are expected to be paid in cash.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institutional and private clients. As noted above, the main driver of Asset Management net revenue is the level and product mix of AUM, which is generally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and product mix of AUM measured daily, monthly or quarterly, and an increase or reduction in AUM, due to market price fluctuations, currency fluctuations, changes in product mix,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principal investments in equities and alternative asset management funds and “equity method” investments, as well as gains and losses on the extinguishment of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Although Corporate segment net revenue during the first nine months of 2012 represented (3)% of Lazard’s net revenue, total assets in the Corporate segment represented 60% of Lazard’s consolidated total assets as of September 30, 2012, which is attributable to investments in government bonds and money market funds, fixed income funds, alternative asset management funds and other securities, private equity investments, cash and LFB’s assets.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(see Note 13 of Notes to Condensed Consolidated Financial Statements) including (a) share-based incentive compensation under the Lazard Ltd 2005 Equity Incentive Plan (the “2005 Plan”) and the Lazard Ltd 2008 Incentive Compensation Plan (the “2008 Plan”) and (b) Lazard Fund Interests awards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the ratio of “adjusted compensation and benefits expense” to “operating revenue,” see the table under “Consolidated Results of Operations”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deferred compensation. Based on a similar mix of revenues from our business as today and a gradual improvement in the macroeconomic environment, we believe that over the cycle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can attain a ratio of awarded compensation and benefits expense to operating revenue in the mid-to-high-50s percentage range, which compares to 61.5% for the year ended December 31, 2011. While we have begun to implement initiatives, including the cost saving initiatives announced in October 2012 (see “October 2012 Cost Saving Initiatives” above and Note 19 of Notes to Condensed Consolidated Financial Statements), that we believe will assist us in achieving a ratio within this range, there can be no guarantee that such a ratio will be achieved or that our policies or initiatives will not change in the future. We may benefit from pressure on compensation costs within the financial services industry in future periods, but increased competition for senior professionals, changes in the macroeconomic environment or the financial markets generally, lower operating revenue, changes in the mix of revenues from our businesses or various other factors could prevent us from achieving this goal.</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and amortization of intangible assets related to acquisitions. Amortization of intangible assets relates primarily to the acquisition of Edgewater.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Noncontrolling interests primarily relate to the amount attributable to Edgewater’s management vehicles that the Company is deemed to control but not own. See Note 12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80" w:type="dxa"/>
            <w:vAlign w:val="bottom"/>
            <w:gridSpan w:val="5"/>
          </w:tcPr>
          <w:p>
            <w:pPr>
              <w:jc w:val="right"/>
              <w:ind w:right="1492"/>
              <w:spacing w:after="0"/>
              <w:rPr>
                <w:sz w:val="20"/>
                <w:szCs w:val="20"/>
                <w:color w:val="auto"/>
              </w:rPr>
            </w:pPr>
            <w:r>
              <w:rPr>
                <w:rFonts w:ascii="Arial" w:cs="Arial" w:eastAsia="Arial" w:hAnsi="Arial"/>
                <w:sz w:val="14"/>
                <w:szCs w:val="14"/>
                <w:b w:val="1"/>
                <w:bCs w:val="1"/>
                <w:color w:val="auto"/>
                <w:w w:val="92"/>
              </w:rPr>
              <w:t>($ 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5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429,311</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465,323</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1,346,776</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1,381,248</w:t>
            </w:r>
          </w:p>
        </w:tc>
        <w:tc>
          <w:tcPr>
            <w:tcW w:w="0" w:type="dxa"/>
            <w:vAlign w:val="bottom"/>
          </w:tcPr>
          <w:p>
            <w:pPr>
              <w:spacing w:after="0"/>
              <w:rPr>
                <w:sz w:val="1"/>
                <w:szCs w:val="1"/>
                <w:color w:val="auto"/>
              </w:rPr>
            </w:pPr>
          </w:p>
        </w:tc>
      </w:tr>
      <w:tr>
        <w:trPr>
          <w:trHeight w:val="303"/>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283,805</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273,518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905,488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95,512</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99,313</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309,584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381,811</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374,547</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1,221,244</w:t>
            </w:r>
          </w:p>
        </w:tc>
        <w:tc>
          <w:tcPr>
            <w:tcW w:w="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1,126,124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90,776</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26,138</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36,731</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77,896</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99,394</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w w:val="92"/>
              </w:rPr>
              <w:t>Less – Net Income (Loss) Attributable to Noncontrolling Interests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32"/>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38,296</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77,671</w:t>
            </w: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211,121</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52"/>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7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include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4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jc w:val="right"/>
              <w:ind w:right="880"/>
              <w:spacing w:after="0" w:line="155" w:lineRule="exact"/>
              <w:rPr>
                <w:sz w:val="20"/>
                <w:szCs w:val="20"/>
                <w:color w:val="auto"/>
              </w:rPr>
            </w:pPr>
            <w:r>
              <w:rPr>
                <w:rFonts w:ascii="Arial" w:cs="Arial" w:eastAsia="Arial" w:hAnsi="Arial"/>
                <w:sz w:val="14"/>
                <w:szCs w:val="14"/>
                <w:b w:val="1"/>
                <w:bCs w:val="1"/>
                <w:color w:val="auto"/>
              </w:rPr>
              <w:t>($ 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$452,350</w:t>
            </w:r>
          </w:p>
        </w:tc>
        <w:tc>
          <w:tcPr>
            <w:tcW w:w="26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$488,500</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$1,415,624</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$1,453,078</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(778)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(1,207)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(3,057)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(10,141)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(18,171)</w:t>
            </w:r>
          </w:p>
        </w:tc>
        <w:tc>
          <w:tcPr>
            <w:tcW w:w="2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Lazard Fund Interests (d)</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3,961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(4,639)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446,097</w:t>
            </w:r>
          </w:p>
        </w:tc>
        <w:tc>
          <w:tcPr>
            <w:tcW w:w="26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470,455</w:t>
            </w:r>
          </w:p>
        </w:tc>
        <w:tc>
          <w:tcPr>
            <w:tcW w:w="980" w:type="dxa"/>
            <w:vAlign w:val="bottom"/>
            <w:gridSpan w:val="2"/>
          </w:tcPr>
          <w:p>
            <w:pPr>
              <w:jc w:val="center"/>
              <w:ind w:left="1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1,399,637</w:t>
            </w: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1,421,711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Revenue related to the consolidation of noncontrolling interests is excluded because the Company has no economic interest in such amount.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Gain related to the repurchase of the Company’s subordinated promissory note is excluded because of the non-operating nature of such transaction.</w:t>
      </w:r>
    </w:p>
    <w:p>
      <w:pPr>
        <w:spacing w:after="0" w:line="38" w:lineRule="exact"/>
        <w:rPr>
          <w:rFonts w:ascii="Arial" w:cs="Arial" w:eastAsia="Arial" w:hAnsi="Arial"/>
          <w:sz w:val="16"/>
          <w:szCs w:val="16"/>
          <w:color w:val="auto"/>
        </w:rPr>
      </w:pPr>
    </w:p>
    <w:p>
      <w:pPr>
        <w:ind w:left="460" w:right="580" w:hanging="452"/>
        <w:spacing w:after="0" w:line="361"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114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$283,805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$273,518</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$905,488</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$829,989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1500" w:type="dxa"/>
            <w:vAlign w:val="bottom"/>
            <w:gridSpan w:val="3"/>
          </w:tcPr>
          <w:p>
            <w:pPr>
              <w:jc w:val="right"/>
              <w:ind w:right="540"/>
              <w:spacing w:after="0"/>
              <w:rPr>
                <w:sz w:val="20"/>
                <w:szCs w:val="20"/>
                <w:color w:val="auto"/>
              </w:rPr>
            </w:pPr>
            <w:r>
              <w:rPr>
                <w:rFonts w:ascii="Arial" w:cs="Arial" w:eastAsia="Arial" w:hAnsi="Arial"/>
                <w:sz w:val="18"/>
                <w:szCs w:val="18"/>
                <w:color w:val="auto"/>
              </w:rPr>
              <w:t>(837)</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(3,110)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credits pertaining to Lazard Fund Interests (b)</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Costs related to staff reductions (c)</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(21,754)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278,057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276,642</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875,985</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831,201</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58.8%</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62.6%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2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Severance costs and benefit payments associated with staff reductions, including the acceleration of unrecognized amortization expense of deferred incentive compensation previously granted to individuals being terminated, are excluded to enhance comparability of adjusted compensation and benefits expense relative to operating revenue between present, historical and future periods.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3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3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20" w:type="dxa"/>
            <w:vAlign w:val="bottom"/>
            <w:gridSpan w:val="4"/>
          </w:tcPr>
          <w:p>
            <w:pPr>
              <w:jc w:val="right"/>
              <w:ind w:right="10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$95,512</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$99,313</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$309,584</w:t>
            </w:r>
          </w:p>
        </w:tc>
        <w:tc>
          <w:tcPr>
            <w:tcW w:w="5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$291,239</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(655)</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(780)</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(1,954)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Costs related to staff reductions (b)</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94,857</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98,533</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304,725</w:t>
            </w:r>
          </w:p>
        </w:tc>
        <w:tc>
          <w:tcPr>
            <w:tcW w:w="5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289,801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21.3%</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Non-compensation costs associated with staff reductions are excluded to enhance comparability of adjusted non-compensation expense relative to operating revenue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1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1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13"/>
          </w:tcPr>
          <w:p>
            <w:pPr>
              <w:ind w:left="4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10"/>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11"/>
          </w:tcPr>
          <w:p>
            <w:pPr>
              <w:jc w:val="right"/>
              <w:ind w:right="864"/>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446,097</w:t>
            </w:r>
          </w:p>
        </w:tc>
        <w:tc>
          <w:tcPr>
            <w:tcW w:w="18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140"/>
              <w:spacing w:after="0"/>
              <w:rPr>
                <w:sz w:val="20"/>
                <w:szCs w:val="20"/>
                <w:color w:val="auto"/>
              </w:rPr>
            </w:pPr>
            <w:r>
              <w:rPr>
                <w:rFonts w:ascii="Arial" w:cs="Arial" w:eastAsia="Arial" w:hAnsi="Arial"/>
                <w:sz w:val="18"/>
                <w:szCs w:val="18"/>
                <w:color w:val="auto"/>
                <w:w w:val="95"/>
              </w:rPr>
              <w:t>470,455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6"/>
          </w:tcPr>
          <w:p>
            <w:pPr>
              <w:jc w:val="right"/>
              <w:ind w:right="304"/>
              <w:spacing w:after="0"/>
              <w:rPr>
                <w:sz w:val="20"/>
                <w:szCs w:val="20"/>
                <w:color w:val="auto"/>
              </w:rPr>
            </w:pPr>
            <w:r>
              <w:rPr>
                <w:rFonts w:ascii="Arial" w:cs="Arial" w:eastAsia="Arial" w:hAnsi="Arial"/>
                <w:sz w:val="18"/>
                <w:szCs w:val="18"/>
                <w:color w:val="auto"/>
                <w:w w:val="84"/>
              </w:rPr>
              <w:t>1,399,637</w:t>
            </w:r>
          </w:p>
        </w:tc>
        <w:tc>
          <w:tcPr>
            <w:tcW w:w="320" w:type="dxa"/>
            <w:vAlign w:val="bottom"/>
            <w:gridSpan w:val="2"/>
          </w:tcPr>
          <w:p>
            <w:pPr>
              <w:jc w:val="center"/>
              <w:ind w:left="119"/>
              <w:spacing w:after="0"/>
              <w:rPr>
                <w:sz w:val="20"/>
                <w:szCs w:val="20"/>
                <w:color w:val="auto"/>
              </w:rPr>
            </w:pPr>
            <w:r>
              <w:rPr>
                <w:rFonts w:ascii="Arial" w:cs="Arial" w:eastAsia="Arial" w:hAnsi="Arial"/>
                <w:sz w:val="18"/>
                <w:szCs w:val="18"/>
                <w:color w:val="auto"/>
                <w:w w:val="79"/>
              </w:rPr>
              <w:t>$</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w w:val="84"/>
              </w:rPr>
              <w:t>1,421,711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0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(278,057)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8"/>
                <w:szCs w:val="18"/>
                <w:color w:val="auto"/>
                <w:w w:val="88"/>
              </w:rPr>
              <w:t>(276,642)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6"/>
          </w:tcPr>
          <w:p>
            <w:pPr>
              <w:jc w:val="right"/>
              <w:ind w:right="244"/>
              <w:spacing w:after="0"/>
              <w:rPr>
                <w:sz w:val="20"/>
                <w:szCs w:val="20"/>
                <w:color w:val="auto"/>
              </w:rPr>
            </w:pPr>
            <w:r>
              <w:rPr>
                <w:rFonts w:ascii="Arial" w:cs="Arial" w:eastAsia="Arial" w:hAnsi="Arial"/>
                <w:sz w:val="18"/>
                <w:szCs w:val="18"/>
                <w:color w:val="auto"/>
                <w:w w:val="95"/>
              </w:rPr>
              <w:t>(875,985)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120"/>
              <w:spacing w:after="0"/>
              <w:rPr>
                <w:sz w:val="20"/>
                <w:szCs w:val="20"/>
                <w:color w:val="auto"/>
              </w:rPr>
            </w:pPr>
            <w:r>
              <w:rPr>
                <w:rFonts w:ascii="Arial" w:cs="Arial" w:eastAsia="Arial" w:hAnsi="Arial"/>
                <w:sz w:val="18"/>
                <w:szCs w:val="18"/>
                <w:color w:val="auto"/>
                <w:w w:val="95"/>
              </w:rPr>
              <w:t>(831,201)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(94,857)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(98,533)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44"/>
              <w:spacing w:after="0"/>
              <w:rPr>
                <w:sz w:val="20"/>
                <w:szCs w:val="20"/>
                <w:color w:val="auto"/>
              </w:rPr>
            </w:pPr>
            <w:r>
              <w:rPr>
                <w:rFonts w:ascii="Arial" w:cs="Arial" w:eastAsia="Arial" w:hAnsi="Arial"/>
                <w:sz w:val="18"/>
                <w:szCs w:val="18"/>
                <w:color w:val="auto"/>
                <w:w w:val="95"/>
              </w:rPr>
              <w:t>(304,725)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5"/>
              </w:rPr>
              <w:t>(289,801)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73,183</w:t>
            </w:r>
          </w:p>
        </w:tc>
        <w:tc>
          <w:tcPr>
            <w:tcW w:w="180" w:type="dxa"/>
            <w:vAlign w:val="bottom"/>
          </w:tcPr>
          <w:p>
            <w:pPr>
              <w:spacing w:after="0"/>
              <w:rPr>
                <w:sz w:val="19"/>
                <w:szCs w:val="19"/>
                <w:color w:val="auto"/>
              </w:rPr>
            </w:pPr>
          </w:p>
        </w:tc>
        <w:tc>
          <w:tcPr>
            <w:tcW w:w="40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95,280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960" w:type="dxa"/>
            <w:vAlign w:val="bottom"/>
            <w:gridSpan w:val="5"/>
          </w:tcPr>
          <w:p>
            <w:pPr>
              <w:jc w:val="right"/>
              <w:ind w:right="304"/>
              <w:spacing w:after="0"/>
              <w:rPr>
                <w:sz w:val="20"/>
                <w:szCs w:val="20"/>
                <w:color w:val="auto"/>
              </w:rPr>
            </w:pPr>
            <w:r>
              <w:rPr>
                <w:rFonts w:ascii="Arial" w:cs="Arial" w:eastAsia="Arial" w:hAnsi="Arial"/>
                <w:sz w:val="18"/>
                <w:szCs w:val="18"/>
                <w:color w:val="auto"/>
                <w:w w:val="86"/>
              </w:rPr>
              <w:t>218,927</w:t>
            </w:r>
          </w:p>
        </w:tc>
        <w:tc>
          <w:tcPr>
            <w:tcW w:w="320" w:type="dxa"/>
            <w:vAlign w:val="bottom"/>
            <w:gridSpan w:val="2"/>
          </w:tcPr>
          <w:p>
            <w:pPr>
              <w:jc w:val="center"/>
              <w:ind w:left="119"/>
              <w:spacing w:after="0"/>
              <w:rPr>
                <w:sz w:val="20"/>
                <w:szCs w:val="20"/>
                <w:color w:val="auto"/>
              </w:rPr>
            </w:pPr>
            <w:r>
              <w:rPr>
                <w:rFonts w:ascii="Arial" w:cs="Arial" w:eastAsia="Arial" w:hAnsi="Arial"/>
                <w:sz w:val="18"/>
                <w:szCs w:val="18"/>
                <w:color w:val="auto"/>
                <w:w w:val="79"/>
              </w:rPr>
              <w:t>$</w:t>
            </w:r>
          </w:p>
        </w:tc>
        <w:tc>
          <w:tcPr>
            <w:tcW w:w="880" w:type="dxa"/>
            <w:vAlign w:val="bottom"/>
            <w:gridSpan w:val="5"/>
          </w:tcPr>
          <w:p>
            <w:pPr>
              <w:jc w:val="right"/>
              <w:ind w:right="180"/>
              <w:spacing w:after="0"/>
              <w:rPr>
                <w:sz w:val="20"/>
                <w:szCs w:val="20"/>
                <w:color w:val="auto"/>
              </w:rPr>
            </w:pPr>
            <w:r>
              <w:rPr>
                <w:rFonts w:ascii="Arial" w:cs="Arial" w:eastAsia="Arial" w:hAnsi="Arial"/>
                <w:sz w:val="18"/>
                <w:szCs w:val="18"/>
                <w:color w:val="auto"/>
              </w:rPr>
              <w:t>300,709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44"/>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60"/>
              <w:spacing w:after="0"/>
              <w:rPr>
                <w:sz w:val="20"/>
                <w:szCs w:val="20"/>
                <w:color w:val="auto"/>
              </w:rPr>
            </w:pPr>
            <w:r>
              <w:rPr>
                <w:rFonts w:ascii="Arial" w:cs="Arial" w:eastAsia="Arial" w:hAnsi="Arial"/>
                <w:sz w:val="18"/>
                <w:szCs w:val="18"/>
                <w:color w:val="auto"/>
                <w:w w:val="98"/>
              </w:rPr>
              <w:t>Certain additional key ratios and headcount information are set forth below:</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3"/>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6"/>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00" w:type="dxa"/>
            <w:vAlign w:val="bottom"/>
            <w:gridSpan w:val="6"/>
          </w:tcPr>
          <w:p>
            <w:pPr>
              <w:jc w:val="right"/>
              <w:ind w:right="59"/>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5"/>
          </w:tcPr>
          <w:p>
            <w:pPr>
              <w:jc w:val="right"/>
              <w:ind w:right="64"/>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59"/>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6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0" w:type="dxa"/>
            <w:vAlign w:val="bottom"/>
            <w:gridSpan w:val="6"/>
          </w:tcPr>
          <w:p>
            <w:pPr>
              <w:jc w:val="right"/>
              <w:ind w:right="59"/>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5"/>
          </w:tcPr>
          <w:p>
            <w:pPr>
              <w:jc w:val="right"/>
              <w:ind w:right="64"/>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gridSpan w:val="5"/>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4"/>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spacing w:after="0"/>
              <w:rPr>
                <w:sz w:val="18"/>
                <w:szCs w:val="18"/>
                <w:color w:val="auto"/>
              </w:rPr>
            </w:pPr>
          </w:p>
        </w:tc>
        <w:tc>
          <w:tcPr>
            <w:tcW w:w="42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100%</w:t>
            </w:r>
          </w:p>
        </w:tc>
        <w:tc>
          <w:tcPr>
            <w:tcW w:w="780" w:type="dxa"/>
            <w:vAlign w:val="bottom"/>
            <w:gridSpan w:val="5"/>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4"/>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8"/>
              </w:rPr>
              <w:t>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6"/>
          </w:tcPr>
          <w:p>
            <w:pPr>
              <w:jc w:val="center"/>
              <w:ind w:left="92"/>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6"/>
          </w:tcPr>
          <w:p>
            <w:pPr>
              <w:ind w:left="1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8"/>
          </w:tcPr>
          <w:p>
            <w:pPr>
              <w:jc w:val="right"/>
              <w:ind w:right="440"/>
              <w:spacing w:after="0" w:line="12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100" w:type="dxa"/>
            <w:vAlign w:val="bottom"/>
          </w:tcPr>
          <w:p>
            <w:pPr>
              <w:spacing w:after="0"/>
              <w:rPr>
                <w:sz w:val="14"/>
                <w:szCs w:val="14"/>
                <w:color w:val="auto"/>
              </w:rPr>
            </w:pPr>
          </w:p>
        </w:tc>
        <w:tc>
          <w:tcPr>
            <w:tcW w:w="106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6"/>
          </w:tcPr>
          <w:p>
            <w:pPr>
              <w:jc w:val="right"/>
              <w:ind w:right="8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1,140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1,092</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w w:val="84"/>
              </w:rPr>
              <w:t>1,197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1,197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88"/>
              </w:rPr>
              <w:t>1,164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2,581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2,511</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-1482725</wp:posOffset>
            </wp:positionV>
            <wp:extent cx="342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-1285875</wp:posOffset>
            </wp:positionV>
            <wp:extent cx="342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2012 period of $38 million, as compared to net income of $78 million in the 2011 period. The changes in the Company’s operating results during these periods are described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 in the 2012 period decreased $36 million, or 8%, with operating revenue decreasing $24 million, or 5%, respectively, as compared to the 2011 period. Fee revenue from investment banking and other advisory activities decreased $30 million, or 12%, primarily due to a $28 million, or 14%, decline in M&amp;A and Strategic Advisory fee revenue. This decrease primarily resulted from lower average fees for assignments with fees greater than $1 million. Money management fees increased $2 million, or 1%, during the 2012 period primarily due to an $8 billion, or 5%, increase in average AUM, generally reflecting market appreciation, offset by a shift in the product mix of AUM. In the aggregate, interest income, other revenue and interest expense contributed to a decrease in net revenue of $8 million as compared to the corresponding period in 2011, primarily due to an $18 million gain on extinguishment of debt in the 2011 period, and a decrease in referral fees from LFCM Holdings in the 2012 period, with such items partially offset by net investment gains in the 2012 period.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Compensation and benefits expense increased $10 million, or 4%, in the 2012 period as compared to the corresponding prior year period. Adjusted compensation and benefits expense (which excludes certain items, and which we believe allows for improved comparability between interim periods, as described above) was substantially unchanged when compared to the 2011 period. The ratio of adjusted compensation and benefits expense to operating revenue was 62.3% for the 2012 period, versus 58.8% and 61.7% for the third quarter and full year of 2011, respectively. The ratio in the 2012 period was negatively impacted by higher amortization of deferred incentive compensation awards as described in more detail in the discussion below regarding year-to-date results. Further,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Non-compensation expense in the 2012 period decreased $4 million, or 4%, as compared to the corresponding period in 2011. When excluding non-compensation costs relating to noncontrolling interests, adjusted non-compensation expense in the third quarter of 2012 also decreased $4 million, or 4%, driven primarily by lower professional fees. The ratio of adjusted non-compensation expense to operating revenue was 21.3% in the 2012 period versus 20.9% for the corresponding period in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was substantially unchanged versus the 2011 period.</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Operating income in the 2012 period decreased $43 million, or 48%, as compared to operating income in the 2011 period. Operating income, as a percentage of net revenue, was 11.1% as compared to 19.5% in the 2011 period. Earnings from operations decreased 23% as compared to the 2011 period, and, as a percentage of operating revenue, was 16.4% as compared to 20.3% in the 2011 period.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provision for income taxes decreased $2 million, or 16%, as compared to the 2011 period, and reflected an effective tax rate of 22.7% versus 14.2% for the 2011 period.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Net income (loss) attributable to noncontrolling interests was $(2) million and $0.2 million in the 2012 and 2011 periods, respectively. The decrease primarily reflects a lower level of earnings at Edgewater in the 2012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2012 period of $97 million, as compared to net income of $211 million in the 2011 period. The changes in the Company’s operating results during these periods are described below.</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revenue in the 2012 period decreased $35 million, or 2%, with operating revenue decreasing $22 million, or 2%, respectively, as compared to the 2011 period. Fee revenue from investment banking and other advisory activities increased $20 million, or 3%, reflecting increases in M&amp;A and Strategic Advisory fee revenue of $26 million, or 5%, and Restructuring fee revenue of $13 million, or 10%, partially offset by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decrease in Other Advisory fee revenue of $19 million, or 32%. The increase in M&amp;A and Strategic Advisory fee revenue was driven by the strong performance of Lazard Middle Market and the overall breadth and volume of our global M&amp;A and Sovereign Advisory businesses. Higher fees were earned from our top 10 clients during the 2012 period, reflecting the closing of several significant M&amp;A and sovereign and government advisory transactions. Although global corporate restructuring activity continues its industry-wide decline, the increase in Restructuring fee revenue in the 2012 period was driven by an increase in the average fees per assignment, most of which was attributable to the first quarter of 2012. Money management fees decreased $38 million, or 6%, during the 2012 period, due to a $0.5 billion, or 0.4%, decrease in average AUM and a change in the product mix of AUM. In the aggregate, interest income, other revenue and interest expense contributed to a decrease in net revenue of $17 million as compared to the corresponding period in 2011, primarily due to an $18 million gain on extinguishment of debt in the 2011 period and a decrease in referral fees from LFCM Holdings in the 2012 period, with such items partially offset by net investment gains in the 2012 period.</w:t>
      </w:r>
    </w:p>
    <w:p>
      <w:pPr>
        <w:spacing w:after="0" w:line="12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Compensation and benefits expense in the 2012 period increased $75 million, or 9%, compared to the corresponding prior year period, which, in part, reflected a $22 million first quarter 2012 charge associated with staff reductions, representing severance costs and benefit payments, $7 million of which related to the acceleration of unrecognized amortization expense of deferred incentive compensation previously granted to individuals being terminated. Also contributing to the increase was a higher level of amortization of deferred incentive compensation awards and increased salaries and benefits. Adjusted compensation and benefits expense (which excludes certain items, and which we believe allows for improved comparability between interim periods, as described above), increased $45 million, or 5%, when compared to the 2011 period. The ratio of adjusted compensation and benefits expense to operating revenue was</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62.6% for the 2012 period, which compares to 58.5% and 61.7% for the first nine months and full year of 2011, respectively. The ratio of adjusted compensation and benefits expense to operating revenue for the 2012 period assumed, based on current market conditions, a ratio of awarded compensation and benefits expense to operating revenue of approximately 60% for the full year of 2012, as compared to 61.5% for the full year of 2011.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expect that amortization of deferred incentive compensation awards will approximate $339 million for the full year of 2012,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$289 million for the full year of 2011, when excluding a charge of $7 million in the first quarter of 2012, and the impact of the cost saving initiatives announced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October 2012 (see “October 2012 Cost Saving Initiatives” above and Note 19 of Notes to Condensed Consolidated Financial Statements), in each case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they relate to staff reductions. Approximately $41 million, or 82%, of the increased amortization in 2012 is related to the 2008 plan year deferred incentive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awards (the “2008 grant”), approximately $32 million of which was expensed in the first nine months of 2012, representing approximately 2.3%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operating revenue for the period. The 2008 grant had a four year vesting period and is the last grant with a vesting period in excess of three years. Amortization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deferred incentive compensation expense is expected to revert to a lower level after the first quarter of 2013 following the full vesting of the 2008 grant.</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Non-compensation expense in the 2012 period increased $18 million, or 6%, as compared to the corresponding period in 2011. Non-compensation expense in the first nine months of 2012 included first quarter charges totaling $3 million associated with the staff reductions. When excluding such charges, as well as non-compensation costs relating to noncontrolling interests, adjusted non-compensation expense in the first nine months of 2012 increased $15 million, or 5%, primarily attributable to (i) higher occupancy costs in the 2012 period as a result of our amended lease and associated build-out costs of our Rockefeller Center facility, (ii) deal-related costs specifically related to transactions that closed in the 2012 period and (iii) investments in technology, with such increased costs partially offset by decreased professional fees and mutual fund servicing fees. The ratio of adjusted non-compensation expense to operating revenue was 21.8% in the 2012 period versus 20.4% for the corresponding period in 2011. We currently estimate that, on a full year basis in 2012 as compared to 2011, our occupancy-related costs associated with the amended lease at our Rockefeller Center facility will increase by approximately $13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$1 million, or 26%, as compared to the 2011 period.</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income in the 2012 period (including the above-mentioned charges relating to staff reductions aggregating $25 million) decreased $130 million, or 51%, as compared to operating income in the 2011 period. Operating income, as a percentage of net revenue, was 9.3%, as compared to 18.5% in the 2011 period. Earnings from operations declined $82 million, or 27%, when compared to the 2011 period, and, as a percentage of operating revenue, was 15.6%, as compared to 21.2% in the 2011 period.</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provision for income taxes decreased $11 million, or 29%, when compared to the 2011 period, and reflected an effective tax rate of 20.8% versus 14.5% for the 2011 period.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income attributable to noncontrolling interests decreased $5 million in the 2012 period, primarily reflecting a lower level of earnings at Edgewater in the 2012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114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$171,417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199,120</w:t>
            </w:r>
          </w:p>
        </w:tc>
        <w:tc>
          <w:tcPr>
            <w:tcW w:w="6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0"/>
              </w:rPr>
              <w:t>$559,411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533,440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14,174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16,316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45,718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185,591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215,436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605,129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609,582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34,382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38,149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134,664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122,039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253,585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739,793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731,621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212,449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213,614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693,546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641,397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$ 7,524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46,247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90,224</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regarding the relative number of our advisory engagements with respect to larger-sized transactions, and where we are involved in significant non-public assignments. While the M&amp;A industry data described above on completed and announced transactions reflects decreased M&amp;A activity in the first nine months of 2012 as compared to the corresponding period in 2011, our M&amp;A and Strategic Advisory revenue (which includes Sovereign and Government Advisory revenue) increased 5% in the 2012 nine month period as compared to the 2011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2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19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September 30,</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6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79"/>
              </w:rPr>
              <w:t>65</w:t>
            </w: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186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49</w:t>
            </w:r>
          </w:p>
        </w:tc>
        <w:tc>
          <w:tcPr>
            <w:tcW w:w="820" w:type="dxa"/>
            <w:vAlign w:val="bottom"/>
          </w:tcPr>
          <w:p>
            <w:pPr>
              <w:spacing w:after="0"/>
              <w:rPr>
                <w:sz w:val="18"/>
                <w:szCs w:val="18"/>
                <w:color w:val="auto"/>
              </w:rPr>
            </w:pP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139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16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w w:val="79"/>
              </w:rPr>
              <w:t>10</w:t>
            </w:r>
          </w:p>
        </w:tc>
        <w:tc>
          <w:tcPr>
            <w:tcW w:w="820" w:type="dxa"/>
            <w:vAlign w:val="bottom"/>
          </w:tcPr>
          <w:p>
            <w:pPr>
              <w:spacing w:after="0"/>
              <w:rPr>
                <w:sz w:val="19"/>
                <w:szCs w:val="19"/>
                <w:color w:val="auto"/>
              </w:rPr>
            </w:pPr>
          </w:p>
        </w:tc>
        <w:tc>
          <w:tcPr>
            <w:tcW w:w="1300" w:type="dxa"/>
            <w:vAlign w:val="bottom"/>
            <w:gridSpan w:val="2"/>
          </w:tcPr>
          <w:p>
            <w:pPr>
              <w:jc w:val="right"/>
              <w:ind w:right="812"/>
              <w:spacing w:after="0"/>
              <w:rPr>
                <w:sz w:val="20"/>
                <w:szCs w:val="20"/>
                <w:color w:val="auto"/>
              </w:rPr>
            </w:pPr>
            <w:r>
              <w:rPr>
                <w:rFonts w:ascii="Arial" w:cs="Arial" w:eastAsia="Arial" w:hAnsi="Arial"/>
                <w:sz w:val="18"/>
                <w:szCs w:val="18"/>
                <w:color w:val="auto"/>
              </w:rPr>
              <w:t>34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Reuters as of October 24, 2012.</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decreased $30 million, or 14%, and Restructuring revenue decreased $4 million, or 10%, as compared to the 2011 period.</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M&amp;A and Strategic Advisory revenue decreased $28 million, or 14%, as compared to the 2011 period. Capital Markets and Other Advisory revenue decreased $2 million, or 13%. The decrease in M&amp;A and Strategic Advisory revenue was primarily due to lower average fees for assignments with fees greater than $1 million. Our major clients, which, in the aggregate, represented a significant portion of our M&amp;A and Strategic Advisory revenue for the third quarter of 2012, included Aeroporti di Roma, GlaxoSmithKline, Gryson shareholders, Klune Industries (Vance Street Capital), MEDTOX Scientific, Montagu Private Equity, Progress Energy and St Barbara Limited. The decrease in Capital Markets and Other Advisory revenue in the 2012 period was primarily attributable to a decrease in referral fees from LFCM Holdings, partially offset by a higher level of closings by Private Fund Advisory.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the 2012 period was primarily due to a lower number of completed assignments. Notable assignments completed in the third quarter of 2012 included assignments for Cemex, Lighthouse Bondholders Committee, White Birch Paper Company, Grupo Uralita and Cementos Portland Valderrivas.</w:t>
      </w:r>
    </w:p>
    <w:p>
      <w:pPr>
        <w:spacing w:after="0" w:line="14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Operating expenses decreased $1 million, or 1%, as compared to the 2011 period. Decreases in compensation and benefits expense and professional fees were partially offset by increased occupancy costs, primarily as a result of our amended lease and associated build-out costs of our Rockefeller Center facility.</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Financial Advisory operating income in the 2012 period decreased $32 million, or 81%, as compared to the 2011 period. Operating income, as a percentage of net revenue, was 3.4% as compared to 15.8% in the 2011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decreased $4 million, or 1%, and Restructuring revenue increased $13 million, or 10%, as compared to the 2011 period.</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M&amp;A and Strategic Advisory revenue increased $26 million, or 5%, as compared to the 2011 period. Capital Markets and Other Advisory revenue decreased $30 million, or 40%. The increase in M&amp;A and Strategic Advisory revenue was primarily due to the strong performance of Lazard Middle Market and a higher level of fees earned from our top 10 clients, reflecting the closing of several significant M&amp;A, Sovereign Advisory and Government Advisory transactions. The decrease in Capital Markets and Other Advisory revenue in the 2012 period was primarily attributable to a lower level of closings by Private Fund Advisory and a decrease in referral fees from LFCM Holdings.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increase in Restructuring revenue in the 2012 period was driven by an increase in the average fee per assignment, most of which was attributable to the first quarter of 2012.</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Operating expenses increased $52 million, or 8%, as compared to the 2011 period. The primary contributors to the increase were higher levels of compensation and benefits expense (see the discussion regarding compensation and benefits expense described above under “Operating Results—Nine Months Ended September 30, 2012 versus September 30, 2011”), deal-related costs specifically related to transactions that closed in the 2012 period, business development expense and occupancy costs in the 2012 period, the latter primarily as a result of our amended lease and associated build-out costs of our Rockefeller Center facility.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Financial Advisory operating income in the 2012 period decreased $44 million, or 49%, as compared to the 2011 period. Operating income, as a percentage of net revenue, was 6.3% as compared to 12.3%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5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15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Global Equities</w:t>
            </w:r>
          </w:p>
        </w:tc>
        <w:tc>
          <w:tcPr>
            <w:tcW w:w="860" w:type="dxa"/>
            <w:vAlign w:val="bottom"/>
          </w:tcPr>
          <w:p>
            <w:pPr>
              <w:jc w:val="right"/>
              <w:spacing w:after="0"/>
              <w:rPr>
                <w:sz w:val="20"/>
                <w:szCs w:val="20"/>
                <w:color w:val="auto"/>
              </w:rPr>
            </w:pPr>
            <w:r>
              <w:rPr>
                <w:rFonts w:ascii="Arial" w:cs="Arial" w:eastAsia="Arial" w:hAnsi="Arial"/>
                <w:sz w:val="18"/>
                <w:szCs w:val="18"/>
                <w:color w:val="auto"/>
              </w:rPr>
              <w:t>78,395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Equities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132,231</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116,362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European and International Fixed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Global Fixed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3,043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U.S. Fixed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Fixed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Private Equity</w:t>
            </w:r>
          </w:p>
        </w:tc>
        <w:tc>
          <w:tcPr>
            <w:tcW w:w="860" w:type="dxa"/>
            <w:vAlign w:val="bottom"/>
          </w:tcPr>
          <w:p>
            <w:pPr>
              <w:jc w:val="right"/>
              <w:spacing w:after="0"/>
              <w:rPr>
                <w:sz w:val="20"/>
                <w:szCs w:val="20"/>
                <w:color w:val="auto"/>
              </w:rPr>
            </w:pPr>
            <w:r>
              <w:rPr>
                <w:rFonts w:ascii="Arial" w:cs="Arial" w:eastAsia="Arial" w:hAnsi="Arial"/>
                <w:sz w:val="18"/>
                <w:szCs w:val="18"/>
                <w:color w:val="auto"/>
              </w:rPr>
              <w:t>1,428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Management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AUM</w:t>
            </w:r>
          </w:p>
        </w:tc>
        <w:tc>
          <w:tcPr>
            <w:tcW w:w="860" w:type="dxa"/>
            <w:vAlign w:val="bottom"/>
          </w:tcPr>
          <w:p>
            <w:pPr>
              <w:jc w:val="right"/>
              <w:spacing w:after="0"/>
              <w:rPr>
                <w:sz w:val="20"/>
                <w:szCs w:val="20"/>
                <w:color w:val="auto"/>
              </w:rPr>
            </w:pPr>
            <w:r>
              <w:rPr>
                <w:rFonts w:ascii="Arial" w:cs="Arial" w:eastAsia="Arial" w:hAnsi="Arial"/>
                <w:sz w:val="18"/>
                <w:szCs w:val="18"/>
                <w:color w:val="auto"/>
              </w:rPr>
              <w:t>$160,411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141,039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Average AUM for the 2012 and 2011 periods is set forth below. Average AUM is generally based on an average of quarterly ending balances for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4"/>
          </w:tcPr>
          <w:p>
            <w:pPr>
              <w:ind w:left="500"/>
              <w:spacing w:after="0"/>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$ 156,620</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$ 148,705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$ 152,744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$ 153,299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AUM at September 30, 2012 increased $19 billion, or 14%, as compared to AUM of $141 billion at December 31, 2011, primarily due to market appreciation. Average AUM for the three month period ended September 30, 2012 was 5% higher than that for the corresponding period in 2011, while average AUM for the nine month period ended September 30, 2012 was 0.4% lower than for the corresponding period in 2011. International, Global and U.S. equities represented 20%, 49% and 13% of total AUM at September 30, 2012, substantially unchanged from the respective percentages at December 31, 2011.</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September 30, 2012, approximately 91% of our AUM was managed on behalf of institutional clients, including corporations, labor unions, public pension funds, insurance companies and banks, and through sub-advisory relationships, mutual fund sponsors, broker-dealers and registered advisors, and 9% of our AUM was managed on behalf of individual client relationships, which are principally with family offices and individuals, with such percentages substantially unchanged from the corresponding percentages at December 31,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both September 30, 2012 and December 31, 2011, AUM denominated in foreign currencies represented approximately 61% of our total AUM.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Foreign denominated AUM declines in value with the strengthening of the U.S. Dollar and increases in value as the U.S. Dollar weakens.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2012 and 2011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110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5"/>
          </w:tcPr>
          <w:p>
            <w:pPr>
              <w:jc w:val="right"/>
              <w:ind w:right="720"/>
              <w:spacing w:after="0" w:line="155" w:lineRule="exact"/>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$148,439</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$161,597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$141,039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$155,337</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1,813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(1,122)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2,788</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(18,771)</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$ 160,411</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135,812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$ 160,411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135,812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inflows of $7,660 and $5,375 and outflows of $5,847 and $6,497 for the three month periods in 2012 and 2011, respectively, and inflows of $20,269 and $18,297 and outflows of $17,481 and $19,051 for the nine month periods in 2012 and 2011, respectively.</w:t>
      </w:r>
    </w:p>
    <w:p>
      <w:pPr>
        <w:spacing w:after="0" w:line="8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During the first nine months of 2012, inflows were principally in International Equities and Emerging Markets Debt products, primarily due to increased investments in existing accounts, as well as new accounts. Outflows during the first nine months of 2012 were principally in U.S. and Emerging Markets Equity products, primarily resulting from withdrawals in existing accounts.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October 24, 2012, AUM was $159.9 billion, a decrease of $0.5 billion since September 30, 2012. The decrease in AUM was due to market/foreign exchange depreciation of $0.8 billion, partially offset by net inflows of $0.3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202,324</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199,980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$597,407</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$627,965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16,906</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32,783</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221,516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219,077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647,096</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160,883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156,709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477,989</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169,107</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223,958</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26.1%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 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89"/>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Asset Management net revenue increased $2 million, or 1%, as compared to the 2011 period. Management fees increased $2 million, or 1%, as compared to the 2011 period, driven primarily by a 5% increase in average AUM, generally reflecting market appreciation, offset by a shift in the product mix of AUM. Incentive fees, principally consisting of traditional long-only strategies, increased $1 million, or 13%, as compared to the 2011 period. Other revenue decreased $1 million, or 12%, as compared to the 2011 period, primarily due to a decline in commissions and custody fees.</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Operating expenses increased $4 million, or 3%, as compared to the 2011 period, primarily due to an increase in compensation and benefits expense and higher occupancy costs associated with our amended lease and build-out costs of our Rockefeller Center facility. These increases were partially offset by lower fees for fund administration, professional fees and business development expenses.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Asset Management operating income decreased $2 million, or 3%, as compared to operating income in the 2011 period. Operating income, as a percentage of net revenue, was 27.4%, as compared to 28.5% in the 2011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Asset Management net revenue decreased $44 million, or 6%, as compared to the 2011 period. Management fees decreased $31 million, or 5%, as compared to the 2011 period, driven by a 0.4% decrease in average AUM and a change in the product mix of AUM. Incentive fees, primarily consisting of traditional long-only strategies, decreased $4 million, or 19%, as compared to the 2011 period, primarily due to a change in fee structure on one mandate from a quarterly to an annual performance fee basis. Other revenue decreased $9 million, or 22%, as compared to the 2011 period, primarily due to a decline in commissions and custody fees from an unusually strong 2011 period.</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Operating expenses increased $11 million, or 2%, as compared to the 2011 period primarily due to an increase in compensation and benefits expense (see the discussion regarding compensation and benefits expense described above under “Operating Results—Nine Months Ended September 30, 2012 versus September 30,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2011”) and higher occupancy costs in the 2012 period associated with our amended lease and build-out costs of our Rockefeller Center facility. These increases were partially offset by lower professional fees and fees for fund administration.</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Asset Management operating income decreased $55 million, or 24%, as compared to operating income in the 2011 period. Operating income, as a percentage of net revenue, was 26.1%, as compared to 32.4%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right"/>
              <w:ind w:right="780"/>
              <w:spacing w:after="0" w:line="142" w:lineRule="exact"/>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10,799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(23,005)</w:t>
            </w: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(22,461)</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(68,813)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(69,836)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(19,308)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(19,036)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(58,014)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Revenue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11,697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17,901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(12,178)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(40,113)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8,479</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49,709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(20,657)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(11,563)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(89,822)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versus September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compared to the 2011 period.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Other revenue decreased $5 million, or 39%, primarily due to an $18 million gain on extinguishment of debt in the 2011 period, which was partially offset by net investment gains in the 2012 period.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Operating expenses increased $4 million, primarily due to increased compensation and benefits expense related to the net gain in the value of Lazard Fund Interests.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versus September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2%, as compared to the 2011 period.</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revenue was substantially unchanged as compared to the 2011 period. While the 2012 period had increased investment gains of $26 million, including a net gain in the value of Lazard Fund Interests, when compared to the 2011 period, such increase was offset by (i) a loss on the sale of an intercompany receivable in the 2012 period and (ii) an $18 million gain on the extinguishment of debt in the 2011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Operating expenses in the 2012 period (including the above-mentioned $25 million charge in the first quarter of 2012 relating to staff reductions) increased $32 million. Excluding the impact of such staff reduction charge, operating expenses in the 2012 period increased $7 million, or 40%, as compared to the 2011 period, primarily due to increases in the 2012 period relating to (i) occupancy costs, as a result of our amended lease and associated build-out costs of our Rockefeller Center facility, (ii) compensation and benefits expense related to a net gain in the value of Lazard Fund Interests and (iii) technology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members, payments of incentive compensation to managing directors and employees and purchases of Class A common stock.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the Company expects to make cash payments, including severance payments, associated with the cost saving initiatives announced in October 2012 (see “October 2012 Cost Saving Initiatives” above and Note 19 of Notes to Condensed Consolidated Financial Statements), a significant portion of which will be paid during the fourth quarter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(168.9)</w:t>
            </w:r>
          </w:p>
        </w:tc>
        <w:tc>
          <w:tcPr>
            <w:tcW w:w="0" w:type="dxa"/>
            <w:vAlign w:val="bottom"/>
          </w:tcPr>
          <w:p>
            <w:pPr>
              <w:spacing w:after="0"/>
              <w:rPr>
                <w:sz w:val="1"/>
                <w:szCs w:val="1"/>
                <w:color w:val="auto"/>
              </w:rPr>
            </w:pPr>
          </w:p>
        </w:tc>
      </w:tr>
      <w:tr>
        <w:trPr>
          <w:trHeight w:val="230"/>
        </w:trPr>
        <w:tc>
          <w:tcPr>
            <w:tcW w:w="948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232.5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(484.7)</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(219.7)</w:t>
            </w:r>
          </w:p>
        </w:tc>
        <w:tc>
          <w:tcPr>
            <w:tcW w:w="0" w:type="dxa"/>
            <w:vAlign w:val="bottom"/>
          </w:tcPr>
          <w:p>
            <w:pPr>
              <w:spacing w:after="0"/>
              <w:rPr>
                <w:sz w:val="1"/>
                <w:szCs w:val="1"/>
                <w:color w:val="auto"/>
              </w:rPr>
            </w:pPr>
          </w:p>
        </w:tc>
      </w:tr>
      <w:tr>
        <w:trPr>
          <w:trHeight w:val="218"/>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1,024.8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821.9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Loss on sale of intercompany receivable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286.4</w:t>
            </w:r>
          </w:p>
        </w:tc>
        <w:tc>
          <w:tcPr>
            <w:tcW w:w="3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562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60" w:hanging="452"/>
        <w:spacing w:after="0" w:line="25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distributions to members and noncontrolling interest holders and activity relating to borrowings, and in the 2012 period, proceeds from the sale of an intercompany receivable to a subsidiary of Lazard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The Company expects liquidity also to be impacted by cash payments, including severance payments, associated with the cost saving initiatives announced in October 2012 (see “October 2012 Cost Saving Initiatives” above and Note 19 of Notes to Condensed Consolidated Financial Statements), a significant portion of which will be paid during the fourth quarter of 2012.</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September 30, 2012, Lazard had approximately $822 million of cash, with such amount including approximately $312 million held at Lazard’s operations outside the U.S. No material amount of additional U.S. income taxes would be recognized upon receipt of dividends or distributions of earnings from the Company’s foreign operations.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September 30, 2012, Lazard had approximately $301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$91 million (at September 30, 2012 exchange rates) and Edgewater of $55 million. In addition, LFB has access to the Eurosystem Covered Bond Purchase Program of the Banque de France.</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covenants relating to leverage and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Lazard’s senior and subordinated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2012 and December 31, 2011.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2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8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17"/>
              <w:spacing w:after="0" w:line="142" w:lineRule="exact"/>
              <w:rPr>
                <w:sz w:val="20"/>
                <w:szCs w:val="20"/>
                <w:color w:val="auto"/>
              </w:rPr>
            </w:pPr>
            <w:r>
              <w:rPr>
                <w:rFonts w:ascii="Arial" w:cs="Arial" w:eastAsia="Arial" w:hAnsi="Arial"/>
                <w:sz w:val="14"/>
                <w:szCs w:val="14"/>
                <w:b w:val="1"/>
                <w:bCs w:val="1"/>
                <w:color w:val="auto"/>
              </w:rPr>
              <w:t>($ in millions)</w:t>
            </w: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528.5</w:t>
            </w: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1,076.9</w:t>
            </w: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or prior revolving credit facilities since June 30, 2006. We believe that our cash flows from operating activities, along with the use of our credit lines as needed, should be sufficient for us to fund our current obligations for the next 12 months and beyond.</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September 30, 2012, Lazard Group was in compliance with such ratios, with its Consolidated Leverage Ratio being 2.30 to 1.00 and its Consolidated Interest Coverage Ratio being 6.81 to 1.00. In any event, no amounts were outstanding under the Credit Facility as of September 30, 2012.</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September 30,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September 30, 2012, total members’ equity was $792 million, as compared to $718 million at December 31, 2011, including $709 million and $614 million attributable to Lazard Group on the respective dates. The net activity in members’ equity during the nine month period ended September 30, 2012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3"/>
              </w:rPr>
              <w:t>Delivery of Class A common stock in connection with share-based incentive compensation (and related tax expense of $1)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members and noncontrolling interests -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Deconsolidation of investment companies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Equity—September 30, 2012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Employee benefit plans and other adjustments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2011, October 2011 and April 2012, the Board of Directors of Lazard Ltd authorized the repurchase of up to $250 million, $125 million and $125 million, respectively, in aggregate cost of Class A common stock and Lazard Group common membership interests through December 31, 2012, December 31, 2013 and December 31, 2013, respectively. During the nine month period ended September 30, 2012 Lazard Group and subsidiaries of Lazard Ltd repurchased 8,235,306 shares of Class A common stock, at an aggregate cost of $223 million (no Lazard Group common membership interests were purchased during such nine month period).</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As of September 30, 2012, $115 million of the current aggregate share repurchase amount authorized as of such date remained available under the share repurchase program, all of which expires on December 31, 2013. In addition, under the terms of the 2005 Plan and the 2008 Plan, upon the vesting of RSUs, shares of Class A common stock may be withheld by the Company to cover estimated income taxes. In that regard, during the first nine months of 2012 the Company utilized $41 million to satisfy certain employees’ withholding tax obligations on vested RSUs and delivery of restricted Class A common stock in lieu of issuing 1,359,941 shares of Class A common stock directly by Lazard Ltd or by delivery of shares held by Lazard Group or other subsidiaries of Lazard Ltd.</w:t>
      </w:r>
    </w:p>
    <w:p>
      <w:pPr>
        <w:spacing w:after="0" w:line="10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first nine months of 2012, the Company had written trading plans under Rule 10b5-1 of the Securities Exchange Act of 1934 in place, pursuant to which it effected stock repurchases through the open market.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2012, the Board of Directors of Lazard Ltd authorized the repurchase of up to an additional $200 million in aggregate cost of Class A common stock and Lazard Group common membership interests through December 31, 2014. During the period October 1 through October 24, 2012, the Company purchased 3,374,308 shares of Class A common stock, at an aggregate cost of $98 million (including shares of Class A common stock received from members of LAZ-MD Holdings in exchange for a like number of LAZ-MD Holdings exchangeable interests). No Lazard Group common membership interests were purchased during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such period. After giving effect to these purchases, and the additional share repurchase authorization described above, $217 million of the current aggregate share repurchase amount authorized remained available under the share repurchase program as of October 24, 2012, $17 million of which expires on December 31, 2013 and $200 million of which expires on December 31, 2014.</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making distributions to members and repurchasing its outstanding debt.</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4"/>
              </w:rPr>
              <w:t>Contractual Obligations Due by Period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7"/>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$ 1,377,627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$ 678,935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$ 623,474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Leases (exclusive of $165,084 of sublease income)</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1,060,677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66,609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147,022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131,874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715,172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21,598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34,047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26,309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7,738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$ 2,493,949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$ 170,633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$ 839,675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$ 768,469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715,172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15 of Notes to Condensed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right="700" w:firstLine="456"/>
        <w:spacing w:after="0" w:line="335" w:lineRule="auto"/>
        <w:rPr>
          <w:sz w:val="20"/>
          <w:szCs w:val="20"/>
          <w:color w:val="auto"/>
        </w:rPr>
      </w:pPr>
      <w:r>
        <w:rPr>
          <w:rFonts w:ascii="Arial" w:cs="Arial" w:eastAsia="Arial" w:hAnsi="Arial"/>
          <w:sz w:val="15"/>
          <w:szCs w:val="15"/>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as discussed below, any valuation allowance recorded against our deferred tax assets. At December 31, 2011, the Company recorded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deferred tax assets of approximately $189 million, with such amount partially offset by a valuation allowance of approximately $89 million due to the uncertainty of realizing the benefits of the book versus tax basis differences and certain net operating loss carry-forwards (and have not changed our assessment regarding the level of valuation allowance as of September 30, 2012).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we apply the “more likely than not” criteria prior to the recognition of a financial statement benefit of a tax position taken or expected to be taken in a tax return with respect to uncertainties in income taxes.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Tax contingencies can involve complex issues and may require an extended period of time to resolve. Changes in the geographic mix or estimated level of annual pre-tax income can affect Lazard’s overall effective tax rate. Significant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19 of Notes to Consolidated Financial Statements in our Form 10-K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Lazard did not own any securities designated as “available-for-sale” or “held-to-maturity”.</w:t>
      </w:r>
    </w:p>
    <w:p>
      <w:pPr>
        <w:spacing w:after="0" w:line="12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8"/>
              </w:rPr>
              <w:t>September 30, 2012 (a)</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88"/>
              </w:rPr>
              <w:t>December 31, 2011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Equity securities (net of $3 and $4 of securities sold, not yet purchased, at</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ind w:left="200"/>
              <w:spacing w:after="0"/>
              <w:rPr>
                <w:sz w:val="20"/>
                <w:szCs w:val="20"/>
                <w:color w:val="auto"/>
              </w:rPr>
            </w:pPr>
            <w:r>
              <w:rPr>
                <w:rFonts w:ascii="Arial" w:cs="Arial" w:eastAsia="Arial" w:hAnsi="Arial"/>
                <w:sz w:val="18"/>
                <w:szCs w:val="18"/>
                <w:color w:val="auto"/>
              </w:rPr>
              <w:t>September 30, 2012 and December 31, 2011, respectively) (c)</w:t>
            </w: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66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owned (principally general partnership</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 in Lazard-managed hedge funds) (d)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3,146</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$ 3,037</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$102 million and $27 million at September 30, 2012 and December 31, 2011,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Asset Management products and non-U.S. government debt securities.</w:t>
      </w:r>
    </w:p>
    <w:p>
      <w:pPr>
        <w:spacing w:after="0" w:line="90"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Equity securities primarily consist of seed investments in Asset Management products, which in turn invest in marketable equity securities of large-, mid-and small-cap domestic, international and global companies and include investments in public and private asset management funds managed by LAM. Hedging strategies are employed to attempt to reduce market risk, and, in turn, the volatility to earnings. In addition, equity securities include amounts relating to Lazard Fund Interests awards and other similar deferred compensation arrangements (see (a) above).</w:t>
      </w:r>
    </w:p>
    <w:p>
      <w:pPr>
        <w:spacing w:after="0" w:line="31" w:lineRule="exact"/>
        <w:rPr>
          <w:rFonts w:ascii="Arial" w:cs="Arial" w:eastAsia="Arial" w:hAnsi="Arial"/>
          <w:sz w:val="16"/>
          <w:szCs w:val="16"/>
          <w:color w:val="auto"/>
        </w:rPr>
      </w:pPr>
    </w:p>
    <w:p>
      <w:pPr>
        <w:ind w:left="460" w:right="220"/>
        <w:spacing w:after="0" w:line="259" w:lineRule="auto"/>
        <w:rPr>
          <w:rFonts w:ascii="Arial" w:cs="Arial" w:eastAsia="Arial" w:hAnsi="Arial"/>
          <w:sz w:val="16"/>
          <w:szCs w:val="16"/>
          <w:color w:val="auto"/>
        </w:rPr>
      </w:pPr>
      <w:r>
        <w:rPr>
          <w:rFonts w:ascii="Arial" w:cs="Arial" w:eastAsia="Arial" w:hAnsi="Arial"/>
          <w:sz w:val="18"/>
          <w:szCs w:val="18"/>
          <w:color w:val="auto"/>
        </w:rPr>
        <w:t>At September 30, 2012 and December 31, 2011, investments in asset management funds, including amounts related to both seed investments and Lazard Fund Interests, represented 80% and 79%, respectively, of total equity securities. The remaining 20% and 21% at such respective dates represented investments in marketable equity securities, which were invested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80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Energy</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02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0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020" w:type="dxa"/>
            <w:vAlign w:val="bottom"/>
          </w:tcPr>
          <w:p>
            <w:pPr>
              <w:ind w:left="1480"/>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Comprised principally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(iii) Senior Housing, which targets controlling interests in companies and assets in senior housing, extended stay and shopping center sectors, (iv) Edgewater Growth Capital Partners III, L.P., a private equity fund primarily making growth equity and buyout investments in high-quality, lower middle market companies and (v) COF 2, a Lazard-managed Australian private equity fund targeting Australasian mid-market investments.</w:t>
      </w:r>
    </w:p>
    <w:p>
      <w:pPr>
        <w:spacing w:after="0" w:line="39" w:lineRule="exact"/>
        <w:rPr>
          <w:rFonts w:ascii="Arial" w:cs="Arial" w:eastAsia="Arial" w:hAnsi="Arial"/>
          <w:sz w:val="16"/>
          <w:szCs w:val="16"/>
          <w:color w:val="auto"/>
        </w:rPr>
      </w:pPr>
    </w:p>
    <w:p>
      <w:pPr>
        <w:ind w:left="460" w:right="14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Fixed income funds primarily consist of seed investments in Asset Management products which invest in fixed income securities. Hedging strategies are employed to attempt to reduce market risk and, in turn, the volatility to earnings. In addition, fixed income funds include amounts relating to Lazard Fund Interests (see (a) above).</w:t>
      </w:r>
    </w:p>
    <w:p>
      <w:pPr>
        <w:spacing w:after="0" w:line="59"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2012 and December 31, 2011, $121 million and $133 million, respectively, of our total investments at a fair value of $425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$351 million, respectively, or 28% and 38%, respectively, were classified as Level 3 assets. Substantially all of our Level 3 investments in both periods are priced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a NAV or its equivalent. During the nine month periods ended September 30, 2012 and 2011, gains of approximately $12 million and $3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were recognized in “revenue-other” on the condensed consolidated statements of operations pertaining to Level 3 investments.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 in our Form 10-K.</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59" w:lineRule="exact"/>
        <w:rPr>
          <w:sz w:val="20"/>
          <w:szCs w:val="20"/>
          <w:color w:val="auto"/>
        </w:rPr>
      </w:pPr>
    </w:p>
    <w:p>
      <w:pPr>
        <w:ind w:left="1480" w:right="20" w:hanging="446"/>
        <w:spacing w:after="0" w:line="256"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80" w:hanging="446"/>
        <w:spacing w:after="0" w:line="332" w:lineRule="auto"/>
        <w:tabs>
          <w:tab w:leader="none" w:pos="1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w:t>
      </w:r>
      <w:r>
        <w:rPr>
          <w:rFonts w:ascii="Arial" w:cs="Arial" w:eastAsia="Arial" w:hAnsi="Arial"/>
          <w:sz w:val="18"/>
          <w:szCs w:val="18"/>
          <w:i w:val="1"/>
          <w:iCs w:val="1"/>
          <w:color w:val="auto"/>
        </w:rPr>
        <w:t>Investments</w:t>
      </w:r>
      <w:r>
        <w:rPr>
          <w:rFonts w:ascii="Arial" w:cs="Arial" w:eastAsia="Arial" w:hAnsi="Arial"/>
          <w:sz w:val="18"/>
          <w:szCs w:val="18"/>
          <w:color w:val="auto"/>
        </w:rPr>
        <w:t>”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September 30, 2012, total receivables amounted to $684 million, net of an allowance for doubtful accounts of $22 million. As of that date, Financial Advisory and Asset Management fees, customer and related party receivables comprised 57%, 12% and 31% of total receivables, respectively. At December 31, 2011, total receivables amounted to $691 million, net of an allowance for doubtful accounts of $19 million. As of that date, Financial Advisory and Asset Management fees, customer and related party receivables comprised 58%, 12% and 30% of total receivables, respectively. At September 30, 2012 and December 31, 2011, the Company had receivables past due of approximately $26 million and $23 million, respectively. See also “Critical Accounting Policies and Estimates—</w:t>
      </w:r>
      <w:r>
        <w:rPr>
          <w:rFonts w:ascii="Arial" w:cs="Arial" w:eastAsia="Arial" w:hAnsi="Arial"/>
          <w:sz w:val="15"/>
          <w:szCs w:val="15"/>
          <w:i w:val="1"/>
          <w:iCs w:val="1"/>
          <w:color w:val="auto"/>
        </w:rPr>
        <w:t>Revenue Recognition</w:t>
      </w:r>
      <w:r>
        <w:rPr>
          <w:rFonts w:ascii="Arial" w:cs="Arial" w:eastAsia="Arial" w:hAnsi="Arial"/>
          <w:sz w:val="15"/>
          <w:szCs w:val="15"/>
          <w:color w:val="auto"/>
        </w:rPr>
        <w:t>” above and Note 3 of Notes to Condensed Consolidated Financial Statements for additional information regarding receivables.</w:t>
      </w:r>
    </w:p>
    <w:p>
      <w:pPr>
        <w:spacing w:after="0" w:line="10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LFB engages in lending activities, including commitments to extend credit. At September 30, 2012 and December 31, 2011, customer receivables included $24 million and $29 million of LFB loans, respectively.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loans are closely monitored for counterparty creditworthiness to help minimize exposure. In addition, as of September 30, 2012, LFB had commitments to lend totaling $22 million, which are fully collateralized and generally contain requirements for the counterparty to maintain a minimum collateral level.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To reduce the exposure to concentrations of credit, the Company monitors large exposures to individual counterparties and, in addition, LFB has in place concentration risk limits. At September 30, 2012, excluding inter-bank counterparties, LFB had no exposure to an individual counterparty that exceeded</w:t>
      </w:r>
    </w:p>
    <w:p>
      <w:pPr>
        <w:ind w:right="420"/>
        <w:spacing w:after="0" w:line="261" w:lineRule="auto"/>
        <w:rPr>
          <w:sz w:val="20"/>
          <w:szCs w:val="20"/>
          <w:color w:val="auto"/>
        </w:rPr>
      </w:pPr>
      <w:r>
        <w:rPr>
          <w:rFonts w:ascii="Arial" w:cs="Arial" w:eastAsia="Arial" w:hAnsi="Arial"/>
          <w:sz w:val="18"/>
          <w:szCs w:val="18"/>
          <w:color w:val="auto"/>
        </w:rPr>
        <w:t>$22 million, with such amount being fully collateralized. With respect to activities outside LFB, as of September 30, 2012, the Company’s largest individual counterparty exposure was a Financial Advisory fee receivable of $18 million.</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At September 30, 2012 and December 31, 2011, such derivative contracts are recorded at fair value. Derivative assets amounted to $46 thousand and $7 million at September 30, 2012 and December 31, 2011, respectively, and derivative liabilities, excluding the derivative liability arising from the Company’s obligation with respect to Lazard Fund Interests and other similar deferred compensation arrangements, amounted to $10 million and $1 million at such respective dates.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$91 million and $30 million at September 30, 2012 and December 31, 2011, respectively.</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September 30, 2012, the impact of potential significant movements in either the currency or interest rate markets on LFB’s positions would not materially affect the Company’s annual operating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September 30, 2012, Lazard estimates that its annual operating income relating to cash and short-term investments and corporate indebtedness would increase by approximately $8 million in the event interest rates were to increase by 1% and decrease by approximately $2 million if rates were to decrease by 1%.</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September 30, 2012, the Company’s cash and cash equivalents totaled approximately $822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various levels of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Lazard Ltd’s Quarterly Report</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20" w:type="dxa"/>
            <w:vAlign w:val="bottom"/>
          </w:tcPr>
          <w:p>
            <w:pPr>
              <w:ind w:left="260"/>
              <w:spacing w:after="0"/>
              <w:rPr>
                <w:sz w:val="20"/>
                <w:szCs w:val="20"/>
                <w:color w:val="auto"/>
              </w:rPr>
            </w:pPr>
            <w:r>
              <w:rPr>
                <w:rFonts w:ascii="Arial" w:cs="Arial" w:eastAsia="Arial" w:hAnsi="Arial"/>
                <w:sz w:val="18"/>
                <w:szCs w:val="18"/>
                <w:color w:val="auto"/>
                <w:w w:val="88"/>
              </w:rPr>
              <w:t>Amendment No. 1 to the Operating Agreement of Lazard Group LLC, dated as of December 19, 2005 (incorporated by reference to Exhibit 3.01 to</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the Registrant’s Current Report on Form 8-K (File No. 333- 126751)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Indenture, dated as of May 10, 2005, by and between the Registrant and The Bank of New York, as Trustee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the Registrant and The Bank of New York, as</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trustee (and incorporated by reference to Exhibit 4.1 to the Registrants’ Current Report on Form 8-K (Commission File No. 333-126751) filed on</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260"/>
              <w:spacing w:after="0"/>
              <w:rPr>
                <w:sz w:val="20"/>
                <w:szCs w:val="20"/>
                <w:color w:val="auto"/>
              </w:rPr>
            </w:pPr>
            <w:r>
              <w:rPr>
                <w:rFonts w:ascii="Arial" w:cs="Arial" w:eastAsia="Arial" w:hAnsi="Arial"/>
                <w:sz w:val="18"/>
                <w:szCs w:val="18"/>
                <w:color w:val="auto"/>
              </w:rPr>
              <w:t>Form of Senior Note (included in Exhibit 4.2).</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$546 million, 7.125% Senior Notes Due 2015, issued by the Registrant (incorporated by reference to Exhibit 4.5 to the Registrant’s Quarterly</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Report (File No. 333- 126751) on Form 10-Q filed on November 14,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Master Separation Agreement, dated as of May 10, 2005, by and among the Registrant, Lazard Ltd, LAZ-MD Holdings LLC and LFCM Holdings</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LLC (incorporated by reference to Exhibit 2.1 to Lazard Ltd’s Quarterly 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Amendment No. 1, dated as of November 6, 2006, to the Master Separation Agreement, dated as of May 10, 2005, by and among to Registrant,</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Lazard Ltd and LAZ-MD Holdings LLC (incorporated by reference to Exhibit 10.2 to the Registrant’s Quarterly Report (File No. 333-126751) on</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Form 10-Q filed on November 7, 2006).</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26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Registrant, Lazard Ltd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(File No. 333-126751)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10.4</w:t>
            </w:r>
          </w:p>
        </w:tc>
        <w:tc>
          <w:tcPr>
            <w:tcW w:w="10620" w:type="dxa"/>
            <w:vAlign w:val="bottom"/>
          </w:tcPr>
          <w:p>
            <w:pPr>
              <w:ind w:left="26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 No.</w:t>
            </w:r>
          </w:p>
        </w:tc>
      </w:tr>
      <w:tr>
        <w:trPr>
          <w:trHeight w:val="222"/>
        </w:trPr>
        <w:tc>
          <w:tcPr>
            <w:tcW w:w="78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333-121407) on Form S-1 filed on December 17, 2004).</w:t>
            </w:r>
          </w:p>
        </w:tc>
      </w:tr>
      <w:tr>
        <w:trPr>
          <w:trHeight w:val="378"/>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Lazard Ltd and certain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members of LAZ-MD Holdings LLC (incorporated by reference to Exhibit 10.4 to the Registrant’s Quarterly Report (File No. 333-126751) 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Form 10-Q filed on November 7, 2006).</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First Amendment, dated as of May 7, 2008, to the Amended and Restated Stockholders’ Agreement dated as of November 6, 2006, between LAZ-</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MD Holdings LLC and Lazard Ltd (incorporated by reference to Exhibit 10.6 to the Registrant’s Quarterly Report (File No. 333-126751) on Form</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10-Q filed on May 9, 2008).</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Employee Benefits Agreement, dated as of May 10, 2005, by and among the Registrant, Lazard Ltd, LAZ-MD Holdings LLC and LFCM Holdings</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LLC (incorporated by reference to Exhibit 10.4 to Lazard Ltd’s Quarterly Report (File No. 001-32492) on Form 10-Q filed on June 16, 2005).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Insurance Matters Agreement, dated as of May 10, 2005, by and between Lazard Group LLC and LFCM Holdings LLC (incorporated by reference</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to Exhibit 10.5 to Lazard Ltd’s Quarterly Report (File No. 001-32492) on Form 10-Q filed on June 16, 2005).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License Agreement, dated as of May 10, 2005, by and among Lazard Strategic Coordination Company LLC, Lazard Frères &amp; Co LLC, Lazard</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3"/>
              </w:rPr>
              <w:t>Frères S.A.S., Lazard &amp; Co., Holdings Limited and LFCM Holdings LLC (incorporated by reference to Exhibit 10.6 to Lazard Ltd’s Quarterly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Administrative Services Agreement, dated as of May 10, 2005, by and among LAZ-MD Holdings LLC, LFCM Holdings LLC and the Registrant</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6"/>
              </w:rPr>
              <w:t>(incorporated by reference to Exhibit 10.7 to Lazard Ltd’s Quarterly Report (File No. 001-32492) on Form 10-Q filed on June 16, 2005).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Business Alliance Agreement, dated as of May 10, 2005, by and between the Registrant and LFCM Holdings LLC (incorporated by reference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Exhibit 10.8 to Lazard Ltd’s Quarterly Report (File No. 001-32492) on Form 10-Q filed on June 16, 2005).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Amendment and Consent, dated February 9, 2009, to the Business Alliance Agreement, dated as of May 10, 2005, by and between the Registrant</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1"/>
              </w:rPr>
              <w:t>and LFCM Holdings LLC (incorporated by reference to Exhibit 10.12 to Lazard Ltd’s Annual Report (File No. 001-32492) on Form 10-K filed on</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March 2, 2009).</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Amended and Restated Operating Agreement of Lazard Strategic Coordination Company LLC, dated as of January 1, 2002 (incorporated by</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8"/>
              </w:rPr>
              <w:t>reference to Exhibit 10.16 to Lazard Ltd’s Registration Statement (File No. 333-121407) on Form S-1/A filed on February 11, 2005).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Lease, dated as of January 27, 1994, by and between Rockefeller Center Properties and Lazard Frères &amp; Co. LLC (incorporated by reference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Amendment dated as of February 16, 2001, by and among RCPI Landmark Properties, L.L.C. (as the successor in interest to Rockefeller Center</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8"/>
              </w:rPr>
              <w:t>Properties), RCPI 30 Rock 22234849, L.L.C. and Lazard Group LLC (as the successor in interest to Lazard Frères &amp; Co. LLC), to the Lease dated</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89"/>
              </w:rPr>
              <w:t>as of January 27, 1994, by and among Rockefeller Center Properties and Lazard Frères &amp; Co. LLC (incorporated by reference to Exhibit 10.15 to</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the Registrant’s Quarterly Report (File No. 333-126751) on Form 10-Q filed on April 29, 2011).</w:t>
            </w:r>
          </w:p>
        </w:tc>
      </w:tr>
      <w:tr>
        <w:trPr>
          <w:trHeight w:val="331"/>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320"/>
              <w:spacing w:after="0"/>
              <w:rPr>
                <w:sz w:val="20"/>
                <w:szCs w:val="20"/>
                <w:color w:val="auto"/>
              </w:rPr>
            </w:pPr>
            <w:r>
              <w:rPr>
                <w:rFonts w:ascii="Arial" w:cs="Arial" w:eastAsia="Arial" w:hAnsi="Arial"/>
                <w:sz w:val="18"/>
                <w:szCs w:val="18"/>
                <w:color w:val="auto"/>
                <w:w w:val="92"/>
              </w:rPr>
              <w:t>Lease with an Option to Purchase, dated as of July 11, 1990, by and between Sicomibail and Finabail and SCI du 121 Boulevard Hausmann</w:t>
            </w:r>
          </w:p>
        </w:tc>
      </w:tr>
      <w:tr>
        <w:trPr>
          <w:trHeight w:val="216"/>
        </w:trPr>
        <w:tc>
          <w:tcPr>
            <w:tcW w:w="72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w w:val="90"/>
              </w:rPr>
              <w:t>(English translation) (incorporated by reference to Exhibit 10.20 to the Lazard Ltd’s Registration Statement (File No. 333-121407) on Form S-1/A</w:t>
            </w:r>
          </w:p>
        </w:tc>
      </w:tr>
      <w:tr>
        <w:trPr>
          <w:trHeight w:val="222"/>
        </w:trPr>
        <w:tc>
          <w:tcPr>
            <w:tcW w:w="72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8"/>
                <w:szCs w:val="18"/>
                <w:color w:val="auto"/>
              </w:rPr>
              <w:t>filed on February 11, 2005).</w:t>
            </w:r>
          </w:p>
        </w:tc>
      </w:tr>
      <w:tr>
        <w:trPr>
          <w:trHeight w:val="378"/>
        </w:trPr>
        <w:tc>
          <w:tcPr>
            <w:tcW w:w="720" w:type="dxa"/>
            <w:vAlign w:val="bottom"/>
          </w:tcPr>
          <w:p>
            <w:pPr>
              <w:spacing w:after="0"/>
              <w:rPr>
                <w:sz w:val="24"/>
                <w:szCs w:val="24"/>
                <w:color w:val="auto"/>
              </w:rPr>
            </w:pPr>
          </w:p>
        </w:tc>
        <w:tc>
          <w:tcPr>
            <w:tcW w:w="10680" w:type="dxa"/>
            <w:vAlign w:val="bottom"/>
          </w:tcPr>
          <w:p>
            <w:pPr>
              <w:ind w:left="490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620" w:type="dxa"/>
            <w:vAlign w:val="bottom"/>
          </w:tcPr>
          <w:p>
            <w:pPr>
              <w:ind w:left="280"/>
              <w:spacing w:after="0"/>
              <w:rPr>
                <w:sz w:val="20"/>
                <w:szCs w:val="20"/>
                <w:color w:val="auto"/>
              </w:rPr>
            </w:pPr>
            <w:r>
              <w:rPr>
                <w:rFonts w:ascii="Arial" w:cs="Arial" w:eastAsia="Arial" w:hAnsi="Arial"/>
                <w:sz w:val="18"/>
                <w:szCs w:val="18"/>
                <w:color w:val="auto"/>
              </w:rPr>
              <w:t>Occupational Lease, dated as of August 9, 2002, by and among Burford (Stratton)</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Nominee 1 Limited, Burford (Stratton) Nominee 2 Limited, Burford (Stratton) Limited, Lazard &amp; Co., Limited and Lazard LLC (incorporated by</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8"/>
              </w:rPr>
              <w:t>reference to Exhibit 10.21 to Lazard Ltd’s Registration Statement (File No. 333-121407) on Form S-1/A filed on February 11, 2005).</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Lazard Ltd’s 2005 Equity Incentive Plan (incorporated by reference to Exhibit 10.21 to Lazard Ltd’s Registration Statement (File No. 333-121407)</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on Form S-1/A filed on May 2,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Lazard Ltd’s 2008 Incentive Compensation Plan (incorporated by reference to Annex B to Lazard Ltd’s Definitive Proxy Statement on Schedule</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14A (File No. 001-32492) filed on March 24, 2008).</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Lazard Ltd’s 2005 Bonus Plan (incorporated by reference to Exhibit 10.23 to Lazard Ltd’s Registration Statement (File No. 333-121407) on Form</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S-1/A filed on March 21, 2005).</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Form of Agreement Relating to Retention and Noncompetition and Other Covenants, dated as of May 4, 2005, applicable to, and related Schedule</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I for each of Michael J. Castellano and Scott D. Hoffman (incorporated by reference to Exhibit 10.26 to Lazard Ltd’s Quarterly Report (File No.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001-32492) on Form 10-Q filed on June 16, 2005).</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Form of First Amendment, dated as of May 7, 2008, to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May 4, 2005, for each of Michael J. Castellano and Scott D. Hoffman (incorporated by reference to Exhibit 10.2 to the Registrant’s Current Report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on Form 8-K (File No. 333-126751) filed on May 9, 2008).</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May 4, 2005 (as amended from time to time), for Michael J. Castellano (incorporated by reference to Exhibit 10.26 to Registrant’s Annual Report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(File No. 333-126751) on Form 10-K filed on March 2, 2009).</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10620" w:type="dxa"/>
            <w:vAlign w:val="bottom"/>
          </w:tcPr>
          <w:p>
            <w:pPr>
              <w:ind w:left="2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3"/>
              </w:rPr>
              <w:t>May 4, 2005 and amended as of May 7, 2008, for Scott D. Hoffman (incorporated by reference to Exhibit 10.24 to the Registrant’s Quarterly</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Form of Agreement Relating to Retention and Noncompetition and Other Covenants (incorporated by reference to Exhibit 10.27 to Lazard Ltd’s</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Registration Statement (File No. 333-121407) on Form S-1/A filed on April 11, 2005).</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Agreement Relating to Retention and Noncompetition and Other Covenants, dated as of October 4, 2004, by and between the Registrant and</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Alexander F. Stern (incorporated by reference to Exhibit 10.28 to Registrant’s Annual Report (File No. 333-126751) on Form 10-K filed on March</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2, 2009).</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First Amendment, dated as of March 23, 2010,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 333-</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126751) filed on March 23, 2010).</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Agreement Relating to Retention and Noncompetition and Other Covenants, dated as of March 18, 2005, by and between the Registrant and</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Kenneth M. Jacobs (incorporated by reference to Exhibit 10.29 to the Registrant’s Annual Report on Form 10-K (File No. 333-126751) filed on</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March 1, 2010).</w:t>
            </w: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First Amendment, dated as of March 23, 2010, to the Agreement Relating to Retention and Noncompetition and Other Covenants,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 333-</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126751) filed on March 23, 2010).</w:t>
            </w:r>
          </w:p>
        </w:tc>
      </w:tr>
      <w:tr>
        <w:trPr>
          <w:trHeight w:val="378"/>
        </w:trPr>
        <w:tc>
          <w:tcPr>
            <w:tcW w:w="760" w:type="dxa"/>
            <w:vAlign w:val="bottom"/>
          </w:tcPr>
          <w:p>
            <w:pPr>
              <w:spacing w:after="0"/>
              <w:rPr>
                <w:sz w:val="24"/>
                <w:szCs w:val="24"/>
                <w:color w:val="auto"/>
              </w:rPr>
            </w:pPr>
          </w:p>
        </w:tc>
        <w:tc>
          <w:tcPr>
            <w:tcW w:w="10620" w:type="dxa"/>
            <w:vAlign w:val="bottom"/>
          </w:tcPr>
          <w:p>
            <w:pPr>
              <w:ind w:left="486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the Registrant and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 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April 29,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First Amendment, dated as of April 1, 2011,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October 4, 2004, between the Registrant and Matthieu Bucaille (incorporated by reference to Exhibit 10.31 to the Registrant’s Quarterly Report</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Amended and Restated Letter Agreement, effective as of January 1, 2004, between Vernon E. Jordan, Jr. and Lazard Fréres &amp; Co. LLC</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10.28 to 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Acknowledgement Letter, dated as of November 6, 2006 from the Registrant to certain managing directors of the Registrant modifying the terms</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7"/>
              </w:rPr>
              <w:t>of the retention agreements of persons party to the Amended and Restated Stockholders’ Agreement, dated as of November 6, 2006 (incorporated</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8"/>
              </w:rPr>
              <w:t>by reference to Exhibit 10.23 to the Registrant’s Quarterly Report (File No. 333-126751) on Form 10-Q filed on November 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reference to Exhibit 10.27 to Lazard Ltd’s Registration Statement (File No. 333-121407) on Form S-l/A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Registration Rights Agreement, dated as of May 10, 2005, by and among Lazard Group Finance LLC, the Registrant, Lazard Ltd and IXIS</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Corporate and Investment Bank (incorporated by reference to Exhibit 10.30 to Lazard Ltd’s Quarterly Report (File No. 001-32492) on Form 10-</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Form of Award Letter for Annual Grant of Deferred Stock Units to Non-Executive Directors (incorporated by reference to Exhibit 99.1 to Lazard</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Form of Agreement evidencing a grant of Restricted Stock Units to Executive Officers under the 2005 Equity Incentive Plan (incorporated by</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10.41 to Lazard Ltd’s Annual Report (File No. 001-32492)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Form of Agreement evidencing a grant of Deferred Cash Award to Executive Officers under the 2008 Incentive Compensation Plan (incorporated</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by reference to Exhibit 10.42 to Lazard Ltd’s Annual Report (File No. 001-32492)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Directors’ Fee Deferral Unit Plan (incorporated by reference to Exhibit 10.39 to Lazard Ltd’s Quarterly Report (File No. 001-32492) on Form 10-</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Q filed on May 11,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First Amended Form of Agreement evidencing a grant of Restricted Stock Units to Executive Officers under the 2005 Equity Incentive Plan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10.43 to Lazard Ltd’s Annual Report (File No. 001-32492) on Form 10-K filed on March 1, 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Agreement and Plan of Merger, dated as of August 14, 2008, by and among Lazard Ltd, LAZ Sub I, Lazard Asset Management LLC and Lazard</w:t>
            </w:r>
          </w:p>
        </w:tc>
      </w:tr>
      <w:tr>
        <w:trPr>
          <w:trHeight w:val="216"/>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Asset Management Limited (incorporated by reference to Exhibit 2.1 to Lazard Ltd’s Current Report on Form 8-K (File No. 001-32492) filed 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August 15, 2008).</w:t>
            </w:r>
          </w:p>
        </w:tc>
      </w:tr>
      <w:tr>
        <w:trPr>
          <w:trHeight w:val="365"/>
        </w:trPr>
        <w:tc>
          <w:tcPr>
            <w:tcW w:w="82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10.44*</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Letter Agreement regarding employment dated as of April 21, 2010 between Lazard Group LLC and Gary W. Parr (incorporated by reference</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to Exhibit 10.52 to the Registrant’s Quarterly Report (File No. 333-126751) on Form 10-Q filed on April 30,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10.45*</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Amendment, dated as of February 27, 2012 to Letter Agreement regarding employment, dated as of April 21, 2010, between Lazard Group</w:t>
            </w:r>
          </w:p>
        </w:tc>
      </w:tr>
      <w:tr>
        <w:trPr>
          <w:trHeight w:val="216"/>
        </w:trPr>
        <w:tc>
          <w:tcPr>
            <w:tcW w:w="10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LLC and Gary W. Parr (incorporated by reference to Exhibit 10.45 to the Registrant’s Quarterly Report (File No. 333-126751) on Form 10-Q</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filed May 2, 2012).</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10.46</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Senior Revolving Credit Agreement, dated as of September 25, 2012, among the Registrant, the Banks from time to time parties thereto, and</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Citibank, N.A., as Administrative Agent.</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10.47*</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Form of Agreement evidencing a grant of Restricted Stock under the 2008 Incentive Compensation Plan (incorporated by reference to Exhibit</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10.48*</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grant of Lazard Fund Interests under the 2008 Incentive Compensation Plan (incorporated by reference to</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10.49*</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10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(File No. 333-126751) on Form 10-Q filed on May 2, 2012).</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10.50*</w:t>
            </w:r>
          </w:p>
        </w:tc>
        <w:tc>
          <w:tcPr>
            <w:tcW w:w="10380" w:type="dxa"/>
            <w:vAlign w:val="bottom"/>
          </w:tcPr>
          <w:p>
            <w:pPr>
              <w:ind w:left="36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10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10.51*</w:t>
            </w:r>
          </w:p>
        </w:tc>
        <w:tc>
          <w:tcPr>
            <w:tcW w:w="10380" w:type="dxa"/>
            <w:vAlign w:val="bottom"/>
          </w:tcPr>
          <w:p>
            <w:pPr>
              <w:ind w:left="36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22"/>
        </w:trPr>
        <w:tc>
          <w:tcPr>
            <w:tcW w:w="10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of March 18, 2005, and amended on March 23, 2010, among the Registrant, Lazard Ltd and Kenneth M. Jacobs.</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12.1</w:t>
            </w:r>
          </w:p>
        </w:tc>
        <w:tc>
          <w:tcPr>
            <w:tcW w:w="1038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36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36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36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380" w:type="dxa"/>
            <w:vAlign w:val="bottom"/>
          </w:tcPr>
          <w:p>
            <w:pPr>
              <w:ind w:left="360"/>
              <w:spacing w:after="0"/>
              <w:rPr>
                <w:sz w:val="20"/>
                <w:szCs w:val="20"/>
                <w:color w:val="auto"/>
              </w:rPr>
            </w:pPr>
            <w:r>
              <w:rPr>
                <w:rFonts w:ascii="Arial" w:cs="Arial" w:eastAsia="Arial" w:hAnsi="Arial"/>
                <w:sz w:val="18"/>
                <w:szCs w:val="18"/>
                <w:color w:val="auto"/>
              </w:rPr>
              <w:t>Section 1350 Certification for Matthieu Bucaile.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1301115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$150,000,000</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Several Banks from Time to Time Parties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Dated as of September 25,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Lead Arranger</w:t>
      </w:r>
    </w:p>
    <w:p>
      <w:pPr>
        <w:sectPr>
          <w:pgSz w:w="11900" w:h="16838" w:orient="portrait"/>
          <w:cols w:equalWidth="0" w:num="1">
            <w:col w:w="10220"/>
          </w:cols>
          <w:pgMar w:left="1440" w:top="125" w:right="239" w:bottom="1440" w:gutter="0" w:footer="0" w:header="0"/>
        </w:sectPr>
      </w:pPr>
    </w:p>
    <w:bookmarkStart w:id="80" w:name="page81"/>
    <w:bookmarkEnd w:id="8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860" w:type="dxa"/>
            <w:vAlign w:val="bottom"/>
            <w:vMerge w:val="restart"/>
          </w:tcPr>
          <w:p>
            <w:pPr>
              <w:ind w:left="280"/>
              <w:spacing w:after="0"/>
              <w:rPr>
                <w:sz w:val="20"/>
                <w:szCs w:val="20"/>
                <w:color w:val="auto"/>
              </w:rPr>
            </w:pPr>
            <w:r>
              <w:rPr>
                <w:rFonts w:ascii="Arial" w:cs="Arial" w:eastAsia="Arial" w:hAnsi="Arial"/>
                <w:sz w:val="18"/>
                <w:szCs w:val="18"/>
                <w:color w:val="auto"/>
              </w:rPr>
              <w:t>DEFINITIONS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80" w:type="dxa"/>
            <w:vAlign w:val="bottom"/>
            <w:vMerge w:val="continue"/>
          </w:tcPr>
          <w:p>
            <w:pPr>
              <w:spacing w:after="0"/>
              <w:rPr>
                <w:sz w:val="17"/>
                <w:szCs w:val="17"/>
                <w:color w:val="auto"/>
              </w:rPr>
            </w:pPr>
          </w:p>
        </w:tc>
        <w:tc>
          <w:tcPr>
            <w:tcW w:w="9860" w:type="dxa"/>
            <w:vAlign w:val="bottom"/>
            <w:vMerge w:val="continue"/>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1.1</w:t>
            </w:r>
          </w:p>
        </w:tc>
        <w:tc>
          <w:tcPr>
            <w:tcW w:w="9860" w:type="dxa"/>
            <w:vAlign w:val="bottom"/>
          </w:tcPr>
          <w:p>
            <w:pPr>
              <w:ind w:left="28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180" w:type="dxa"/>
            <w:vAlign w:val="bottom"/>
          </w:tcPr>
          <w:p>
            <w:pPr>
              <w:ind w:left="440"/>
              <w:spacing w:after="0"/>
              <w:rPr>
                <w:sz w:val="20"/>
                <w:szCs w:val="20"/>
                <w:color w:val="auto"/>
              </w:rPr>
            </w:pPr>
            <w:r>
              <w:rPr>
                <w:rFonts w:ascii="Arial" w:cs="Arial" w:eastAsia="Arial" w:hAnsi="Arial"/>
                <w:sz w:val="18"/>
                <w:szCs w:val="18"/>
                <w:color w:val="auto"/>
              </w:rPr>
              <w:t>1.2</w:t>
            </w:r>
          </w:p>
        </w:tc>
        <w:tc>
          <w:tcPr>
            <w:tcW w:w="9860" w:type="dxa"/>
            <w:vAlign w:val="bottom"/>
          </w:tcPr>
          <w:p>
            <w:pPr>
              <w:ind w:left="280"/>
              <w:spacing w:after="0"/>
              <w:rPr>
                <w:sz w:val="20"/>
                <w:szCs w:val="20"/>
                <w:color w:val="auto"/>
              </w:rPr>
            </w:pPr>
            <w:r>
              <w:rPr>
                <w:rFonts w:ascii="Arial" w:cs="Arial" w:eastAsia="Arial" w:hAnsi="Arial"/>
                <w:sz w:val="18"/>
                <w:szCs w:val="18"/>
                <w:color w:val="auto"/>
              </w:rPr>
              <w:t>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SECTION 2.</w:t>
            </w:r>
          </w:p>
        </w:tc>
        <w:tc>
          <w:tcPr>
            <w:tcW w:w="9860" w:type="dxa"/>
            <w:vAlign w:val="bottom"/>
          </w:tcPr>
          <w:p>
            <w:pPr>
              <w:ind w:left="280"/>
              <w:spacing w:after="0"/>
              <w:rPr>
                <w:sz w:val="20"/>
                <w:szCs w:val="20"/>
                <w:color w:val="auto"/>
              </w:rPr>
            </w:pPr>
            <w:r>
              <w:rPr>
                <w:rFonts w:ascii="Arial" w:cs="Arial" w:eastAsia="Arial" w:hAnsi="Arial"/>
                <w:sz w:val="18"/>
                <w:szCs w:val="18"/>
                <w:color w:val="auto"/>
              </w:rPr>
              <w:t>AMOUNT AND TERMS OF LOAN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w:t>
            </w:r>
          </w:p>
        </w:tc>
        <w:tc>
          <w:tcPr>
            <w:tcW w:w="9860" w:type="dxa"/>
            <w:vAlign w:val="bottom"/>
          </w:tcPr>
          <w:p>
            <w:pPr>
              <w:ind w:left="280"/>
              <w:spacing w:after="0"/>
              <w:rPr>
                <w:sz w:val="20"/>
                <w:szCs w:val="20"/>
                <w:color w:val="auto"/>
              </w:rPr>
            </w:pPr>
            <w:r>
              <w:rPr>
                <w:rFonts w:ascii="Arial" w:cs="Arial" w:eastAsia="Arial" w:hAnsi="Arial"/>
                <w:sz w:val="18"/>
                <w:szCs w:val="18"/>
                <w:color w:val="auto"/>
              </w:rPr>
              <w:t>Loans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2.2</w:t>
            </w:r>
          </w:p>
        </w:tc>
        <w:tc>
          <w:tcPr>
            <w:tcW w:w="9860" w:type="dxa"/>
            <w:vAlign w:val="bottom"/>
          </w:tcPr>
          <w:p>
            <w:pPr>
              <w:ind w:left="280"/>
              <w:spacing w:after="0"/>
              <w:rPr>
                <w:sz w:val="20"/>
                <w:szCs w:val="20"/>
                <w:color w:val="auto"/>
              </w:rPr>
            </w:pPr>
            <w:r>
              <w:rPr>
                <w:rFonts w:ascii="Arial" w:cs="Arial" w:eastAsia="Arial" w:hAnsi="Arial"/>
                <w:sz w:val="18"/>
                <w:szCs w:val="18"/>
                <w:color w:val="auto"/>
              </w:rPr>
              <w:t>Notes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2.3</w:t>
            </w:r>
          </w:p>
        </w:tc>
        <w:tc>
          <w:tcPr>
            <w:tcW w:w="9860" w:type="dxa"/>
            <w:vAlign w:val="bottom"/>
          </w:tcPr>
          <w:p>
            <w:pPr>
              <w:ind w:left="280"/>
              <w:spacing w:after="0"/>
              <w:rPr>
                <w:sz w:val="20"/>
                <w:szCs w:val="20"/>
                <w:color w:val="auto"/>
              </w:rPr>
            </w:pPr>
            <w:r>
              <w:rPr>
                <w:rFonts w:ascii="Arial" w:cs="Arial" w:eastAsia="Arial" w:hAnsi="Arial"/>
                <w:sz w:val="18"/>
                <w:szCs w:val="18"/>
                <w:color w:val="auto"/>
              </w:rPr>
              <w:t>Interest Rates and Interest Payment Dates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2.4</w:t>
            </w:r>
          </w:p>
        </w:tc>
        <w:tc>
          <w:tcPr>
            <w:tcW w:w="9860" w:type="dxa"/>
            <w:vAlign w:val="bottom"/>
          </w:tcPr>
          <w:p>
            <w:pPr>
              <w:ind w:left="28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2.5</w:t>
            </w:r>
          </w:p>
        </w:tc>
        <w:tc>
          <w:tcPr>
            <w:tcW w:w="9860" w:type="dxa"/>
            <w:vAlign w:val="bottom"/>
          </w:tcPr>
          <w:p>
            <w:pPr>
              <w:ind w:left="280"/>
              <w:spacing w:after="0"/>
              <w:rPr>
                <w:sz w:val="20"/>
                <w:szCs w:val="20"/>
                <w:color w:val="auto"/>
              </w:rPr>
            </w:pPr>
            <w:r>
              <w:rPr>
                <w:rFonts w:ascii="Arial" w:cs="Arial" w:eastAsia="Arial" w:hAnsi="Arial"/>
                <w:sz w:val="18"/>
                <w:szCs w:val="18"/>
                <w:color w:val="auto"/>
              </w:rPr>
              <w:t>Computation of Interest and Fees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2.6</w:t>
            </w:r>
          </w:p>
        </w:tc>
        <w:tc>
          <w:tcPr>
            <w:tcW w:w="9860" w:type="dxa"/>
            <w:vAlign w:val="bottom"/>
          </w:tcPr>
          <w:p>
            <w:pPr>
              <w:ind w:left="280"/>
              <w:spacing w:after="0"/>
              <w:rPr>
                <w:sz w:val="20"/>
                <w:szCs w:val="20"/>
                <w:color w:val="auto"/>
              </w:rPr>
            </w:pPr>
            <w:r>
              <w:rPr>
                <w:rFonts w:ascii="Arial" w:cs="Arial" w:eastAsia="Arial" w:hAnsi="Arial"/>
                <w:sz w:val="18"/>
                <w:szCs w:val="18"/>
                <w:color w:val="auto"/>
              </w:rPr>
              <w:t>Procedure for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2.7</w:t>
            </w:r>
          </w:p>
        </w:tc>
        <w:tc>
          <w:tcPr>
            <w:tcW w:w="9860" w:type="dxa"/>
            <w:vAlign w:val="bottom"/>
          </w:tcPr>
          <w:p>
            <w:pPr>
              <w:ind w:left="280"/>
              <w:spacing w:after="0"/>
              <w:rPr>
                <w:sz w:val="20"/>
                <w:szCs w:val="20"/>
                <w:color w:val="auto"/>
              </w:rPr>
            </w:pPr>
            <w:r>
              <w:rPr>
                <w:rFonts w:ascii="Arial" w:cs="Arial" w:eastAsia="Arial" w:hAnsi="Arial"/>
                <w:sz w:val="18"/>
                <w:szCs w:val="18"/>
                <w:color w:val="auto"/>
              </w:rPr>
              <w:t>Conversion and Continuation Options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2.8</w:t>
            </w:r>
          </w:p>
        </w:tc>
        <w:tc>
          <w:tcPr>
            <w:tcW w:w="9860" w:type="dxa"/>
            <w:vAlign w:val="bottom"/>
          </w:tcPr>
          <w:p>
            <w:pPr>
              <w:ind w:left="280"/>
              <w:spacing w:after="0"/>
              <w:rPr>
                <w:sz w:val="20"/>
                <w:szCs w:val="20"/>
                <w:color w:val="auto"/>
              </w:rPr>
            </w:pPr>
            <w:r>
              <w:rPr>
                <w:rFonts w:ascii="Arial" w:cs="Arial" w:eastAsia="Arial" w:hAnsi="Arial"/>
                <w:sz w:val="18"/>
                <w:szCs w:val="18"/>
                <w:color w:val="auto"/>
              </w:rPr>
              <w:t>Termination or Reduction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2.9</w:t>
            </w:r>
          </w:p>
        </w:tc>
        <w:tc>
          <w:tcPr>
            <w:tcW w:w="9860" w:type="dxa"/>
            <w:vAlign w:val="bottom"/>
          </w:tcPr>
          <w:p>
            <w:pPr>
              <w:ind w:left="280"/>
              <w:spacing w:after="0"/>
              <w:rPr>
                <w:sz w:val="20"/>
                <w:szCs w:val="20"/>
                <w:color w:val="auto"/>
              </w:rPr>
            </w:pPr>
            <w:r>
              <w:rPr>
                <w:rFonts w:ascii="Arial" w:cs="Arial" w:eastAsia="Arial" w:hAnsi="Arial"/>
                <w:sz w:val="18"/>
                <w:szCs w:val="18"/>
                <w:color w:val="auto"/>
              </w:rPr>
              <w:t>Optional Prepayments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2.10</w:t>
            </w:r>
          </w:p>
        </w:tc>
        <w:tc>
          <w:tcPr>
            <w:tcW w:w="9860" w:type="dxa"/>
            <w:vAlign w:val="bottom"/>
          </w:tcPr>
          <w:p>
            <w:pPr>
              <w:ind w:left="280"/>
              <w:spacing w:after="0"/>
              <w:rPr>
                <w:sz w:val="20"/>
                <w:szCs w:val="20"/>
                <w:color w:val="auto"/>
              </w:rPr>
            </w:pPr>
            <w:r>
              <w:rPr>
                <w:rFonts w:ascii="Arial" w:cs="Arial" w:eastAsia="Arial" w:hAnsi="Arial"/>
                <w:sz w:val="18"/>
                <w:szCs w:val="18"/>
                <w:color w:val="auto"/>
              </w:rPr>
              <w:t>Pro Rata Treatment and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2.11</w:t>
            </w:r>
          </w:p>
        </w:tc>
        <w:tc>
          <w:tcPr>
            <w:tcW w:w="9860" w:type="dxa"/>
            <w:vAlign w:val="bottom"/>
          </w:tcPr>
          <w:p>
            <w:pPr>
              <w:ind w:left="280"/>
              <w:spacing w:after="0"/>
              <w:rPr>
                <w:sz w:val="20"/>
                <w:szCs w:val="20"/>
                <w:color w:val="auto"/>
              </w:rPr>
            </w:pPr>
            <w:r>
              <w:rPr>
                <w:rFonts w:ascii="Arial" w:cs="Arial" w:eastAsia="Arial" w:hAnsi="Arial"/>
                <w:sz w:val="18"/>
                <w:szCs w:val="18"/>
                <w:color w:val="auto"/>
              </w:rPr>
              <w:t>Non-Receipt of Funds by the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2.12</w:t>
            </w:r>
          </w:p>
        </w:tc>
        <w:tc>
          <w:tcPr>
            <w:tcW w:w="9860" w:type="dxa"/>
            <w:vAlign w:val="bottom"/>
          </w:tcPr>
          <w:p>
            <w:pPr>
              <w:ind w:left="280"/>
              <w:spacing w:after="0"/>
              <w:rPr>
                <w:sz w:val="20"/>
                <w:szCs w:val="20"/>
                <w:color w:val="auto"/>
              </w:rPr>
            </w:pPr>
            <w:r>
              <w:rPr>
                <w:rFonts w:ascii="Arial" w:cs="Arial" w:eastAsia="Arial" w:hAnsi="Arial"/>
                <w:sz w:val="18"/>
                <w:szCs w:val="18"/>
                <w:color w:val="auto"/>
              </w:rPr>
              <w:t>Indemnity</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2.13</w:t>
            </w:r>
          </w:p>
        </w:tc>
        <w:tc>
          <w:tcPr>
            <w:tcW w:w="9860" w:type="dxa"/>
            <w:vAlign w:val="bottom"/>
          </w:tcPr>
          <w:p>
            <w:pPr>
              <w:ind w:left="280"/>
              <w:spacing w:after="0"/>
              <w:rPr>
                <w:sz w:val="20"/>
                <w:szCs w:val="20"/>
                <w:color w:val="auto"/>
              </w:rPr>
            </w:pPr>
            <w:r>
              <w:rPr>
                <w:rFonts w:ascii="Arial" w:cs="Arial" w:eastAsia="Arial" w:hAnsi="Arial"/>
                <w:sz w:val="18"/>
                <w:szCs w:val="18"/>
                <w:color w:val="auto"/>
              </w:rPr>
              <w:t>Capital Adequacy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2.14</w:t>
            </w:r>
          </w:p>
        </w:tc>
        <w:tc>
          <w:tcPr>
            <w:tcW w:w="9860" w:type="dxa"/>
            <w:vAlign w:val="bottom"/>
          </w:tcPr>
          <w:p>
            <w:pPr>
              <w:ind w:left="280"/>
              <w:spacing w:after="0"/>
              <w:rPr>
                <w:sz w:val="20"/>
                <w:szCs w:val="20"/>
                <w:color w:val="auto"/>
              </w:rPr>
            </w:pPr>
            <w:r>
              <w:rPr>
                <w:rFonts w:ascii="Arial" w:cs="Arial" w:eastAsia="Arial" w:hAnsi="Arial"/>
                <w:sz w:val="18"/>
                <w:szCs w:val="18"/>
                <w:color w:val="auto"/>
              </w:rPr>
              <w:t>Inability to Determine Interest Rate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2.15</w:t>
            </w:r>
          </w:p>
        </w:tc>
        <w:tc>
          <w:tcPr>
            <w:tcW w:w="9860" w:type="dxa"/>
            <w:vAlign w:val="bottom"/>
          </w:tcPr>
          <w:p>
            <w:pPr>
              <w:ind w:left="28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2.16</w:t>
            </w:r>
          </w:p>
        </w:tc>
        <w:tc>
          <w:tcPr>
            <w:tcW w:w="9860" w:type="dxa"/>
            <w:vAlign w:val="bottom"/>
          </w:tcPr>
          <w:p>
            <w:pPr>
              <w:ind w:left="280"/>
              <w:spacing w:after="0"/>
              <w:rPr>
                <w:sz w:val="20"/>
                <w:szCs w:val="20"/>
                <w:color w:val="auto"/>
              </w:rPr>
            </w:pPr>
            <w:r>
              <w:rPr>
                <w:rFonts w:ascii="Arial" w:cs="Arial" w:eastAsia="Arial" w:hAnsi="Arial"/>
                <w:sz w:val="18"/>
                <w:szCs w:val="18"/>
                <w:color w:val="auto"/>
              </w:rPr>
              <w:t>Requirements of Law</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2.17</w:t>
            </w:r>
          </w:p>
        </w:tc>
        <w:tc>
          <w:tcPr>
            <w:tcW w:w="9860" w:type="dxa"/>
            <w:vAlign w:val="bottom"/>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2.18</w:t>
            </w:r>
          </w:p>
        </w:tc>
        <w:tc>
          <w:tcPr>
            <w:tcW w:w="9860" w:type="dxa"/>
            <w:vAlign w:val="bottom"/>
          </w:tcPr>
          <w:p>
            <w:pPr>
              <w:ind w:left="280"/>
              <w:spacing w:after="0"/>
              <w:rPr>
                <w:sz w:val="20"/>
                <w:szCs w:val="20"/>
                <w:color w:val="auto"/>
              </w:rPr>
            </w:pPr>
            <w:r>
              <w:rPr>
                <w:rFonts w:ascii="Arial" w:cs="Arial" w:eastAsia="Arial" w:hAnsi="Arial"/>
                <w:sz w:val="18"/>
                <w:szCs w:val="18"/>
                <w:color w:val="auto"/>
              </w:rPr>
              <w:t>Commitment Reductions and Mandatory 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2.19</w:t>
            </w:r>
          </w:p>
        </w:tc>
        <w:tc>
          <w:tcPr>
            <w:tcW w:w="9860" w:type="dxa"/>
            <w:vAlign w:val="bottom"/>
          </w:tcPr>
          <w:p>
            <w:pPr>
              <w:ind w:left="280"/>
              <w:spacing w:after="0"/>
              <w:rPr>
                <w:sz w:val="20"/>
                <w:szCs w:val="20"/>
                <w:color w:val="auto"/>
              </w:rPr>
            </w:pPr>
            <w:r>
              <w:rPr>
                <w:rFonts w:ascii="Arial" w:cs="Arial" w:eastAsia="Arial" w:hAnsi="Arial"/>
                <w:sz w:val="18"/>
                <w:szCs w:val="18"/>
                <w:color w:val="auto"/>
              </w:rPr>
              <w:t>Defaulting Lender</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1180" w:type="dxa"/>
            <w:vAlign w:val="bottom"/>
          </w:tcPr>
          <w:p>
            <w:pPr>
              <w:ind w:left="440"/>
              <w:spacing w:after="0"/>
              <w:rPr>
                <w:sz w:val="20"/>
                <w:szCs w:val="20"/>
                <w:color w:val="auto"/>
              </w:rPr>
            </w:pPr>
            <w:r>
              <w:rPr>
                <w:rFonts w:ascii="Arial" w:cs="Arial" w:eastAsia="Arial" w:hAnsi="Arial"/>
                <w:sz w:val="18"/>
                <w:szCs w:val="18"/>
                <w:color w:val="auto"/>
              </w:rPr>
              <w:t>2.20</w:t>
            </w:r>
          </w:p>
        </w:tc>
        <w:tc>
          <w:tcPr>
            <w:tcW w:w="9860" w:type="dxa"/>
            <w:vAlign w:val="bottom"/>
          </w:tcPr>
          <w:p>
            <w:pPr>
              <w:ind w:left="280"/>
              <w:spacing w:after="0"/>
              <w:rPr>
                <w:sz w:val="20"/>
                <w:szCs w:val="20"/>
                <w:color w:val="auto"/>
              </w:rPr>
            </w:pPr>
            <w:r>
              <w:rPr>
                <w:rFonts w:ascii="Arial" w:cs="Arial" w:eastAsia="Arial" w:hAnsi="Arial"/>
                <w:sz w:val="18"/>
                <w:szCs w:val="18"/>
                <w:color w:val="auto"/>
              </w:rPr>
              <w:t>Mitigation Obligations; 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1180" w:type="dxa"/>
            <w:vAlign w:val="bottom"/>
          </w:tcPr>
          <w:p>
            <w:pPr>
              <w:spacing w:after="0"/>
              <w:rPr>
                <w:sz w:val="20"/>
                <w:szCs w:val="20"/>
                <w:color w:val="auto"/>
              </w:rPr>
            </w:pPr>
            <w:r>
              <w:rPr>
                <w:rFonts w:ascii="Arial" w:cs="Arial" w:eastAsia="Arial" w:hAnsi="Arial"/>
                <w:sz w:val="18"/>
                <w:szCs w:val="18"/>
                <w:color w:val="auto"/>
              </w:rPr>
              <w:t>SECTION 3.</w:t>
            </w:r>
          </w:p>
        </w:tc>
        <w:tc>
          <w:tcPr>
            <w:tcW w:w="9860" w:type="dxa"/>
            <w:vAlign w:val="bottom"/>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SECTION 4.</w:t>
            </w:r>
          </w:p>
        </w:tc>
        <w:tc>
          <w:tcPr>
            <w:tcW w:w="9860" w:type="dxa"/>
            <w:vAlign w:val="bottom"/>
          </w:tcPr>
          <w:p>
            <w:pPr>
              <w:ind w:left="28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4.1</w:t>
            </w:r>
          </w:p>
        </w:tc>
        <w:tc>
          <w:tcPr>
            <w:tcW w:w="9860" w:type="dxa"/>
            <w:vAlign w:val="bottom"/>
          </w:tcPr>
          <w:p>
            <w:pPr>
              <w:ind w:left="280"/>
              <w:spacing w:after="0"/>
              <w:rPr>
                <w:sz w:val="20"/>
                <w:szCs w:val="20"/>
                <w:color w:val="auto"/>
              </w:rPr>
            </w:pPr>
            <w:r>
              <w:rPr>
                <w:rFonts w:ascii="Arial" w:cs="Arial" w:eastAsia="Arial" w:hAnsi="Arial"/>
                <w:sz w:val="18"/>
                <w:szCs w:val="18"/>
                <w:color w:val="auto"/>
              </w:rPr>
              <w:t>Financial Condition</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4.2</w:t>
            </w:r>
          </w:p>
        </w:tc>
        <w:tc>
          <w:tcPr>
            <w:tcW w:w="9860" w:type="dxa"/>
            <w:vAlign w:val="bottom"/>
          </w:tcPr>
          <w:p>
            <w:pPr>
              <w:ind w:left="280"/>
              <w:spacing w:after="0"/>
              <w:rPr>
                <w:sz w:val="20"/>
                <w:szCs w:val="20"/>
                <w:color w:val="auto"/>
              </w:rPr>
            </w:pPr>
            <w:r>
              <w:rPr>
                <w:rFonts w:ascii="Arial" w:cs="Arial" w:eastAsia="Arial" w:hAnsi="Arial"/>
                <w:sz w:val="18"/>
                <w:szCs w:val="18"/>
                <w:color w:val="auto"/>
              </w:rPr>
              <w:t>No Material Adverse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4.3</w:t>
            </w:r>
          </w:p>
        </w:tc>
        <w:tc>
          <w:tcPr>
            <w:tcW w:w="9860" w:type="dxa"/>
            <w:vAlign w:val="bottom"/>
          </w:tcPr>
          <w:p>
            <w:pPr>
              <w:ind w:left="280"/>
              <w:spacing w:after="0"/>
              <w:rPr>
                <w:sz w:val="20"/>
                <w:szCs w:val="20"/>
                <w:color w:val="auto"/>
              </w:rPr>
            </w:pPr>
            <w:r>
              <w:rPr>
                <w:rFonts w:ascii="Arial" w:cs="Arial" w:eastAsia="Arial" w:hAnsi="Arial"/>
                <w:sz w:val="18"/>
                <w:szCs w:val="18"/>
                <w:color w:val="auto"/>
              </w:rPr>
              <w:t>Existence; 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4.4</w:t>
            </w:r>
          </w:p>
        </w:tc>
        <w:tc>
          <w:tcPr>
            <w:tcW w:w="9860" w:type="dxa"/>
            <w:vAlign w:val="bottom"/>
          </w:tcPr>
          <w:p>
            <w:pPr>
              <w:ind w:left="280"/>
              <w:spacing w:after="0"/>
              <w:rPr>
                <w:sz w:val="20"/>
                <w:szCs w:val="20"/>
                <w:color w:val="auto"/>
              </w:rPr>
            </w:pPr>
            <w:r>
              <w:rPr>
                <w:rFonts w:ascii="Arial" w:cs="Arial" w:eastAsia="Arial" w:hAnsi="Arial"/>
                <w:sz w:val="18"/>
                <w:szCs w:val="18"/>
                <w:color w:val="auto"/>
              </w:rPr>
              <w:t>Power; Authorization; Enforceable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4.5</w:t>
            </w:r>
          </w:p>
        </w:tc>
        <w:tc>
          <w:tcPr>
            <w:tcW w:w="9860" w:type="dxa"/>
            <w:vAlign w:val="bottom"/>
          </w:tcPr>
          <w:p>
            <w:pPr>
              <w:ind w:left="280"/>
              <w:spacing w:after="0"/>
              <w:rPr>
                <w:sz w:val="20"/>
                <w:szCs w:val="20"/>
                <w:color w:val="auto"/>
              </w:rPr>
            </w:pPr>
            <w:r>
              <w:rPr>
                <w:rFonts w:ascii="Arial" w:cs="Arial" w:eastAsia="Arial" w:hAnsi="Arial"/>
                <w:sz w:val="18"/>
                <w:szCs w:val="18"/>
                <w:color w:val="auto"/>
              </w:rPr>
              <w:t>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4.6</w:t>
            </w:r>
          </w:p>
        </w:tc>
        <w:tc>
          <w:tcPr>
            <w:tcW w:w="9860" w:type="dxa"/>
            <w:vAlign w:val="bottom"/>
          </w:tcPr>
          <w:p>
            <w:pPr>
              <w:ind w:left="280"/>
              <w:spacing w:after="0"/>
              <w:rPr>
                <w:sz w:val="20"/>
                <w:szCs w:val="20"/>
                <w:color w:val="auto"/>
              </w:rPr>
            </w:pPr>
            <w:r>
              <w:rPr>
                <w:rFonts w:ascii="Arial" w:cs="Arial" w:eastAsia="Arial" w:hAnsi="Arial"/>
                <w:sz w:val="18"/>
                <w:szCs w:val="18"/>
                <w:color w:val="auto"/>
              </w:rPr>
              <w:t>No Material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4.7</w:t>
            </w:r>
          </w:p>
        </w:tc>
        <w:tc>
          <w:tcPr>
            <w:tcW w:w="9860" w:type="dxa"/>
            <w:vAlign w:val="bottom"/>
          </w:tcPr>
          <w:p>
            <w:pPr>
              <w:ind w:left="280"/>
              <w:spacing w:after="0"/>
              <w:rPr>
                <w:sz w:val="20"/>
                <w:szCs w:val="20"/>
                <w:color w:val="auto"/>
              </w:rPr>
            </w:pPr>
            <w:r>
              <w:rPr>
                <w:rFonts w:ascii="Arial" w:cs="Arial" w:eastAsia="Arial" w:hAnsi="Arial"/>
                <w:sz w:val="18"/>
                <w:szCs w:val="18"/>
                <w:color w:val="auto"/>
              </w:rPr>
              <w:t>No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4.8</w:t>
            </w:r>
          </w:p>
        </w:tc>
        <w:tc>
          <w:tcPr>
            <w:tcW w:w="9860" w:type="dxa"/>
            <w:vAlign w:val="bottom"/>
          </w:tcPr>
          <w:p>
            <w:pPr>
              <w:ind w:left="280"/>
              <w:spacing w:after="0"/>
              <w:rPr>
                <w:sz w:val="20"/>
                <w:szCs w:val="20"/>
                <w:color w:val="auto"/>
              </w:rPr>
            </w:pPr>
            <w:r>
              <w:rPr>
                <w:rFonts w:ascii="Arial" w:cs="Arial" w:eastAsia="Arial" w:hAnsi="Arial"/>
                <w:sz w:val="18"/>
                <w:szCs w:val="18"/>
                <w:color w:val="auto"/>
              </w:rPr>
              <w:t>Ownership of Property;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4.9</w:t>
            </w:r>
          </w:p>
        </w:tc>
        <w:tc>
          <w:tcPr>
            <w:tcW w:w="9860" w:type="dxa"/>
            <w:vAlign w:val="bottom"/>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4.10</w:t>
            </w:r>
          </w:p>
        </w:tc>
        <w:tc>
          <w:tcPr>
            <w:tcW w:w="9860" w:type="dxa"/>
            <w:vAlign w:val="bottom"/>
          </w:tcPr>
          <w:p>
            <w:pPr>
              <w:ind w:left="280"/>
              <w:spacing w:after="0"/>
              <w:rPr>
                <w:sz w:val="20"/>
                <w:szCs w:val="20"/>
                <w:color w:val="auto"/>
              </w:rPr>
            </w:pPr>
            <w:r>
              <w:rPr>
                <w:rFonts w:ascii="Arial" w:cs="Arial" w:eastAsia="Arial" w:hAnsi="Arial"/>
                <w:sz w:val="18"/>
                <w:szCs w:val="18"/>
                <w:color w:val="auto"/>
              </w:rPr>
              <w:t>Federal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4.11</w:t>
            </w:r>
          </w:p>
        </w:tc>
        <w:tc>
          <w:tcPr>
            <w:tcW w:w="9860" w:type="dxa"/>
            <w:vAlign w:val="bottom"/>
          </w:tcPr>
          <w:p>
            <w:pPr>
              <w:ind w:left="280"/>
              <w:spacing w:after="0"/>
              <w:rPr>
                <w:sz w:val="20"/>
                <w:szCs w:val="20"/>
                <w:color w:val="auto"/>
              </w:rPr>
            </w:pPr>
            <w:r>
              <w:rPr>
                <w:rFonts w:ascii="Arial" w:cs="Arial" w:eastAsia="Arial" w:hAnsi="Arial"/>
                <w:sz w:val="18"/>
                <w:szCs w:val="18"/>
                <w:color w:val="auto"/>
              </w:rPr>
              <w:t>ERISA</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4.12</w:t>
            </w:r>
          </w:p>
        </w:tc>
        <w:tc>
          <w:tcPr>
            <w:tcW w:w="9860" w:type="dxa"/>
            <w:vAlign w:val="bottom"/>
          </w:tcPr>
          <w:p>
            <w:pPr>
              <w:ind w:left="280"/>
              <w:spacing w:after="0"/>
              <w:rPr>
                <w:sz w:val="20"/>
                <w:szCs w:val="20"/>
                <w:color w:val="auto"/>
              </w:rPr>
            </w:pPr>
            <w:r>
              <w:rPr>
                <w:rFonts w:ascii="Arial" w:cs="Arial" w:eastAsia="Arial" w:hAnsi="Arial"/>
                <w:sz w:val="18"/>
                <w:szCs w:val="18"/>
                <w:color w:val="auto"/>
              </w:rPr>
              <w:t>Investment Company Act; Other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4.13</w:t>
            </w:r>
          </w:p>
        </w:tc>
        <w:tc>
          <w:tcPr>
            <w:tcW w:w="9860" w:type="dxa"/>
            <w:vAlign w:val="bottom"/>
          </w:tcPr>
          <w:p>
            <w:pPr>
              <w:ind w:left="280"/>
              <w:spacing w:after="0"/>
              <w:rPr>
                <w:sz w:val="20"/>
                <w:szCs w:val="20"/>
                <w:color w:val="auto"/>
              </w:rPr>
            </w:pPr>
            <w:r>
              <w:rPr>
                <w:rFonts w:ascii="Arial" w:cs="Arial" w:eastAsia="Arial" w:hAnsi="Arial"/>
                <w:sz w:val="18"/>
                <w:szCs w:val="18"/>
                <w:color w:val="auto"/>
              </w:rPr>
              <w:t>Significant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4.14</w:t>
            </w:r>
          </w:p>
        </w:tc>
        <w:tc>
          <w:tcPr>
            <w:tcW w:w="9860" w:type="dxa"/>
            <w:vAlign w:val="bottom"/>
          </w:tcPr>
          <w:p>
            <w:pPr>
              <w:ind w:left="280"/>
              <w:spacing w:after="0"/>
              <w:rPr>
                <w:sz w:val="20"/>
                <w:szCs w:val="20"/>
                <w:color w:val="auto"/>
              </w:rPr>
            </w:pPr>
            <w:r>
              <w:rPr>
                <w:rFonts w:ascii="Arial" w:cs="Arial" w:eastAsia="Arial" w:hAnsi="Arial"/>
                <w:sz w:val="18"/>
                <w:szCs w:val="18"/>
                <w:color w:val="auto"/>
              </w:rPr>
              <w:t>Accuracy of Information,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180" w:type="dxa"/>
            <w:vAlign w:val="bottom"/>
          </w:tcPr>
          <w:p>
            <w:pPr>
              <w:ind w:left="440"/>
              <w:spacing w:after="0"/>
              <w:rPr>
                <w:sz w:val="20"/>
                <w:szCs w:val="20"/>
                <w:color w:val="auto"/>
              </w:rPr>
            </w:pPr>
            <w:r>
              <w:rPr>
                <w:rFonts w:ascii="Arial" w:cs="Arial" w:eastAsia="Arial" w:hAnsi="Arial"/>
                <w:sz w:val="18"/>
                <w:szCs w:val="18"/>
                <w:color w:val="auto"/>
              </w:rPr>
              <w:t>4.15</w:t>
            </w:r>
          </w:p>
        </w:tc>
        <w:tc>
          <w:tcPr>
            <w:tcW w:w="9860" w:type="dxa"/>
            <w:vAlign w:val="bottom"/>
          </w:tcPr>
          <w:p>
            <w:pPr>
              <w:ind w:left="28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SECTION 5.</w:t>
            </w:r>
          </w:p>
        </w:tc>
        <w:tc>
          <w:tcPr>
            <w:tcW w:w="9860" w:type="dxa"/>
            <w:vAlign w:val="bottom"/>
          </w:tcPr>
          <w:p>
            <w:pPr>
              <w:ind w:left="280"/>
              <w:spacing w:after="0"/>
              <w:rPr>
                <w:sz w:val="20"/>
                <w:szCs w:val="20"/>
                <w:color w:val="auto"/>
              </w:rPr>
            </w:pPr>
            <w:r>
              <w:rPr>
                <w:rFonts w:ascii="Arial" w:cs="Arial" w:eastAsia="Arial" w:hAnsi="Arial"/>
                <w:sz w:val="18"/>
                <w:szCs w:val="18"/>
                <w:color w:val="auto"/>
              </w:rPr>
              <w:t>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5.1</w:t>
            </w:r>
          </w:p>
        </w:tc>
        <w:tc>
          <w:tcPr>
            <w:tcW w:w="9860" w:type="dxa"/>
            <w:vAlign w:val="bottom"/>
          </w:tcPr>
          <w:p>
            <w:pPr>
              <w:ind w:left="280"/>
              <w:spacing w:after="0"/>
              <w:rPr>
                <w:sz w:val="20"/>
                <w:szCs w:val="20"/>
                <w:color w:val="auto"/>
              </w:rPr>
            </w:pPr>
            <w:r>
              <w:rPr>
                <w:rFonts w:ascii="Arial" w:cs="Arial" w:eastAsia="Arial" w:hAnsi="Arial"/>
                <w:sz w:val="18"/>
                <w:szCs w:val="18"/>
                <w:color w:val="auto"/>
              </w:rPr>
              <w:t>Conditions of Initial Loans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1180" w:type="dxa"/>
            <w:vAlign w:val="bottom"/>
          </w:tcPr>
          <w:p>
            <w:pPr>
              <w:ind w:left="440"/>
              <w:spacing w:after="0"/>
              <w:rPr>
                <w:sz w:val="20"/>
                <w:szCs w:val="20"/>
                <w:color w:val="auto"/>
              </w:rPr>
            </w:pPr>
            <w:r>
              <w:rPr>
                <w:rFonts w:ascii="Arial" w:cs="Arial" w:eastAsia="Arial" w:hAnsi="Arial"/>
                <w:sz w:val="18"/>
                <w:szCs w:val="18"/>
                <w:color w:val="auto"/>
              </w:rPr>
              <w:t>5.2</w:t>
            </w:r>
          </w:p>
        </w:tc>
        <w:tc>
          <w:tcPr>
            <w:tcW w:w="9860" w:type="dxa"/>
            <w:vAlign w:val="bottom"/>
          </w:tcPr>
          <w:p>
            <w:pPr>
              <w:ind w:left="280"/>
              <w:spacing w:after="0"/>
              <w:rPr>
                <w:sz w:val="20"/>
                <w:szCs w:val="20"/>
                <w:color w:val="auto"/>
              </w:rPr>
            </w:pPr>
            <w:r>
              <w:rPr>
                <w:rFonts w:ascii="Arial" w:cs="Arial" w:eastAsia="Arial" w:hAnsi="Arial"/>
                <w:sz w:val="18"/>
                <w:szCs w:val="18"/>
                <w:color w:val="auto"/>
              </w:rPr>
              <w:t>Conditions to All Loans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SECTION 6.</w:t>
            </w:r>
          </w:p>
        </w:tc>
        <w:tc>
          <w:tcPr>
            <w:tcW w:w="9860" w:type="dxa"/>
            <w:vAlign w:val="bottom"/>
          </w:tcPr>
          <w:p>
            <w:pPr>
              <w:ind w:left="280"/>
              <w:spacing w:after="0"/>
              <w:rPr>
                <w:sz w:val="20"/>
                <w:szCs w:val="20"/>
                <w:color w:val="auto"/>
              </w:rPr>
            </w:pPr>
            <w:r>
              <w:rPr>
                <w:rFonts w:ascii="Arial" w:cs="Arial" w:eastAsia="Arial" w:hAnsi="Arial"/>
                <w:sz w:val="18"/>
                <w:szCs w:val="18"/>
                <w:color w:val="auto"/>
              </w:rPr>
              <w:t>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80" w:type="dxa"/>
            <w:vAlign w:val="bottom"/>
          </w:tcPr>
          <w:p>
            <w:pPr>
              <w:ind w:left="440"/>
              <w:spacing w:after="0"/>
              <w:rPr>
                <w:sz w:val="20"/>
                <w:szCs w:val="20"/>
                <w:color w:val="auto"/>
              </w:rPr>
            </w:pPr>
            <w:r>
              <w:rPr>
                <w:rFonts w:ascii="Arial" w:cs="Arial" w:eastAsia="Arial" w:hAnsi="Arial"/>
                <w:sz w:val="18"/>
                <w:szCs w:val="18"/>
                <w:color w:val="auto"/>
              </w:rPr>
              <w:t>6.1</w:t>
            </w:r>
          </w:p>
        </w:tc>
        <w:tc>
          <w:tcPr>
            <w:tcW w:w="986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1180" w:type="dxa"/>
            <w:vAlign w:val="bottom"/>
          </w:tcPr>
          <w:p>
            <w:pPr>
              <w:ind w:left="440"/>
              <w:spacing w:after="0"/>
              <w:rPr>
                <w:sz w:val="20"/>
                <w:szCs w:val="20"/>
                <w:color w:val="auto"/>
              </w:rPr>
            </w:pPr>
            <w:r>
              <w:rPr>
                <w:rFonts w:ascii="Arial" w:cs="Arial" w:eastAsia="Arial" w:hAnsi="Arial"/>
                <w:sz w:val="18"/>
                <w:szCs w:val="18"/>
                <w:color w:val="auto"/>
              </w:rPr>
              <w:t>6.2</w:t>
            </w:r>
          </w:p>
        </w:tc>
        <w:tc>
          <w:tcPr>
            <w:tcW w:w="9860" w:type="dxa"/>
            <w:vAlign w:val="bottom"/>
          </w:tcPr>
          <w:p>
            <w:pPr>
              <w:ind w:left="280"/>
              <w:spacing w:after="0"/>
              <w:rPr>
                <w:sz w:val="20"/>
                <w:szCs w:val="20"/>
                <w:color w:val="auto"/>
              </w:rPr>
            </w:pPr>
            <w:r>
              <w:rPr>
                <w:rFonts w:ascii="Arial" w:cs="Arial" w:eastAsia="Arial" w:hAnsi="Arial"/>
                <w:sz w:val="18"/>
                <w:szCs w:val="18"/>
                <w:color w:val="auto"/>
              </w:rPr>
              <w:t>Certificates; 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7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440"/>
              <w:spacing w:after="0"/>
              <w:rPr>
                <w:sz w:val="20"/>
                <w:szCs w:val="20"/>
                <w:color w:val="auto"/>
              </w:rPr>
            </w:pPr>
            <w:r>
              <w:rPr>
                <w:rFonts w:ascii="Arial" w:cs="Arial" w:eastAsia="Arial" w:hAnsi="Arial"/>
                <w:sz w:val="18"/>
                <w:szCs w:val="18"/>
                <w:color w:val="auto"/>
              </w:rPr>
              <w:t>6.3</w:t>
            </w:r>
          </w:p>
        </w:tc>
        <w:tc>
          <w:tcPr>
            <w:tcW w:w="9720" w:type="dxa"/>
            <w:vAlign w:val="bottom"/>
            <w:gridSpan w:val="2"/>
            <w:vMerge w:val="restart"/>
          </w:tcPr>
          <w:p>
            <w:pPr>
              <w:ind w:left="260"/>
              <w:spacing w:after="0"/>
              <w:rPr>
                <w:sz w:val="20"/>
                <w:szCs w:val="20"/>
                <w:color w:val="auto"/>
              </w:rPr>
            </w:pPr>
            <w:r>
              <w:rPr>
                <w:rFonts w:ascii="Arial" w:cs="Arial" w:eastAsia="Arial" w:hAnsi="Arial"/>
                <w:sz w:val="18"/>
                <w:szCs w:val="18"/>
                <w:color w:val="auto"/>
              </w:rPr>
              <w:t>Conduct of Business and Maintenance of Existence; Compliance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320" w:type="dxa"/>
            <w:vAlign w:val="bottom"/>
            <w:vMerge w:val="continue"/>
          </w:tcPr>
          <w:p>
            <w:pPr>
              <w:spacing w:after="0"/>
              <w:rPr>
                <w:sz w:val="17"/>
                <w:szCs w:val="17"/>
                <w:color w:val="auto"/>
              </w:rPr>
            </w:pPr>
          </w:p>
        </w:tc>
        <w:tc>
          <w:tcPr>
            <w:tcW w:w="9720" w:type="dxa"/>
            <w:vAlign w:val="bottom"/>
            <w:gridSpan w:val="2"/>
            <w:vMerge w:val="continue"/>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6.4</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Maintenance of Property;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6.5</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Inspection of Property; Books and Records; Discussions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1320" w:type="dxa"/>
            <w:vAlign w:val="bottom"/>
          </w:tcPr>
          <w:p>
            <w:pPr>
              <w:ind w:left="440"/>
              <w:spacing w:after="0"/>
              <w:rPr>
                <w:sz w:val="20"/>
                <w:szCs w:val="20"/>
                <w:color w:val="auto"/>
              </w:rPr>
            </w:pPr>
            <w:r>
              <w:rPr>
                <w:rFonts w:ascii="Arial" w:cs="Arial" w:eastAsia="Arial" w:hAnsi="Arial"/>
                <w:sz w:val="18"/>
                <w:szCs w:val="18"/>
                <w:color w:val="auto"/>
              </w:rPr>
              <w:t>6.6</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SECTION 7.</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7.1</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Financial Condition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7.2</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Limitation on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7.3</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Limitation on Liens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7.4</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Limitation on Fundamental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7.5</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7.6</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Limitation on Optional Payments and Modifications of Subordinated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7.7</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Clauses Restricting Subsidiary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7.8</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Restricted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1320" w:type="dxa"/>
            <w:vAlign w:val="bottom"/>
          </w:tcPr>
          <w:p>
            <w:pPr>
              <w:ind w:left="440"/>
              <w:spacing w:after="0"/>
              <w:rPr>
                <w:sz w:val="20"/>
                <w:szCs w:val="20"/>
                <w:color w:val="auto"/>
              </w:rPr>
            </w:pPr>
            <w:r>
              <w:rPr>
                <w:rFonts w:ascii="Arial" w:cs="Arial" w:eastAsia="Arial" w:hAnsi="Arial"/>
                <w:sz w:val="18"/>
                <w:szCs w:val="18"/>
                <w:color w:val="auto"/>
              </w:rPr>
              <w:t>7.9</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Disposition of Designated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8.</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9.</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SECTION 10.</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SECTION 11.</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THE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11.1</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Appointment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11.2</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Delegation of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11.3</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Exculpatory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11.4</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Reliance by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11.5</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Notice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11.6</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Non-Reliance on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11.7</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11.8</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Agent in Its Individual Capacity</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1320" w:type="dxa"/>
            <w:vAlign w:val="bottom"/>
          </w:tcPr>
          <w:p>
            <w:pPr>
              <w:ind w:left="440"/>
              <w:spacing w:after="0"/>
              <w:rPr>
                <w:sz w:val="20"/>
                <w:szCs w:val="20"/>
                <w:color w:val="auto"/>
              </w:rPr>
            </w:pPr>
            <w:r>
              <w:rPr>
                <w:rFonts w:ascii="Arial" w:cs="Arial" w:eastAsia="Arial" w:hAnsi="Arial"/>
                <w:sz w:val="18"/>
                <w:szCs w:val="18"/>
                <w:color w:val="auto"/>
              </w:rPr>
              <w:t>11.9</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Successor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SECTION 12.</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12.1</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Amendments and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12.2</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12.3</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No Waiver; Cumulative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12.4</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Survival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12.5</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Payment of Expenses and Taxes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12.6</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12.7</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Successors and Assigns; Participations and Assignments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1320" w:type="dxa"/>
            <w:vAlign w:val="bottom"/>
          </w:tcPr>
          <w:p>
            <w:pPr>
              <w:ind w:left="440"/>
              <w:spacing w:after="0"/>
              <w:rPr>
                <w:sz w:val="20"/>
                <w:szCs w:val="20"/>
                <w:color w:val="auto"/>
              </w:rPr>
            </w:pPr>
            <w:r>
              <w:rPr>
                <w:rFonts w:ascii="Arial" w:cs="Arial" w:eastAsia="Arial" w:hAnsi="Arial"/>
                <w:sz w:val="18"/>
                <w:szCs w:val="18"/>
                <w:color w:val="auto"/>
              </w:rPr>
              <w:t>12.8</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Adjustments; Right of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1320" w:type="dxa"/>
            <w:vAlign w:val="bottom"/>
          </w:tcPr>
          <w:p>
            <w:pPr>
              <w:ind w:left="440"/>
              <w:spacing w:after="0"/>
              <w:rPr>
                <w:sz w:val="20"/>
                <w:szCs w:val="20"/>
                <w:color w:val="auto"/>
              </w:rPr>
            </w:pPr>
            <w:r>
              <w:rPr>
                <w:rFonts w:ascii="Arial" w:cs="Arial" w:eastAsia="Arial" w:hAnsi="Arial"/>
                <w:sz w:val="18"/>
                <w:szCs w:val="18"/>
                <w:color w:val="auto"/>
              </w:rPr>
              <w:t>12.9</w:t>
            </w:r>
          </w:p>
        </w:tc>
        <w:tc>
          <w:tcPr>
            <w:tcW w:w="9720" w:type="dxa"/>
            <w:vAlign w:val="bottom"/>
            <w:gridSpan w:val="2"/>
          </w:tcPr>
          <w:p>
            <w:pPr>
              <w:ind w:left="260"/>
              <w:spacing w:after="0"/>
              <w:rPr>
                <w:sz w:val="20"/>
                <w:szCs w:val="20"/>
                <w:color w:val="auto"/>
              </w:rPr>
            </w:pPr>
            <w:r>
              <w:rPr>
                <w:rFonts w:ascii="Arial" w:cs="Arial" w:eastAsia="Arial" w:hAnsi="Arial"/>
                <w:sz w:val="18"/>
                <w:szCs w:val="18"/>
                <w:b w:val="1"/>
                <w:bCs w:val="1"/>
                <w:color w:val="auto"/>
              </w:rPr>
              <w:t>WAIVERS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20" w:type="dxa"/>
            <w:vAlign w:val="bottom"/>
          </w:tcPr>
          <w:p>
            <w:pPr>
              <w:ind w:left="440"/>
              <w:spacing w:after="0"/>
              <w:rPr>
                <w:sz w:val="20"/>
                <w:szCs w:val="20"/>
                <w:color w:val="auto"/>
              </w:rPr>
            </w:pPr>
            <w:r>
              <w:rPr>
                <w:rFonts w:ascii="Arial" w:cs="Arial" w:eastAsia="Arial" w:hAnsi="Arial"/>
                <w:sz w:val="18"/>
                <w:szCs w:val="18"/>
                <w:color w:val="auto"/>
              </w:rPr>
              <w:t>12.10</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Submission to Jurisdiction;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1320" w:type="dxa"/>
            <w:vAlign w:val="bottom"/>
          </w:tcPr>
          <w:p>
            <w:pPr>
              <w:ind w:left="440"/>
              <w:spacing w:after="0"/>
              <w:rPr>
                <w:sz w:val="20"/>
                <w:szCs w:val="20"/>
                <w:color w:val="auto"/>
              </w:rPr>
            </w:pPr>
            <w:r>
              <w:rPr>
                <w:rFonts w:ascii="Arial" w:cs="Arial" w:eastAsia="Arial" w:hAnsi="Arial"/>
                <w:sz w:val="18"/>
                <w:szCs w:val="18"/>
                <w:color w:val="auto"/>
              </w:rPr>
              <w:t>12.11</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1320" w:type="dxa"/>
            <w:vAlign w:val="bottom"/>
          </w:tcPr>
          <w:p>
            <w:pPr>
              <w:ind w:left="440"/>
              <w:spacing w:after="0"/>
              <w:rPr>
                <w:sz w:val="20"/>
                <w:szCs w:val="20"/>
                <w:color w:val="auto"/>
              </w:rPr>
            </w:pPr>
            <w:r>
              <w:rPr>
                <w:rFonts w:ascii="Arial" w:cs="Arial" w:eastAsia="Arial" w:hAnsi="Arial"/>
                <w:sz w:val="18"/>
                <w:szCs w:val="18"/>
                <w:color w:val="auto"/>
              </w:rPr>
              <w:t>12.12</w:t>
            </w:r>
          </w:p>
        </w:tc>
        <w:tc>
          <w:tcPr>
            <w:tcW w:w="9720" w:type="dxa"/>
            <w:vAlign w:val="bottom"/>
            <w:gridSpan w:val="2"/>
          </w:tcPr>
          <w:p>
            <w:pPr>
              <w:ind w:left="260"/>
              <w:spacing w:after="0"/>
              <w:rPr>
                <w:sz w:val="20"/>
                <w:szCs w:val="20"/>
                <w:color w:val="auto"/>
              </w:rPr>
            </w:pPr>
            <w:r>
              <w:rPr>
                <w:rFonts w:ascii="Arial" w:cs="Arial" w:eastAsia="Arial" w:hAnsi="Arial"/>
                <w:sz w:val="18"/>
                <w:szCs w:val="18"/>
                <w:b w:val="1"/>
                <w:bCs w:val="1"/>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1320" w:type="dxa"/>
            <w:vAlign w:val="bottom"/>
          </w:tcPr>
          <w:p>
            <w:pPr>
              <w:ind w:left="440"/>
              <w:spacing w:after="0"/>
              <w:rPr>
                <w:sz w:val="20"/>
                <w:szCs w:val="20"/>
                <w:color w:val="auto"/>
              </w:rPr>
            </w:pPr>
            <w:r>
              <w:rPr>
                <w:rFonts w:ascii="Arial" w:cs="Arial" w:eastAsia="Arial" w:hAnsi="Arial"/>
                <w:sz w:val="18"/>
                <w:szCs w:val="18"/>
                <w:color w:val="auto"/>
              </w:rPr>
              <w:t>12.13</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USA Patriot Act</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SCHEDULES:</w:t>
            </w:r>
          </w:p>
        </w:tc>
        <w:tc>
          <w:tcPr>
            <w:tcW w:w="5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Schedule 1.1A</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9180" w:type="dxa"/>
            <w:vAlign w:val="bottom"/>
          </w:tcPr>
          <w:p>
            <w:pPr>
              <w:ind w:left="100"/>
              <w:spacing w:after="0"/>
              <w:rPr>
                <w:sz w:val="20"/>
                <w:szCs w:val="20"/>
                <w:color w:val="auto"/>
              </w:rPr>
            </w:pPr>
            <w:r>
              <w:rPr>
                <w:rFonts w:ascii="Arial" w:cs="Arial" w:eastAsia="Arial" w:hAnsi="Arial"/>
                <w:sz w:val="18"/>
                <w:szCs w:val="18"/>
                <w:color w:val="auto"/>
              </w:rPr>
              <w:t>Commitments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1.1B</w:t>
            </w:r>
          </w:p>
        </w:tc>
        <w:tc>
          <w:tcPr>
            <w:tcW w:w="540" w:type="dxa"/>
            <w:vAlign w:val="bottom"/>
          </w:tcPr>
          <w:p>
            <w:pPr>
              <w:spacing w:after="0"/>
              <w:rPr>
                <w:sz w:val="18"/>
                <w:szCs w:val="18"/>
                <w:color w:val="auto"/>
              </w:rPr>
            </w:pPr>
          </w:p>
        </w:tc>
        <w:tc>
          <w:tcPr>
            <w:tcW w:w="9180" w:type="dxa"/>
            <w:vAlign w:val="bottom"/>
          </w:tcPr>
          <w:p>
            <w:pPr>
              <w:ind w:left="100"/>
              <w:spacing w:after="0"/>
              <w:rPr>
                <w:sz w:val="20"/>
                <w:szCs w:val="20"/>
                <w:color w:val="auto"/>
              </w:rPr>
            </w:pPr>
            <w:r>
              <w:rPr>
                <w:rFonts w:ascii="Arial" w:cs="Arial" w:eastAsia="Arial" w:hAnsi="Arial"/>
                <w:sz w:val="18"/>
                <w:szCs w:val="18"/>
                <w:color w:val="auto"/>
              </w:rPr>
              <w:t>Rating Agencies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4.13</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9180" w:type="dxa"/>
            <w:vAlign w:val="bottom"/>
          </w:tcPr>
          <w:p>
            <w:pPr>
              <w:ind w:left="100"/>
              <w:spacing w:after="0"/>
              <w:rPr>
                <w:sz w:val="20"/>
                <w:szCs w:val="20"/>
                <w:color w:val="auto"/>
              </w:rPr>
            </w:pPr>
            <w:r>
              <w:rPr>
                <w:rFonts w:ascii="Arial" w:cs="Arial" w:eastAsia="Arial" w:hAnsi="Arial"/>
                <w:sz w:val="18"/>
                <w:szCs w:val="18"/>
                <w:color w:val="auto"/>
              </w:rPr>
              <w:t>Significant Subsidiaries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8"/>
                <w:szCs w:val="18"/>
                <w:color w:val="auto"/>
              </w:rPr>
              <w:t>Schedule 7.2</w:t>
            </w:r>
          </w:p>
        </w:tc>
        <w:tc>
          <w:tcPr>
            <w:tcW w:w="540" w:type="dxa"/>
            <w:vAlign w:val="bottom"/>
          </w:tcPr>
          <w:p>
            <w:pPr>
              <w:ind w:left="380"/>
              <w:spacing w:after="0"/>
              <w:rPr>
                <w:sz w:val="20"/>
                <w:szCs w:val="20"/>
                <w:color w:val="auto"/>
              </w:rPr>
            </w:pPr>
            <w:r>
              <w:rPr>
                <w:rFonts w:ascii="Arial" w:cs="Arial" w:eastAsia="Arial" w:hAnsi="Arial"/>
                <w:sz w:val="18"/>
                <w:szCs w:val="18"/>
                <w:color w:val="auto"/>
              </w:rPr>
              <w:t>-</w:t>
            </w:r>
          </w:p>
        </w:tc>
        <w:tc>
          <w:tcPr>
            <w:tcW w:w="9180" w:type="dxa"/>
            <w:vAlign w:val="bottom"/>
          </w:tcPr>
          <w:p>
            <w:pPr>
              <w:ind w:left="100"/>
              <w:spacing w:after="0"/>
              <w:rPr>
                <w:sz w:val="20"/>
                <w:szCs w:val="20"/>
                <w:color w:val="auto"/>
              </w:rPr>
            </w:pPr>
            <w:r>
              <w:rPr>
                <w:rFonts w:ascii="Arial" w:cs="Arial" w:eastAsia="Arial" w:hAnsi="Arial"/>
                <w:sz w:val="18"/>
                <w:szCs w:val="18"/>
                <w:color w:val="auto"/>
              </w:rPr>
              <w:t>Existing Indebtedness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w:t>
      </w:r>
    </w:p>
    <w:p>
      <w:pPr>
        <w:sectPr>
          <w:pgSz w:w="11900" w:h="16838" w:orient="portrait"/>
          <w:cols w:equalWidth="0" w:num="1">
            <w:col w:w="10219"/>
          </w:cols>
          <w:pgMar w:left="240" w:top="280" w:right="1440" w:bottom="1440" w:gutter="0" w:footer="0" w:header="0"/>
        </w:sectPr>
      </w:pP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Exhibit A Exhibit B-1 Exhibit B-2 Exhibit B-3 Exhibit C Exhibit D Exhibit 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tab/>
        <w:t>Form of Revolving Credit Note</w:t>
      </w:r>
    </w:p>
    <w:p>
      <w:pPr>
        <w:spacing w:after="0" w:line="15"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tab/>
        <w:t>Form of Opinion of Cravath, Swaine &amp; Moore LLP, Counsel to the Company</w:t>
      </w:r>
    </w:p>
    <w:p>
      <w:pPr>
        <w:spacing w:after="0" w:line="3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tab/>
        <w:t>Form of Opinion of General Counsel to the Company</w:t>
      </w:r>
    </w:p>
    <w:p>
      <w:pPr>
        <w:spacing w:after="0" w:line="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tab/>
        <w:t>Form of Opinion of Wilmer Cutler Pickering Hale and Dorr LLP</w:t>
      </w:r>
    </w:p>
    <w:p>
      <w:pPr>
        <w:spacing w:after="0" w:line="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tab/>
        <w:t>Form of Assignment and Assumption</w:t>
      </w:r>
    </w:p>
    <w:p>
      <w:pPr>
        <w:spacing w:after="0" w:line="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tab/>
        <w:t>Form of Compliance Certificate</w:t>
      </w:r>
    </w:p>
    <w:p>
      <w:pPr>
        <w:spacing w:after="0" w:line="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tab/>
        <w:t>Form of U.S. Tax Compliance Certificate</w:t>
      </w:r>
    </w:p>
    <w:p>
      <w:pPr>
        <w:spacing w:after="0" w:line="151" w:lineRule="exact"/>
        <w:rPr>
          <w:sz w:val="20"/>
          <w:szCs w:val="20"/>
          <w:color w:val="auto"/>
        </w:rPr>
      </w:pPr>
    </w:p>
    <w:p>
      <w:pPr>
        <w:sectPr>
          <w:pgSz w:w="11900" w:h="16838" w:orient="portrait"/>
          <w:cols w:equalWidth="0" w:num="2">
            <w:col w:w="840" w:space="520"/>
            <w:col w:w="8859"/>
          </w:cols>
          <w:pgMar w:left="240" w:top="280" w:right="1440"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 iii -</w:t>
      </w:r>
    </w:p>
    <w:p>
      <w:pPr>
        <w:sectPr>
          <w:pgSz w:w="11900" w:h="16838" w:orient="portrait"/>
          <w:cols w:equalWidth="0" w:num="1">
            <w:col w:w="10219"/>
          </w:cols>
          <w:pgMar w:left="240" w:top="280" w:right="1440" w:bottom="1440" w:gutter="0" w:footer="0" w:header="0"/>
          <w:type w:val="continuous"/>
        </w:sectPr>
      </w:pPr>
    </w:p>
    <w:bookmarkStart w:id="83" w:name="page84"/>
    <w:bookmarkEnd w:id="83"/>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dated as of September 25, 2012, among LAZARD GROUP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financial institutions, or other entities from time to time parties hereto, and CITIBANK, N.A., a national banking association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for the Banks 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has applied to the Banks for loans in an aggregate principal amount at any one time outstanding not in excess of $150,000,000;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Banks are willing to make the loans to the Company upon the terms and subject to the conditions hereinafter set forth;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the mutual covenants contained herein, the parties hereto hereby agree as follows: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DEFINITIONS</w:t>
      </w:r>
    </w:p>
    <w:p>
      <w:pPr>
        <w:spacing w:after="0" w:line="171" w:lineRule="exact"/>
        <w:rPr>
          <w:sz w:val="20"/>
          <w:szCs w:val="20"/>
          <w:color w:val="auto"/>
        </w:rPr>
      </w:pPr>
    </w:p>
    <w:p>
      <w:pPr>
        <w:ind w:left="900" w:right="4100" w:hanging="437"/>
        <w:spacing w:after="0" w:line="34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 “</w:t>
      </w:r>
      <w:r>
        <w:rPr>
          <w:rFonts w:ascii="Arial" w:cs="Arial" w:eastAsia="Arial" w:hAnsi="Arial"/>
          <w:sz w:val="18"/>
          <w:szCs w:val="18"/>
          <w:u w:val="single" w:color="auto"/>
          <w:color w:val="auto"/>
        </w:rPr>
        <w:t>Act</w:t>
      </w:r>
      <w:r>
        <w:rPr>
          <w:rFonts w:ascii="Arial" w:cs="Arial" w:eastAsia="Arial" w:hAnsi="Arial"/>
          <w:sz w:val="18"/>
          <w:szCs w:val="18"/>
          <w:color w:val="auto"/>
        </w:rPr>
        <w:t>”: the Securities and Exchange Act of 1934, as amended from time to time. “</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in its capacity as administrative agent for the Banks hereunder, and its successors in such capacity.</w:t>
      </w:r>
    </w:p>
    <w:p>
      <w:pPr>
        <w:spacing w:after="0" w:line="113"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 as amended, supplemented or modified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the Applicable Margin will be determined in accordance with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12.7.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an agreement substantially in the form of Exhibit C.</w:t>
      </w:r>
    </w:p>
    <w:p>
      <w:pPr>
        <w:spacing w:after="0" w:line="90"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as to each Bank, at a particular time, an amount equal to the difference between (a) the amount of such Bank’s Commitment and (b) the aggregate outstanding principal amount of Loans made by such Bank (after giving effect to any simultaneous repayment of Loans at such time); collectively, as to the Banks, the “Available Commitments”.</w:t>
      </w:r>
    </w:p>
    <w:p>
      <w:pPr>
        <w:spacing w:after="0" w:line="59"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Banks</w:t>
      </w:r>
      <w:r>
        <w:rPr>
          <w:rFonts w:ascii="Arial" w:cs="Arial" w:eastAsia="Arial" w:hAnsi="Arial"/>
          <w:sz w:val="18"/>
          <w:szCs w:val="18"/>
          <w:color w:val="auto"/>
        </w:rPr>
        <w:t>”: Citibank, State Street Bank and Trust Company, The Bank of New York Mellon and HSBC Bank USA, N.A., as parties to this Agreement, and permitted assignees pursuant to subsection 12.7 (individually, a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51"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means the consultative papers of The Basel Committee on Banking Supervision of December 2009 entitled “Strengthening the resilience of the banking sector” and “International framework for liquidity risk measurement, standards and monitoring”, in each case together with any amendments thereto.</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Bank</w:t>
      </w:r>
      <w:r>
        <w:rPr>
          <w:rFonts w:ascii="Arial" w:cs="Arial" w:eastAsia="Arial" w:hAnsi="Arial"/>
          <w:sz w:val="18"/>
          <w:szCs w:val="18"/>
          <w:color w:val="auto"/>
        </w:rPr>
        <w:t>”: as defined in Section 12.8.</w:t>
      </w:r>
    </w:p>
    <w:p>
      <w:pPr>
        <w:spacing w:after="0" w:line="90" w:lineRule="exact"/>
        <w:rPr>
          <w:sz w:val="20"/>
          <w:szCs w:val="20"/>
          <w:color w:val="auto"/>
        </w:rPr>
      </w:pPr>
    </w:p>
    <w:p>
      <w:pPr>
        <w:ind w:left="460" w:right="4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ectPr>
          <w:pgSz w:w="11900" w:h="16838" w:orient="portrait"/>
          <w:cols w:equalWidth="0" w:num="1">
            <w:col w:w="11420"/>
          </w:cols>
          <w:pgMar w:left="240" w:top="280" w:right="239" w:bottom="1440" w:gutter="0" w:footer="0" w:header="0"/>
        </w:sectPr>
      </w:pPr>
    </w:p>
    <w:bookmarkStart w:id="84" w:name="page85"/>
    <w:bookmarkEnd w:id="84"/>
    <w:p>
      <w:pPr>
        <w:ind w:right="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or any successor entity to the functions of the Board of Governors of the Federal Reserve System.</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any Business Day on which the Banks make Loans hereunder, as specified in a notice pursuant to Section 2.6 or Section 2.7.</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Indebtedness</w:t>
      </w:r>
      <w:r>
        <w:rPr>
          <w:rFonts w:ascii="Arial" w:cs="Arial" w:eastAsia="Arial" w:hAnsi="Arial"/>
          <w:sz w:val="18"/>
          <w:szCs w:val="18"/>
          <w:color w:val="auto"/>
        </w:rPr>
        <w:t>”: Indebtedness of the Subsidiaries of the Company which are registered broker-dealers.</w:t>
      </w:r>
    </w:p>
    <w:p>
      <w:pPr>
        <w:spacing w:after="0" w:line="9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62" w:lineRule="exact"/>
        <w:rPr>
          <w:sz w:val="20"/>
          <w:szCs w:val="20"/>
          <w:color w:val="auto"/>
        </w:rPr>
      </w:pPr>
    </w:p>
    <w:p>
      <w:pPr>
        <w:ind w:right="100"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Notwithstanding the foregoing, all leases of any Person that are treated as operating leases for purposes of GAAP on the Effective Date shall continue to be accounted for as operating leases (and not as capital leases) for purposes of this Agreement regardless of any change to GAAP following the Effective Date which would otherwise require such leases to be treated as capital leases.</w:t>
      </w:r>
    </w:p>
    <w:p>
      <w:pPr>
        <w:spacing w:after="0" w:line="66"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 and the equity units of Lazard Asset Management LLC issued pursuant to the Lazard Asset Management LLC Limited Liability Company Agreement.</w:t>
      </w:r>
    </w:p>
    <w:p>
      <w:pPr>
        <w:spacing w:after="0" w:line="62" w:lineRule="exact"/>
        <w:rPr>
          <w:sz w:val="20"/>
          <w:szCs w:val="20"/>
          <w:color w:val="auto"/>
        </w:rPr>
      </w:pPr>
    </w:p>
    <w:p>
      <w:pPr>
        <w:ind w:right="2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ind w:firstLine="4"/>
        <w:spacing w:after="0" w:line="284" w:lineRule="auto"/>
        <w:tabs>
          <w:tab w:leader="none" w:pos="2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carrying an equivalent rating by any rating agency set forth on Schedule 1.1B or any nationally recognized rating agency, if S&amp;P and all the rating agencies on Schedule 1.1B cease publishing ratings of commercial paper issues generally, and maturing within six months from the date of acquisition; (d) repurchase obligations of any Bank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carry an equivalent rating by any rating agency set forth on Schedule 1.1B or any nationally recognized rating agency;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carry an equivalent rating by any rating agency set forth on Schedule 1.1B and (iii) have portfolio assets of at least $5,000,000,000.</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85" w:name="page86"/>
    <w:bookmarkEnd w:id="85"/>
    <w:p>
      <w:pPr>
        <w:ind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the acquisition by any individual or group (other than the Managing Directors, LAZ-MD Holdings, or, in the case of the Company, Holdings or its controlled affiliates) of beneficial ownership of more than 50% of either (i) the then-outstanding shares of Holdings Capital Stock, assuming the full exchange of all of the then-outstanding Exchangeable Interests for shares of Holdings Capital Stock in accordance with the Master Separation Agreement,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 (a) pursuant to which the Company and Holdings become Subsidiaries of another person (such person, the “</w:t>
      </w:r>
      <w:r>
        <w:rPr>
          <w:rFonts w:ascii="Arial" w:cs="Arial" w:eastAsia="Arial" w:hAnsi="Arial"/>
          <w:sz w:val="16"/>
          <w:szCs w:val="16"/>
          <w:u w:val="single" w:color="auto"/>
          <w:color w:val="auto"/>
        </w:rPr>
        <w:t>Parent Company</w:t>
      </w:r>
      <w:r>
        <w:rPr>
          <w:rFonts w:ascii="Arial" w:cs="Arial" w:eastAsia="Arial" w:hAnsi="Arial"/>
          <w:sz w:val="16"/>
          <w:szCs w:val="16"/>
          <w:color w:val="auto"/>
        </w:rPr>
        <w:t>”) and such Parent Company shall not have an individual or group having beneficial ownership of more than 50% of the Capital Stock of the Parent Company generally entitled to elect the directors of the Parent Company), (b) failure of Continuing Directors to constitute a majority of the Board of Directors of Holdings or (c)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 from time to time, and the regulations promulgated and the rulings issued thereunder.</w:t>
      </w:r>
    </w:p>
    <w:p>
      <w:pPr>
        <w:spacing w:after="0" w:line="113"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each Bank, its obligation to make Loans to the Company in an aggregate principal amount not to exceed the amount set forth opposite such Bank’s name on Schedule 1.1A; collectively, as to the Banks, the “Commitments”.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the Commitment Fee Rate will be determined in accordance with the Pricing Grid.</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as to each Bank, the percentage of the amount of the aggregate Commitments constituted by the amount of such Bank’s Commitment.</w:t>
      </w:r>
    </w:p>
    <w:p>
      <w:pPr>
        <w:spacing w:after="0" w:line="51"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on any date of determination thereof, the period from and including the Effective Date to but not including the earlier to occur of (a) the Maturity Date or (b) such other date as the Commitments shall terminate as provided herein.</w:t>
      </w:r>
    </w:p>
    <w:p>
      <w:pPr>
        <w:spacing w:after="0" w:line="51"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Interest</w:t>
      </w:r>
      <w:r>
        <w:rPr>
          <w:rFonts w:ascii="Arial" w:cs="Arial" w:eastAsia="Arial" w:hAnsi="Arial"/>
          <w:sz w:val="18"/>
          <w:szCs w:val="18"/>
          <w:color w:val="auto"/>
        </w:rPr>
        <w:t>”: as defined in the operating agreement of the Company or any other Capital Stock of the Company which shall replace the Common Interest.</w:t>
      </w:r>
    </w:p>
    <w:p>
      <w:pPr>
        <w:spacing w:after="0" w:line="51" w:lineRule="exact"/>
        <w:rPr>
          <w:sz w:val="20"/>
          <w:szCs w:val="20"/>
          <w:color w:val="auto"/>
        </w:rPr>
      </w:pPr>
    </w:p>
    <w:p>
      <w:pPr>
        <w:jc w:val="both"/>
        <w:ind w:right="28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Commonly Controlled Entity</w:t>
      </w:r>
      <w:r>
        <w:rPr>
          <w:rFonts w:ascii="Arial" w:cs="Arial" w:eastAsia="Arial" w:hAnsi="Arial"/>
          <w:sz w:val="15"/>
          <w:szCs w:val="15"/>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as defined in Section 12.2.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the Common Interests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for any period, an amount determined for the Company and its Subsidiaries on a consolidated basis equal to</w:t>
      </w:r>
    </w:p>
    <w:p>
      <w:pPr>
        <w:spacing w:after="0" w:line="38" w:lineRule="exact"/>
        <w:rPr>
          <w:sz w:val="20"/>
          <w:szCs w:val="20"/>
          <w:color w:val="auto"/>
        </w:rPr>
      </w:pPr>
    </w:p>
    <w:p>
      <w:pPr>
        <w:ind w:right="80" w:firstLine="4"/>
        <w:spacing w:after="0" w:line="288" w:lineRule="auto"/>
        <w:tabs>
          <w:tab w:leader="none" w:pos="23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sum, without duplication, of the amounts for such period of (i) Consolidated Net Income, (ii) Consolidated Interest Expense, (iii) provisions for taxes based on income plus tax distributions in accordance with the Company’s operating agreement (computed on a cash basis), (iv) total depreciation expense, (v) total amortization expense, (vi) other non-cash expenses, fees, charges, reserves or losses reducing Consolidated Net Income (excluding any such non-cash item otherwise included in this clause (vi) 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42"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Adjusted EBITDA for such period to (b) Consolidated Interest Expense for such period.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86" w:name="page87"/>
    <w:bookmarkEnd w:id="86"/>
    <w:p>
      <w:pPr>
        <w:ind w:right="160"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 interest income on marketable securities, and (ii) in the case of Broker-Dealer Indebtedness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37"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as at the last day of any fiscal quarter, the ratio of (a) Consolidated Total Debt on such day to (b) Consolidated Adjusted EBITDA for the period of four consecutive fiscal quarters then ended.</w:t>
      </w:r>
    </w:p>
    <w:p>
      <w:pPr>
        <w:spacing w:after="0" w:line="51"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for any period, the net income (or loss) of the Company and its Subsidiaries on a consolidated basis for such period taken as a single accounting period determined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 to SFAS 141 and (e) any non-cash expenses realized or resulting from employee benefit plans or post-employment benefit plans, grants of restricted stock, restricted stock units, stock appreciation rights, stock options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Except for purposes of calculation under Section 7.8 (e) (ii), Consolidated Net Income shall be reduced by an amount equal to the tax distributions (computed on a cash basis) in accordance with the Company’s operating agreement.</w:t>
      </w:r>
    </w:p>
    <w:p>
      <w:pPr>
        <w:spacing w:after="0" w:line="40"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xml:space="preserve">”: at any date, the aggregate principal amount of all Indebtedness of the Company and its Subsidiaries at such date,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duplication, “Consolidated Total Debt” shall not include (a) the Indebtedness of Lazard Frères Banque or any Broker-Dealer Indebtedness (other than Broker-Dealer Indebtedness that is included in the calculation used to determine the capital requirements of any of the Company’s Subsidiaries) or (b) up to $200,000,000 aggregate principal amount of any Subordinated Indebtedness.</w:t>
      </w:r>
    </w:p>
    <w:p>
      <w:pPr>
        <w:spacing w:after="0" w:line="62" w:lineRule="exact"/>
        <w:rPr>
          <w:sz w:val="20"/>
          <w:szCs w:val="20"/>
          <w:color w:val="auto"/>
        </w:rPr>
      </w:pPr>
    </w:p>
    <w:p>
      <w:pPr>
        <w:ind w:right="4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the directors constituting Holdings’ Board of Directors at the close of business on the Effective Date, and each other director, if, in each case, such other director’s nomination for election to the Board of Directors of Holdings is recommended or approved by at least a majority of the then Continuing Directors.</w:t>
      </w:r>
    </w:p>
    <w:p>
      <w:pPr>
        <w:spacing w:after="0" w:line="59"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undertaking to which such Person is a party or by which it or any of its property is bound.</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any of this Agreement or the Notes and all other certificates, documents, instruments or agreements executed and delivered by the Company for the benefit of the Administrative Agent and the Banks in connection herewith.</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87" w:name="page88"/>
    <w:bookmarkEnd w:id="87"/>
    <w:p>
      <w:pPr>
        <w:ind w:right="4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any of the events specified in Section 9, whether or not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Bank, as determined by the Administrative Agent, that has (a) failed to fund any portion of its Loans within three</w:t>
      </w:r>
    </w:p>
    <w:p>
      <w:pPr>
        <w:spacing w:after="0" w:line="38" w:lineRule="exact"/>
        <w:rPr>
          <w:sz w:val="20"/>
          <w:szCs w:val="20"/>
          <w:color w:val="auto"/>
        </w:rPr>
      </w:pPr>
    </w:p>
    <w:p>
      <w:pPr>
        <w:ind w:right="20" w:firstLine="4"/>
        <w:spacing w:after="0" w:line="284"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in writing that it will comply with the terms of this Agreement relating to its obligations to fund prospective Loans, (d) otherwise failed to pay over to the Administrative Agent or any other Bank any other amount required to be paid by it hereunder within three (3) Business Days of the date when due, unless the subject of a good faith dispute, or (e) (i) become or is insolvent or has a parent company that has become or is insolvent, or is generally unable to pay its debts as they become due, or admits in writing its inability to pay its debt as they become due, or makes a general assignment for the benefit of its creditors, or (ii) become the subject of a bankruptcy,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or has a parent company that has become the subject of a bankruptcy,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Any determination by the Administrative Agent that a Bank is a Defaulting Lender under any of clauses (a) through (e) above will be conclusive and binding absent manifest error, and such Bank will be deemed to be a Defaulting Lender (subject to Section 2.19(c)) upon notification of such determination by the Administrative Agent to the Company and the Banks.</w:t>
      </w:r>
    </w:p>
    <w:p>
      <w:pPr>
        <w:spacing w:after="0" w:line="47"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Asset Sale</w:t>
      </w:r>
      <w:r>
        <w:rPr>
          <w:rFonts w:ascii="Arial" w:cs="Arial" w:eastAsia="Arial" w:hAnsi="Arial"/>
          <w:sz w:val="16"/>
          <w:szCs w:val="16"/>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4"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each of Lazard Frères &amp; Co. LLC, Lazard Asset Management LLC, Lazard &amp; Co., Limited and Compagnie Financière Lazard Frères SAS and each of their respective successors.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Amount</w:t>
      </w:r>
      <w:r>
        <w:rPr>
          <w:rFonts w:ascii="Arial" w:cs="Arial" w:eastAsia="Arial" w:hAnsi="Arial"/>
          <w:sz w:val="18"/>
          <w:szCs w:val="18"/>
          <w:color w:val="auto"/>
        </w:rPr>
        <w:t>”: as defined in Section 2.18.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Dodd-Frank</w:t>
      </w:r>
      <w:r>
        <w:rPr>
          <w:rFonts w:ascii="Arial" w:cs="Arial" w:eastAsia="Arial" w:hAnsi="Arial"/>
          <w:sz w:val="18"/>
          <w:szCs w:val="18"/>
          <w:color w:val="auto"/>
        </w:rPr>
        <w:t>”: means the Dodd-Frank Wall Street Reform and Consumer Protection Act, Pub. L. 111-203 (2010).</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 and “$</w:t>
      </w:r>
      <w:r>
        <w:rPr>
          <w:rFonts w:ascii="Arial" w:cs="Arial" w:eastAsia="Arial" w:hAnsi="Arial"/>
          <w:sz w:val="18"/>
          <w:szCs w:val="18"/>
          <w:color w:val="auto"/>
        </w:rPr>
        <w:t>”: dollars in lawful currency of the United States.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the date on which all the conditions set forth in Section 5.1 are satisfied.</w:t>
      </w:r>
    </w:p>
    <w:p>
      <w:pPr>
        <w:spacing w:after="0" w:line="9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 Section references to ERISA are to ERISA, as in effect at the Effective Date and any subsequent provisions of ERISA, amendatory thereof, supplemental thereto or substituted therefor.</w:t>
      </w:r>
    </w:p>
    <w:p>
      <w:pPr>
        <w:spacing w:after="0" w:line="59"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88" w:name="page89"/>
    <w:bookmarkEnd w:id="88"/>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thereto) dealing with reserve requirements prescribed for eurocurrency funding (currently referred to as “Eurocurrency Liabilities” in Regulation D of the Board of Governors) maintained by a member bank of the Federal Reserve System.</w:t>
      </w:r>
    </w:p>
    <w:p>
      <w:pPr>
        <w:spacing w:after="0" w:line="51"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Eurodollar Base Rate</w:t>
      </w:r>
      <w:r>
        <w:rPr>
          <w:rFonts w:ascii="Arial" w:cs="Arial" w:eastAsia="Arial" w:hAnsi="Arial"/>
          <w:sz w:val="15"/>
          <w:szCs w:val="15"/>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(2) Business Days prior to the beginning of such Interest Period. In the event that such rate does not appear on the Reuters Screen LIBOR01 Page (or otherwise on such screen), the “</w:t>
      </w:r>
      <w:r>
        <w:rPr>
          <w:rFonts w:ascii="Arial" w:cs="Arial" w:eastAsia="Arial" w:hAnsi="Arial"/>
          <w:sz w:val="15"/>
          <w:szCs w:val="15"/>
          <w:u w:val="single" w:color="auto"/>
          <w:color w:val="auto"/>
        </w:rPr>
        <w:t>Eurodollar Base Rate</w:t>
      </w:r>
      <w:r>
        <w:rPr>
          <w:rFonts w:ascii="Arial" w:cs="Arial" w:eastAsia="Arial" w:hAnsi="Arial"/>
          <w:sz w:val="15"/>
          <w:szCs w:val="15"/>
          <w:color w:val="auto"/>
        </w:rPr>
        <w:t>” shall be determined by reference to such other comparable publicly available service for displaying eurodollar rates as may be selected by the Administrative Agent or, in the absence of such availability, by reference to the rate at which the Administrative Agent is offered Dollar deposits at or about 11:00 A.M., New York City time, two</w:t>
      </w:r>
    </w:p>
    <w:p>
      <w:pPr>
        <w:spacing w:after="0" w:line="1" w:lineRule="exact"/>
        <w:rPr>
          <w:sz w:val="20"/>
          <w:szCs w:val="20"/>
          <w:color w:val="auto"/>
        </w:rPr>
      </w:pPr>
    </w:p>
    <w:p>
      <w:pPr>
        <w:ind w:right="60" w:firstLine="4"/>
        <w:spacing w:after="0" w:line="323"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w:t>
      </w:r>
      <w:r>
        <w:rPr>
          <w:rFonts w:ascii="Arial" w:cs="Arial" w:eastAsia="Arial" w:hAnsi="Arial"/>
          <w:sz w:val="11"/>
          <w:szCs w:val="11"/>
          <w:color w:val="auto"/>
        </w:rPr>
        <w:t>th</w:t>
      </w:r>
      <w:r>
        <w:rPr>
          <w:rFonts w:ascii="Arial" w:cs="Arial" w:eastAsia="Arial" w:hAnsi="Arial"/>
          <w:sz w:val="18"/>
          <w:szCs w:val="18"/>
          <w:color w:val="auto"/>
        </w:rPr>
        <w:t xml:space="preserve"> of 1%):</w:t>
      </w:r>
    </w:p>
    <w:p>
      <w:pPr>
        <w:spacing w:after="0" w:line="1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10795</wp:posOffset>
            </wp:positionV>
            <wp:extent cx="49225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1.00 - Eurocurrency Reserve Requirements</w:t>
      </w:r>
    </w:p>
    <w:p>
      <w:pPr>
        <w:spacing w:after="0" w:line="171"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Section 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the New York Stock Exchange, Inc.</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Exchangeable Interest</w:t>
      </w:r>
      <w:r>
        <w:rPr>
          <w:rFonts w:ascii="Arial" w:cs="Arial" w:eastAsia="Arial" w:hAnsi="Arial"/>
          <w:sz w:val="18"/>
          <w:szCs w:val="18"/>
          <w:color w:val="auto"/>
        </w:rPr>
        <w:t>”: a Class II Interest of LAZ-MD Holdings (or, if applicable, the Common Interest of the Company issued in exchange therefor) that, upon full exchange in accordance with the Master Separation Agreement, is entitled to receive share(s) of Holdings Capital Stock as set forth in the Master Separation Agreement.</w:t>
      </w:r>
    </w:p>
    <w:p>
      <w:pPr>
        <w:spacing w:after="0" w:line="59"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1</w:t>
      </w:r>
      <w:r>
        <w:rPr>
          <w:rFonts w:ascii="Arial" w:cs="Arial" w:eastAsia="Arial" w:hAnsi="Arial"/>
          <w:sz w:val="18"/>
          <w:szCs w:val="18"/>
          <w:color w:val="auto"/>
        </w:rPr>
        <w:t>”: the Senior Revolving Credit Agreement dated as of May 10, 2005, as amended, among the Company, the banks from time to time parties hereto, and JPMorgan Chase Bank, N.A., as administrative agent.</w:t>
      </w:r>
    </w:p>
    <w:p>
      <w:pPr>
        <w:spacing w:after="0" w:line="51"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 2</w:t>
      </w:r>
      <w:r>
        <w:rPr>
          <w:rFonts w:ascii="Arial" w:cs="Arial" w:eastAsia="Arial" w:hAnsi="Arial"/>
          <w:sz w:val="18"/>
          <w:szCs w:val="18"/>
          <w:color w:val="auto"/>
        </w:rPr>
        <w:t>”: the Senior Revolving Credit Agreement dated as of April 29, 2010, as amended, among the Company, the banks from time to time parties hereto, and Citibank, N.A., as administrative agent.</w:t>
      </w:r>
    </w:p>
    <w:p>
      <w:pPr>
        <w:spacing w:after="0" w:line="5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4"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intergovernmental agreements entered into by the United States in connection with the implementation of such Sections of the Code (or any such amended or successor version thereof).</w:t>
      </w:r>
    </w:p>
    <w:p>
      <w:pPr>
        <w:spacing w:after="0" w:line="32" w:lineRule="exact"/>
        <w:rPr>
          <w:sz w:val="20"/>
          <w:szCs w:val="20"/>
          <w:color w:val="auto"/>
        </w:rPr>
      </w:pPr>
    </w:p>
    <w:p>
      <w:pPr>
        <w:ind w:right="1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 Rate</w:t>
      </w:r>
      <w:r>
        <w:rPr>
          <w:rFonts w:ascii="Arial" w:cs="Arial" w:eastAsia="Arial" w:hAnsi="Arial"/>
          <w:sz w:val="16"/>
          <w:szCs w:val="16"/>
          <w:color w:val="auto"/>
        </w:rPr>
        <w:t>”: with respect to (a) the first day in each period during which a Fed Rate Loan is outstanding, the rate per annum which is the average of the rates on the offered side of the Federal funds market quoted by three interbank Federal funds brokers selected by the Administrative Agent at</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89" w:name="page90"/>
    <w:bookmarkEnd w:id="8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approximately the time the Company requests such Fed Rate Loan, for dollar deposits in immediately available funds, for a period and in an amount, comparable to the principal amount of such Fed Rate Loan, and (b) for each day in such period thereafter, the rate per annum which is the average of the rates on the offered side of the Federal funds market quoted by three interbank Federal funds brokers selected by the Administrative Agent at approximately 1:00 p.m., New York City time, on such date for dollar deposits in immediately available funds, for a period and in an amount comparable to the principal amount of such Fed Rate Loan; in the case of both clauses (a) and (b) above, as determined by the Administrative Agent and rounded upwards, if necessary, to the nearest 1/100 of 1%.</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 Loans</w:t>
      </w:r>
      <w:r>
        <w:rPr>
          <w:rFonts w:ascii="Arial" w:cs="Arial" w:eastAsia="Arial" w:hAnsi="Arial"/>
          <w:sz w:val="18"/>
          <w:szCs w:val="18"/>
          <w:color w:val="auto"/>
        </w:rPr>
        <w:t>”: Loans the rate of interest applicable to which is based upon the Fed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the Fee Letter dated as of August 31, 2012 among the Lead Arranger, the Administrative Agent and the Company.</w:t>
      </w:r>
    </w:p>
    <w:p>
      <w:pPr>
        <w:spacing w:after="0" w:line="90"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each employee benefit plan (within the meaning of Section 3(3) of ERISA, whether or not subject to ERISA) that is not subject to U.S. law and is maintained or contributed to (or within the past six years has been maintained or contributed to) by the Company, any of its Significant Subsidiaries or any Commonly Controlled Entity.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w:t>
      </w:r>
    </w:p>
    <w:p>
      <w:pPr>
        <w:spacing w:after="0" w:line="90"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and any entity exercising executive, legislative, judicial, regulatory or administrative functions of or pertaining to government.</w:t>
      </w:r>
    </w:p>
    <w:p>
      <w:pPr>
        <w:spacing w:after="0" w:line="51" w:lineRule="exact"/>
        <w:rPr>
          <w:sz w:val="20"/>
          <w:szCs w:val="20"/>
          <w:color w:val="auto"/>
        </w:rPr>
      </w:pPr>
    </w:p>
    <w:p>
      <w:pPr>
        <w:ind w:right="22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Obligation</w:t>
      </w:r>
      <w:r>
        <w:rPr>
          <w:rFonts w:ascii="Arial" w:cs="Arial" w:eastAsia="Arial" w:hAnsi="Arial"/>
          <w:sz w:val="15"/>
          <w:szCs w:val="15"/>
          <w:color w:val="auto"/>
        </w:rPr>
        <w:t>”: as to any Person (the “</w:t>
      </w:r>
      <w:r>
        <w:rPr>
          <w:rFonts w:ascii="Arial" w:cs="Arial" w:eastAsia="Arial" w:hAnsi="Arial"/>
          <w:sz w:val="15"/>
          <w:szCs w:val="15"/>
          <w:u w:val="single" w:color="auto"/>
          <w:color w:val="auto"/>
        </w:rPr>
        <w:t>guaranteeing person</w:t>
      </w:r>
      <w:r>
        <w:rPr>
          <w:rFonts w:ascii="Arial" w:cs="Arial" w:eastAsia="Arial" w:hAnsi="Arial"/>
          <w:sz w:val="15"/>
          <w:szCs w:val="15"/>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5"/>
          <w:szCs w:val="15"/>
          <w:u w:val="single" w:color="auto"/>
          <w:color w:val="auto"/>
        </w:rPr>
        <w:t>primary obligations</w:t>
      </w:r>
      <w:r>
        <w:rPr>
          <w:rFonts w:ascii="Arial" w:cs="Arial" w:eastAsia="Arial" w:hAnsi="Arial"/>
          <w:sz w:val="15"/>
          <w:szCs w:val="15"/>
          <w:color w:val="auto"/>
        </w:rPr>
        <w:t>”) of any other third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spacing w:after="0" w:line="2" w:lineRule="exact"/>
        <w:rPr>
          <w:sz w:val="20"/>
          <w:szCs w:val="20"/>
          <w:color w:val="auto"/>
        </w:rPr>
      </w:pPr>
    </w:p>
    <w:p>
      <w:pPr>
        <w:ind w:left="220" w:hanging="216"/>
        <w:spacing w:after="0"/>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the purchase or payment of any such primary obligation or (ii) to maintain working capital or equity capital of the primary obligor or otherwise to</w:t>
      </w:r>
    </w:p>
    <w:p>
      <w:pPr>
        <w:spacing w:after="0" w:line="32" w:lineRule="exact"/>
        <w:rPr>
          <w:rFonts w:ascii="Arial" w:cs="Arial" w:eastAsia="Arial" w:hAnsi="Arial"/>
          <w:sz w:val="16"/>
          <w:szCs w:val="16"/>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assurances given in the ordinary course of business for the payment of obligations of customers or suppliers of the Company or any Subsidiary, customary indemnifications, representations and 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Lazard Ltd.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Capital Stock</w:t>
      </w:r>
      <w:r>
        <w:rPr>
          <w:rFonts w:ascii="Arial" w:cs="Arial" w:eastAsia="Arial" w:hAnsi="Arial"/>
          <w:sz w:val="18"/>
          <w:szCs w:val="18"/>
          <w:color w:val="auto"/>
        </w:rPr>
        <w:t>”: the Class A common stock, par value $.01 per share, of Holdings.</w:t>
      </w:r>
    </w:p>
    <w:p>
      <w:pPr>
        <w:spacing w:after="0" w:line="90"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90" w:name="page91"/>
    <w:bookmarkEnd w:id="9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“mandatory” convertible or exchangeable indebtedness of such Person and all “mandatory” redeemable preferred Capital Stock of such Person, (h) the amount then outstanding under any Receivables Financing, (i) all Guarantee Obligations of such Person in respect of obligations of the kind referred to in clauses (a) 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(1) for the avoidance of doubt, deposits or other funds held by Subsidiaries that are regulated banks or registered broker-dealers for the benefit of, or owed to, their customers in the ordinary course of business and (2) 80% of “mandatory” convertible or exchangeable Indebtedness prior to the remarketing period for such Indebtedness. After the remarketing period, Indebtedness shall include (x) the principal amount of any remarketed Indebtedness relating to “mandatory” convertible or exchangeable Indebtedness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(y) any Cash and Cash Equivalents of the Company and its Subsidiaries to the extent such Cash and Cash Equivalents are greater than $50,000,000.</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as defined in Section 12.5.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12.5.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90"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Installment Notes</w:t>
      </w:r>
      <w:r>
        <w:rPr>
          <w:rFonts w:ascii="Arial" w:cs="Arial" w:eastAsia="Arial" w:hAnsi="Arial"/>
          <w:sz w:val="18"/>
          <w:szCs w:val="18"/>
          <w:color w:val="auto"/>
        </w:rPr>
        <w:t>”: Indebtedness issued by the Company or any Subsidiary to facilitate the deferral by clients of capital gains which result from securities transactions.</w:t>
      </w:r>
    </w:p>
    <w:p>
      <w:pPr>
        <w:spacing w:after="0" w:line="51"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Fed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with respect to any Eurodollar Loan:</w:t>
      </w:r>
    </w:p>
    <w:p>
      <w:pPr>
        <w:spacing w:after="0" w:line="90" w:lineRule="exact"/>
        <w:rPr>
          <w:sz w:val="20"/>
          <w:szCs w:val="20"/>
          <w:color w:val="auto"/>
        </w:rPr>
      </w:pPr>
    </w:p>
    <w:p>
      <w:pPr>
        <w:ind w:left="460" w:right="180" w:firstLine="421"/>
        <w:spacing w:after="0" w:line="256" w:lineRule="auto"/>
        <w:tabs>
          <w:tab w:leader="none" w:pos="11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initially, the period commencing on the Borrowing Date or date of conversion pursuant to Section 2.7, as the case may be, with respect to such Eurodollar Loan and ending one, two, three or six (or, if available to all relevant Banks, nine or twelve) months thereafter, as selected by the Company in its notice of borrowing pursuant to Section 2.6 or notice of conversion pursuant to Section 2.7, as the case may be, given with respect thereto; and</w:t>
      </w:r>
    </w:p>
    <w:p>
      <w:pPr>
        <w:spacing w:after="0" w:line="62" w:lineRule="exact"/>
        <w:rPr>
          <w:rFonts w:ascii="Arial" w:cs="Arial" w:eastAsia="Arial" w:hAnsi="Arial"/>
          <w:sz w:val="18"/>
          <w:szCs w:val="18"/>
          <w:color w:val="auto"/>
        </w:rPr>
      </w:pPr>
    </w:p>
    <w:p>
      <w:pPr>
        <w:ind w:left="460" w:right="240" w:firstLine="421"/>
        <w:spacing w:after="0" w:line="335" w:lineRule="auto"/>
        <w:tabs>
          <w:tab w:leader="none" w:pos="112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thereafter, each period commencing on the last day of the next preceding Interest Period applicable to such Eurodollar Loan and ending one, two, three or six (or, if available to all relevant Banks, nine or twelve) months thereafter, as selected by the Company by irrevocable notice to the Administrative Agent not less than three (3) Business Days prior to the last day of the then current Interest Period with respect thereto;</w:t>
      </w:r>
    </w:p>
    <w:p>
      <w:pPr>
        <w:spacing w:after="0" w:line="7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that the foregoing provisions relating to Interest Periods are subject to the following:</w:t>
      </w:r>
    </w:p>
    <w:p>
      <w:pPr>
        <w:spacing w:after="0" w:line="90" w:lineRule="exact"/>
        <w:rPr>
          <w:sz w:val="20"/>
          <w:szCs w:val="20"/>
          <w:color w:val="auto"/>
        </w:rPr>
      </w:pPr>
    </w:p>
    <w:p>
      <w:pPr>
        <w:jc w:val="both"/>
        <w:ind w:left="460" w:right="60" w:firstLine="421"/>
        <w:spacing w:after="0" w:line="306" w:lineRule="auto"/>
        <w:tabs>
          <w:tab w:leader="none" w:pos="108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Maturity Date shall end on the Maturity Date; and</w:t>
      </w:r>
    </w:p>
    <w:p>
      <w:pPr>
        <w:spacing w:after="0" w:line="90" w:lineRule="exact"/>
        <w:rPr>
          <w:rFonts w:ascii="Arial" w:cs="Arial" w:eastAsia="Arial" w:hAnsi="Arial"/>
          <w:sz w:val="18"/>
          <w:szCs w:val="18"/>
          <w:color w:val="auto"/>
        </w:rPr>
      </w:pPr>
    </w:p>
    <w:p>
      <w:pPr>
        <w:ind w:left="460" w:firstLine="421"/>
        <w:spacing w:after="0" w:line="357" w:lineRule="auto"/>
        <w:tabs>
          <w:tab w:leader="none" w:pos="1187" w:val="left"/>
        </w:tabs>
        <w:numPr>
          <w:ilvl w:val="0"/>
          <w:numId w:val="59"/>
        </w:numPr>
        <w:rPr>
          <w:rFonts w:ascii="Arial" w:cs="Arial" w:eastAsia="Arial" w:hAnsi="Arial"/>
          <w:sz w:val="15"/>
          <w:szCs w:val="15"/>
          <w:color w:val="auto"/>
        </w:rPr>
      </w:pPr>
      <w:r>
        <w:rPr>
          <w:rFonts w:ascii="Arial" w:cs="Arial" w:eastAsia="Arial" w:hAnsi="Arial"/>
          <w:sz w:val="15"/>
          <w:szCs w:val="15"/>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w:t>
      </w:r>
    </w:p>
    <w:p>
      <w:pPr>
        <w:ind w:right="1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LAZ-MD Holdings</w:t>
      </w:r>
      <w:r>
        <w:rPr>
          <w:rFonts w:ascii="Arial" w:cs="Arial" w:eastAsia="Arial" w:hAnsi="Arial"/>
          <w:sz w:val="18"/>
          <w:szCs w:val="18"/>
          <w:color w:val="auto"/>
        </w:rPr>
        <w:t>”: LAZ-MD Holdings LLC, a Delaware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Citigroup Global Markets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LFNY</w:t>
      </w:r>
      <w:r>
        <w:rPr>
          <w:rFonts w:ascii="Arial" w:cs="Arial" w:eastAsia="Arial" w:hAnsi="Arial"/>
          <w:sz w:val="18"/>
          <w:szCs w:val="18"/>
          <w:color w:val="auto"/>
        </w:rPr>
        <w:t>”: Lazard Frères &amp; Co. LLC, a New York limited liability company.</w:t>
      </w:r>
    </w:p>
    <w:p>
      <w:pPr>
        <w:spacing w:after="0" w:line="90"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each loan made to the Company pursuant to Section 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the collective reference to the Loans.</w:t>
      </w:r>
    </w:p>
    <w:p>
      <w:pPr>
        <w:spacing w:after="0" w:line="90"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Managing Directors</w:t>
      </w:r>
      <w:r>
        <w:rPr>
          <w:rFonts w:ascii="Arial" w:cs="Arial" w:eastAsia="Arial" w:hAnsi="Arial"/>
          <w:sz w:val="16"/>
          <w:szCs w:val="16"/>
          <w:color w:val="auto"/>
        </w:rPr>
        <w:t>”: the collective reference to each of the managing directors of Holdings, the Company, LFCM Holdings LLC or any of their respective controlled affiliates who holds, directly or indirectly, an equity interest of Holdings or securities convertible or exchangeable into equity interests of Holdings (including without limitation Exchangeable Interests, restricted stock, restricted stock units or other issuances under Holdings’ equity incentive plan) and each trust, estate planning vehicle or other entity that holds or shall be transferred any such interest for tax or estate planning purposes.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90"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Separation Agreement</w:t>
      </w:r>
      <w:r>
        <w:rPr>
          <w:rFonts w:ascii="Arial" w:cs="Arial" w:eastAsia="Arial" w:hAnsi="Arial"/>
          <w:sz w:val="18"/>
          <w:szCs w:val="18"/>
          <w:color w:val="auto"/>
        </w:rPr>
        <w:t>”: means the Master Separation Agreement, dated as of May 10, 2005, by and among Holdings, LAZ-MD Holdings, the Company and LFCM Holdings LLC, as amended from time to time.</w:t>
      </w:r>
    </w:p>
    <w:p>
      <w:pPr>
        <w:spacing w:after="0" w:line="51"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date which is the third anniversary of the Effective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Equity</w:t>
      </w:r>
      <w:r>
        <w:rPr>
          <w:rFonts w:ascii="Arial" w:cs="Arial" w:eastAsia="Arial" w:hAnsi="Arial"/>
          <w:sz w:val="18"/>
          <w:szCs w:val="18"/>
          <w:color w:val="auto"/>
        </w:rPr>
        <w:t>”: ownership equity of the Company represented by common members’ interests.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multiemployer plan as defined in Section 4001(a)(3) of ERISA.</w:t>
      </w:r>
    </w:p>
    <w:p>
      <w:pPr>
        <w:spacing w:after="0" w:line="90"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the National Association of Securities Dealers, Inc., or any other self-regulatory body which succeeds to the functions of the National Association of Securities Dealers, Inc.</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92" w:name="page93"/>
    <w:bookmarkEnd w:id="92"/>
    <w:p>
      <w:pPr>
        <w:ind w:firstLine="438"/>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Net Proceeds</w:t>
      </w:r>
      <w:r>
        <w:rPr>
          <w:rFonts w:ascii="Arial" w:cs="Arial" w:eastAsia="Arial" w:hAnsi="Arial"/>
          <w:sz w:val="16"/>
          <w:szCs w:val="16"/>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 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 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45"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2.17(a).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as defined in Section 2.2; collectively, the “Notes”.</w:t>
      </w:r>
    </w:p>
    <w:p>
      <w:pPr>
        <w:spacing w:after="0" w:line="90"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37"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4"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Lease</w:t>
      </w:r>
      <w:r>
        <w:rPr>
          <w:rFonts w:ascii="Arial" w:cs="Arial" w:eastAsia="Arial" w:hAnsi="Arial"/>
          <w:sz w:val="18"/>
          <w:szCs w:val="18"/>
          <w:color w:val="auto"/>
        </w:rPr>
        <w:t>”: the sale and lease-back of the real properties located at 121 Boulevard Haussmann, 75008, Paris, 119 Boulevard Haussmann, 75008, Paris, and 10 Avenue Percier, 75008, Paris.</w:t>
      </w:r>
    </w:p>
    <w:p>
      <w:pPr>
        <w:spacing w:after="0" w:line="51" w:lineRule="exact"/>
        <w:rPr>
          <w:sz w:val="20"/>
          <w:szCs w:val="20"/>
          <w:color w:val="auto"/>
        </w:rPr>
      </w:pPr>
    </w:p>
    <w:p>
      <w:pPr>
        <w:ind w:right="2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Profit Sharing Plan</w:t>
      </w:r>
      <w:r>
        <w:rPr>
          <w:rFonts w:ascii="Arial" w:cs="Arial" w:eastAsia="Arial" w:hAnsi="Arial"/>
          <w:sz w:val="18"/>
          <w:szCs w:val="18"/>
          <w:color w:val="auto"/>
        </w:rPr>
        <w:t>”: that certain Accord de participation de groupe initially dated March 21, 1996 among Lazard Frères SAS and its employees, Lazard Frères Gestion SAS and its employees, Maison Lazard SAS, Lazard Frères Banque and its employees and Fonds Partenaires Gestion and its employees.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12.7.</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90" w:lineRule="exact"/>
        <w:rPr>
          <w:sz w:val="20"/>
          <w:szCs w:val="20"/>
          <w:color w:val="auto"/>
        </w:rPr>
      </w:pPr>
    </w:p>
    <w:p>
      <w:pPr>
        <w:jc w:val="both"/>
        <w:ind w:right="30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Reserve Letter Agreement</w:t>
      </w:r>
      <w:r>
        <w:rPr>
          <w:rFonts w:ascii="Arial" w:cs="Arial" w:eastAsia="Arial" w:hAnsi="Arial"/>
          <w:sz w:val="16"/>
          <w:szCs w:val="16"/>
          <w:color w:val="auto"/>
        </w:rPr>
        <w:t>”: the letter agreement dated June 30, 2009, from Holdings and Lazard &amp; Co., Holdings Limited to the Staff Pension Trustees and the Directors’ Pension Trustees (in each case as defined therein), in respect of reserves to be retained by Lazard &amp; Co., Holdings Limited, Lazard &amp; Co., Limited and Lazard &amp; Co., Services Limited for certain pension obligations, and as such letter agreement is further amended, restated, modified, supplemented or replaced from time to time, in each case with respect to the same or similar such reserves.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Financings</w:t>
      </w:r>
      <w:r>
        <w:rPr>
          <w:rFonts w:ascii="Arial" w:cs="Arial" w:eastAsia="Arial" w:hAnsi="Arial"/>
          <w:sz w:val="18"/>
          <w:szCs w:val="18"/>
          <w:color w:val="auto"/>
        </w:rPr>
        <w:t>”: any Receivables Financing of a Receivables Subsidiary that meets the following conditions:</w:t>
      </w:r>
    </w:p>
    <w:p>
      <w:pPr>
        <w:spacing w:after="0" w:line="90" w:lineRule="exact"/>
        <w:rPr>
          <w:sz w:val="20"/>
          <w:szCs w:val="20"/>
          <w:color w:val="auto"/>
        </w:rPr>
      </w:pPr>
    </w:p>
    <w:p>
      <w:pPr>
        <w:ind w:right="120" w:firstLine="443"/>
        <w:spacing w:after="0" w:line="259" w:lineRule="auto"/>
        <w:tabs>
          <w:tab w:leader="none" w:pos="6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senior management or the Board of Directors of the Company shall have determined in good faith that such Permitted Receivables Financing (including financing terms, covenants, termination events and other provisions) is in the aggregate economically fair and reasonable to the Company and the Receivables Subsidiary;</w:t>
      </w:r>
    </w:p>
    <w:p>
      <w:pPr>
        <w:spacing w:after="0" w:line="59" w:lineRule="exact"/>
        <w:rPr>
          <w:rFonts w:ascii="Arial" w:cs="Arial" w:eastAsia="Arial" w:hAnsi="Arial"/>
          <w:sz w:val="18"/>
          <w:szCs w:val="18"/>
          <w:color w:val="auto"/>
        </w:rPr>
      </w:pPr>
    </w:p>
    <w:p>
      <w:pPr>
        <w:ind w:right="720" w:firstLine="443"/>
        <w:spacing w:after="0" w:line="357" w:lineRule="auto"/>
        <w:tabs>
          <w:tab w:leader="none" w:pos="687" w:val="left"/>
        </w:tabs>
        <w:numPr>
          <w:ilvl w:val="0"/>
          <w:numId w:val="60"/>
        </w:numPr>
        <w:rPr>
          <w:rFonts w:ascii="Arial" w:cs="Arial" w:eastAsia="Arial" w:hAnsi="Arial"/>
          <w:sz w:val="15"/>
          <w:szCs w:val="15"/>
          <w:color w:val="auto"/>
        </w:rPr>
      </w:pPr>
      <w:r>
        <w:rPr>
          <w:rFonts w:ascii="Arial" w:cs="Arial" w:eastAsia="Arial" w:hAnsi="Arial"/>
          <w:sz w:val="15"/>
          <w:szCs w:val="15"/>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ind w:right="360" w:firstLine="443"/>
        <w:spacing w:after="0" w:line="268" w:lineRule="auto"/>
        <w:tabs>
          <w:tab w:leader="none" w:pos="6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financing terms, covenants, termination events and other provisions thereof shall be market terms (as determined in good faith by senior management or the Board of Directors of the Company).</w:t>
      </w:r>
    </w:p>
    <w:p>
      <w:pPr>
        <w:spacing w:after="0" w:line="51" w:lineRule="exact"/>
        <w:rPr>
          <w:sz w:val="20"/>
          <w:szCs w:val="20"/>
          <w:color w:val="auto"/>
        </w:rPr>
      </w:pPr>
    </w:p>
    <w:p>
      <w:pPr>
        <w:ind w:right="4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any Indebtedness issued in exchange for, or the net proceeds of which are used to extend, refinance, renew, replace, defease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the Indebtedness being Refinanced (or previous refinancings thereof constituting Permitted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 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42"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business trust, joint stock company, trust, unincorporated association, joint venture, Governmental Authority or other entity of whatever nature.</w:t>
      </w:r>
    </w:p>
    <w:p>
      <w:pPr>
        <w:spacing w:after="0" w:line="51" w:lineRule="exact"/>
        <w:rPr>
          <w:sz w:val="20"/>
          <w:szCs w:val="20"/>
          <w:color w:val="auto"/>
        </w:rPr>
      </w:pPr>
    </w:p>
    <w:p>
      <w:pPr>
        <w:jc w:val="both"/>
        <w:ind w:right="6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as defined in Section 12.2.</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700" w:top="280" w:right="33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Pricing Grid</w:t>
      </w:r>
      <w:r>
        <w:rPr>
          <w:rFonts w:ascii="Arial" w:cs="Arial" w:eastAsia="Arial" w:hAnsi="Arial"/>
          <w:sz w:val="18"/>
          <w:szCs w:val="18"/>
          <w:color w:val="auto"/>
        </w:rPr>
        <w:t>”: the table set forth below.</w:t>
      </w:r>
    </w:p>
    <w:p>
      <w:pPr>
        <w:spacing w:after="0" w:line="290"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2000" w:type="dxa"/>
            <w:vAlign w:val="bottom"/>
            <w:gridSpan w:val="2"/>
            <w:vMerge w:val="restart"/>
          </w:tcPr>
          <w:p>
            <w:pPr>
              <w:jc w:val="center"/>
              <w:ind w:right="980"/>
              <w:spacing w:after="0"/>
              <w:rPr>
                <w:sz w:val="20"/>
                <w:szCs w:val="20"/>
                <w:color w:val="auto"/>
              </w:rPr>
            </w:pPr>
            <w:r>
              <w:rPr>
                <w:rFonts w:ascii="Arial" w:cs="Arial" w:eastAsia="Arial" w:hAnsi="Arial"/>
                <w:sz w:val="14"/>
                <w:szCs w:val="14"/>
                <w:color w:val="auto"/>
                <w:w w:val="88"/>
              </w:rPr>
              <w:t>Ratings</w:t>
            </w:r>
          </w:p>
        </w:tc>
        <w:tc>
          <w:tcPr>
            <w:tcW w:w="198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Applicable Margin</w:t>
            </w:r>
          </w:p>
        </w:tc>
        <w:tc>
          <w:tcPr>
            <w:tcW w:w="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200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0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9"/>
              </w:rPr>
              <w:t>(or, if applicable,</w:t>
            </w:r>
          </w:p>
        </w:tc>
        <w:tc>
          <w:tcPr>
            <w:tcW w:w="1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0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7"/>
              </w:rPr>
              <w:t>equivalent ratings</w:t>
            </w:r>
          </w:p>
        </w:tc>
        <w:tc>
          <w:tcPr>
            <w:tcW w:w="1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0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85"/>
              </w:rPr>
              <w:t>by a rating agency</w:t>
            </w:r>
          </w:p>
        </w:tc>
        <w:tc>
          <w:tcPr>
            <w:tcW w:w="1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00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88"/>
              </w:rPr>
              <w:t>set forth on</w:t>
            </w:r>
          </w:p>
        </w:tc>
        <w:tc>
          <w:tcPr>
            <w:tcW w:w="1980" w:type="dxa"/>
            <w:vAlign w:val="bottom"/>
          </w:tcPr>
          <w:p>
            <w:pPr>
              <w:jc w:val="center"/>
              <w:ind w:left="599"/>
              <w:spacing w:after="0" w:line="149" w:lineRule="exact"/>
              <w:rPr>
                <w:sz w:val="20"/>
                <w:szCs w:val="20"/>
                <w:color w:val="auto"/>
              </w:rPr>
            </w:pPr>
            <w:r>
              <w:rPr>
                <w:rFonts w:ascii="Arial" w:cs="Arial" w:eastAsia="Arial" w:hAnsi="Arial"/>
                <w:sz w:val="14"/>
                <w:szCs w:val="14"/>
                <w:color w:val="auto"/>
                <w:w w:val="90"/>
              </w:rPr>
              <w:t>Eurodollar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color w:val="auto"/>
                <w:w w:val="85"/>
              </w:rPr>
              <w:t>Federal Funds Rate</w:t>
            </w:r>
          </w:p>
        </w:tc>
        <w:tc>
          <w:tcPr>
            <w:tcW w:w="2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Commitment</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10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Schedule 1.1B)</w:t>
            </w:r>
          </w:p>
        </w:tc>
        <w:tc>
          <w:tcPr>
            <w:tcW w:w="960" w:type="dxa"/>
            <w:vAlign w:val="bottom"/>
          </w:tcPr>
          <w:p>
            <w:pPr>
              <w:spacing w:after="0"/>
              <w:rPr>
                <w:sz w:val="13"/>
                <w:szCs w:val="13"/>
                <w:color w:val="auto"/>
              </w:rPr>
            </w:pPr>
          </w:p>
        </w:tc>
        <w:tc>
          <w:tcPr>
            <w:tcW w:w="1980" w:type="dxa"/>
            <w:vAlign w:val="bottom"/>
          </w:tcPr>
          <w:p>
            <w:pPr>
              <w:jc w:val="center"/>
              <w:ind w:left="619"/>
              <w:spacing w:after="0" w:line="159" w:lineRule="exact"/>
              <w:rPr>
                <w:sz w:val="20"/>
                <w:szCs w:val="20"/>
                <w:color w:val="auto"/>
              </w:rPr>
            </w:pPr>
            <w:r>
              <w:rPr>
                <w:rFonts w:ascii="Arial" w:cs="Arial" w:eastAsia="Arial" w:hAnsi="Arial"/>
                <w:sz w:val="14"/>
                <w:szCs w:val="14"/>
                <w:color w:val="auto"/>
                <w:w w:val="83"/>
              </w:rPr>
              <w:t>Loans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tcPr>
          <w:p>
            <w:pPr>
              <w:jc w:val="center"/>
              <w:spacing w:after="0" w:line="159" w:lineRule="exact"/>
              <w:rPr>
                <w:sz w:val="20"/>
                <w:szCs w:val="20"/>
                <w:color w:val="auto"/>
              </w:rPr>
            </w:pPr>
            <w:r>
              <w:rPr>
                <w:rFonts w:ascii="Arial" w:cs="Arial" w:eastAsia="Arial" w:hAnsi="Arial"/>
                <w:sz w:val="14"/>
                <w:szCs w:val="14"/>
                <w:color w:val="auto"/>
                <w:w w:val="89"/>
              </w:rPr>
              <w:t>Loans</w:t>
            </w:r>
          </w:p>
        </w:tc>
        <w:tc>
          <w:tcPr>
            <w:tcW w:w="220" w:type="dxa"/>
            <w:vAlign w:val="bottom"/>
          </w:tcPr>
          <w:p>
            <w:pPr>
              <w:spacing w:after="0"/>
              <w:rPr>
                <w:sz w:val="13"/>
                <w:szCs w:val="13"/>
                <w:color w:val="auto"/>
              </w:rPr>
            </w:pPr>
          </w:p>
        </w:tc>
        <w:tc>
          <w:tcPr>
            <w:tcW w:w="2680" w:type="dxa"/>
            <w:vAlign w:val="bottom"/>
          </w:tcPr>
          <w:p>
            <w:pPr>
              <w:jc w:val="center"/>
              <w:spacing w:after="0" w:line="159" w:lineRule="exact"/>
              <w:rPr>
                <w:sz w:val="20"/>
                <w:szCs w:val="20"/>
                <w:color w:val="auto"/>
              </w:rPr>
            </w:pPr>
            <w:r>
              <w:rPr>
                <w:rFonts w:ascii="Arial" w:cs="Arial" w:eastAsia="Arial" w:hAnsi="Arial"/>
                <w:sz w:val="14"/>
                <w:szCs w:val="14"/>
                <w:color w:val="auto"/>
                <w:w w:val="82"/>
              </w:rPr>
              <w:t>Fee</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0" w:type="dxa"/>
            <w:vAlign w:val="bottom"/>
            <w:gridSpan w:val="2"/>
            <w:vMerge w:val="restart"/>
          </w:tcPr>
          <w:p>
            <w:pPr>
              <w:jc w:val="center"/>
              <w:ind w:right="980"/>
              <w:spacing w:after="0"/>
              <w:rPr>
                <w:sz w:val="20"/>
                <w:szCs w:val="20"/>
                <w:color w:val="auto"/>
              </w:rPr>
            </w:pPr>
            <w:r>
              <w:rPr>
                <w:rFonts w:ascii="Arial" w:cs="Arial" w:eastAsia="Arial" w:hAnsi="Arial"/>
                <w:sz w:val="18"/>
                <w:szCs w:val="18"/>
                <w:color w:val="auto"/>
                <w:w w:val="97"/>
              </w:rPr>
              <w:t>³ BBB</w:t>
            </w:r>
          </w:p>
        </w:tc>
        <w:tc>
          <w:tcPr>
            <w:tcW w:w="1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980" w:type="dxa"/>
            <w:vAlign w:val="bottom"/>
          </w:tcPr>
          <w:p>
            <w:pPr>
              <w:jc w:val="center"/>
              <w:ind w:left="619"/>
              <w:spacing w:after="0" w:line="189" w:lineRule="exact"/>
              <w:rPr>
                <w:sz w:val="20"/>
                <w:szCs w:val="20"/>
                <w:color w:val="auto"/>
              </w:rPr>
            </w:pPr>
            <w:r>
              <w:rPr>
                <w:rFonts w:ascii="Arial" w:cs="Arial" w:eastAsia="Arial" w:hAnsi="Arial"/>
                <w:sz w:val="18"/>
                <w:szCs w:val="18"/>
                <w:color w:val="auto"/>
                <w:w w:val="87"/>
              </w:rPr>
              <w:t>175 bps</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jc w:val="center"/>
              <w:spacing w:after="0" w:line="189" w:lineRule="exact"/>
              <w:rPr>
                <w:sz w:val="20"/>
                <w:szCs w:val="20"/>
                <w:color w:val="auto"/>
              </w:rPr>
            </w:pPr>
            <w:r>
              <w:rPr>
                <w:rFonts w:ascii="Arial" w:cs="Arial" w:eastAsia="Arial" w:hAnsi="Arial"/>
                <w:sz w:val="18"/>
                <w:szCs w:val="18"/>
                <w:color w:val="auto"/>
                <w:w w:val="85"/>
              </w:rPr>
              <w:t>75 bps</w:t>
            </w:r>
          </w:p>
        </w:tc>
        <w:tc>
          <w:tcPr>
            <w:tcW w:w="220" w:type="dxa"/>
            <w:vAlign w:val="bottom"/>
          </w:tcPr>
          <w:p>
            <w:pPr>
              <w:spacing w:after="0"/>
              <w:rPr>
                <w:sz w:val="16"/>
                <w:szCs w:val="16"/>
                <w:color w:val="auto"/>
              </w:rPr>
            </w:pPr>
          </w:p>
        </w:tc>
        <w:tc>
          <w:tcPr>
            <w:tcW w:w="2680" w:type="dxa"/>
            <w:vAlign w:val="bottom"/>
          </w:tcPr>
          <w:p>
            <w:pPr>
              <w:jc w:val="center"/>
              <w:spacing w:after="0" w:line="189" w:lineRule="exact"/>
              <w:rPr>
                <w:sz w:val="20"/>
                <w:szCs w:val="20"/>
                <w:color w:val="auto"/>
              </w:rPr>
            </w:pPr>
            <w:r>
              <w:rPr>
                <w:rFonts w:ascii="Arial" w:cs="Arial" w:eastAsia="Arial" w:hAnsi="Arial"/>
                <w:sz w:val="18"/>
                <w:szCs w:val="18"/>
                <w:color w:val="auto"/>
                <w:w w:val="85"/>
              </w:rPr>
              <w:t>30 bps</w:t>
            </w:r>
          </w:p>
        </w:tc>
        <w:tc>
          <w:tcPr>
            <w:tcW w:w="0" w:type="dxa"/>
            <w:vAlign w:val="bottom"/>
          </w:tcPr>
          <w:p>
            <w:pPr>
              <w:spacing w:after="0"/>
              <w:rPr>
                <w:sz w:val="1"/>
                <w:szCs w:val="1"/>
                <w:color w:val="auto"/>
              </w:rPr>
            </w:pPr>
          </w:p>
        </w:tc>
      </w:tr>
      <w:tr>
        <w:trPr>
          <w:trHeight w:val="216"/>
        </w:trPr>
        <w:tc>
          <w:tcPr>
            <w:tcW w:w="214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³ BBB-but &lt; BBB</w:t>
            </w:r>
          </w:p>
        </w:tc>
        <w:tc>
          <w:tcPr>
            <w:tcW w:w="1980" w:type="dxa"/>
            <w:vAlign w:val="bottom"/>
          </w:tcPr>
          <w:p>
            <w:pPr>
              <w:jc w:val="center"/>
              <w:ind w:left="619"/>
              <w:spacing w:after="0"/>
              <w:rPr>
                <w:sz w:val="20"/>
                <w:szCs w:val="20"/>
                <w:color w:val="auto"/>
              </w:rPr>
            </w:pPr>
            <w:r>
              <w:rPr>
                <w:rFonts w:ascii="Arial" w:cs="Arial" w:eastAsia="Arial" w:hAnsi="Arial"/>
                <w:sz w:val="18"/>
                <w:szCs w:val="18"/>
                <w:color w:val="auto"/>
                <w:w w:val="87"/>
              </w:rPr>
              <w:t>200 bps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4"/>
              </w:rPr>
              <w:t>100 bps</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5"/>
              </w:rPr>
              <w:t>40 bps</w:t>
            </w:r>
          </w:p>
        </w:tc>
        <w:tc>
          <w:tcPr>
            <w:tcW w:w="0" w:type="dxa"/>
            <w:vAlign w:val="bottom"/>
          </w:tcPr>
          <w:p>
            <w:pPr>
              <w:spacing w:after="0"/>
              <w:rPr>
                <w:sz w:val="1"/>
                <w:szCs w:val="1"/>
                <w:color w:val="auto"/>
              </w:rPr>
            </w:pPr>
          </w:p>
        </w:tc>
      </w:tr>
      <w:tr>
        <w:trPr>
          <w:trHeight w:val="216"/>
        </w:trPr>
        <w:tc>
          <w:tcPr>
            <w:tcW w:w="21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³ BB+ but &lt; BBB-</w:t>
            </w:r>
          </w:p>
        </w:tc>
        <w:tc>
          <w:tcPr>
            <w:tcW w:w="1980" w:type="dxa"/>
            <w:vAlign w:val="bottom"/>
          </w:tcPr>
          <w:p>
            <w:pPr>
              <w:jc w:val="center"/>
              <w:ind w:left="619"/>
              <w:spacing w:after="0"/>
              <w:rPr>
                <w:sz w:val="20"/>
                <w:szCs w:val="20"/>
                <w:color w:val="auto"/>
              </w:rPr>
            </w:pPr>
            <w:r>
              <w:rPr>
                <w:rFonts w:ascii="Arial" w:cs="Arial" w:eastAsia="Arial" w:hAnsi="Arial"/>
                <w:sz w:val="18"/>
                <w:szCs w:val="18"/>
                <w:color w:val="auto"/>
                <w:w w:val="87"/>
              </w:rPr>
              <w:t>225 bps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4"/>
              </w:rPr>
              <w:t>125 bps</w:t>
            </w:r>
          </w:p>
        </w:tc>
        <w:tc>
          <w:tcPr>
            <w:tcW w:w="2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5"/>
              </w:rPr>
              <w:t>50 bps</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20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&lt; BB+</w:t>
            </w:r>
          </w:p>
        </w:tc>
        <w:tc>
          <w:tcPr>
            <w:tcW w:w="1980" w:type="dxa"/>
            <w:vAlign w:val="bottom"/>
          </w:tcPr>
          <w:p>
            <w:pPr>
              <w:jc w:val="center"/>
              <w:ind w:left="619"/>
              <w:spacing w:after="0"/>
              <w:rPr>
                <w:sz w:val="20"/>
                <w:szCs w:val="20"/>
                <w:color w:val="auto"/>
              </w:rPr>
            </w:pPr>
            <w:r>
              <w:rPr>
                <w:rFonts w:ascii="Arial" w:cs="Arial" w:eastAsia="Arial" w:hAnsi="Arial"/>
                <w:sz w:val="18"/>
                <w:szCs w:val="18"/>
                <w:color w:val="auto"/>
                <w:w w:val="87"/>
              </w:rPr>
              <w:t>250 bps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4"/>
              </w:rPr>
              <w:t>150 bps</w:t>
            </w:r>
          </w:p>
        </w:tc>
        <w:tc>
          <w:tcPr>
            <w:tcW w:w="2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5"/>
              </w:rPr>
              <w:t>60 bps</w:t>
            </w: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right="60" w:firstLine="438"/>
        <w:spacing w:after="0" w:line="294" w:lineRule="auto"/>
        <w:rPr>
          <w:sz w:val="20"/>
          <w:szCs w:val="20"/>
          <w:color w:val="auto"/>
        </w:rPr>
      </w:pPr>
      <w:r>
        <w:rPr>
          <w:rFonts w:ascii="Arial" w:cs="Arial" w:eastAsia="Arial" w:hAnsi="Arial"/>
          <w:sz w:val="16"/>
          <w:szCs w:val="16"/>
          <w:color w:val="auto"/>
        </w:rPr>
        <w:t>For the purposes of the Pricing Grid, the Company shall provide prompt written notice to the Administrative Agent of any change in any Rating by S&amp;P (or, if applicable, such other rating agency determined in accordance with the definition of “Ratings”). The Applicable Margin and the Commitment Fee Rate resulting from changes in the Ratings shall be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that is three (3) Business Days after the date of such change and shall remain in effect until the next change to be effected pursuant to this paragraph. In the event that the Company has obtained more than one Rating and such Ratings are split, the Pricing Grid will be based on the higher rating.</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assigned to such term in Section 406 of ERISA and Section 4975(c) of the Code.</w:t>
      </w:r>
    </w:p>
    <w:p>
      <w:pPr>
        <w:spacing w:after="0" w:line="90" w:lineRule="exact"/>
        <w:rPr>
          <w:sz w:val="20"/>
          <w:szCs w:val="20"/>
          <w:color w:val="auto"/>
        </w:rPr>
      </w:pPr>
    </w:p>
    <w:p>
      <w:pPr>
        <w:ind w:right="8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Ratings</w:t>
      </w:r>
      <w:r>
        <w:rPr>
          <w:rFonts w:ascii="Arial" w:cs="Arial" w:eastAsia="Arial" w:hAnsi="Arial"/>
          <w:sz w:val="16"/>
          <w:szCs w:val="16"/>
          <w:color w:val="auto"/>
        </w:rPr>
        <w:t xml:space="preserve">”: a rating of the Company’s senior unsecured non-credit enhanced indebtedness for borrowed money assigned by S&amp;P, each rating agency set forth on Schedule 1.1B or any internationally recognized rating agency approved by the Administrative Agent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the Company shall have no senior unsecured non-credit enhanced indebtedness for borrowed money, the Company’s corporate credit rating shall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S&amp;P or any rating agency set forth on Schedule 1.1B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37"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Financing</w:t>
      </w:r>
      <w:r>
        <w:rPr>
          <w:rFonts w:ascii="Arial" w:cs="Arial" w:eastAsia="Arial" w:hAnsi="Arial"/>
          <w:sz w:val="16"/>
          <w:szCs w:val="16"/>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39" w:lineRule="exact"/>
        <w:rPr>
          <w:sz w:val="20"/>
          <w:szCs w:val="20"/>
          <w:color w:val="auto"/>
        </w:rPr>
      </w:pPr>
    </w:p>
    <w:p>
      <w:pPr>
        <w:ind w:right="1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39" w:lineRule="exact"/>
        <w:rPr>
          <w:sz w:val="20"/>
          <w:szCs w:val="20"/>
          <w:color w:val="auto"/>
        </w:rPr>
      </w:pPr>
    </w:p>
    <w:p>
      <w:pPr>
        <w:ind w:right="660" w:firstLine="443"/>
        <w:spacing w:after="0" w:line="259" w:lineRule="auto"/>
        <w:tabs>
          <w:tab w:leader="none" w:pos="6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the Company or any other Subsidiary of the Company, (ii) is recourse to or obligates the Company or any other Subsidiary of the Company in any way (except for standard representations,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95" w:name="page96"/>
    <w:bookmarkEnd w:id="95"/>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51" w:lineRule="exact"/>
        <w:rPr>
          <w:sz w:val="20"/>
          <w:szCs w:val="20"/>
          <w:color w:val="auto"/>
        </w:rPr>
      </w:pPr>
    </w:p>
    <w:p>
      <w:pPr>
        <w:ind w:firstLine="443"/>
        <w:spacing w:after="0" w:line="259" w:lineRule="auto"/>
        <w:tabs>
          <w:tab w:leader="none" w:pos="6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59" w:lineRule="exact"/>
        <w:rPr>
          <w:rFonts w:ascii="Arial" w:cs="Arial" w:eastAsia="Arial" w:hAnsi="Arial"/>
          <w:sz w:val="18"/>
          <w:szCs w:val="18"/>
          <w:color w:val="auto"/>
        </w:rPr>
      </w:pPr>
    </w:p>
    <w:p>
      <w:pPr>
        <w:ind w:right="600" w:firstLine="443"/>
        <w:spacing w:after="0" w:line="268" w:lineRule="auto"/>
        <w:tabs>
          <w:tab w:leader="none" w:pos="6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which neither the Company nor any other Subsidiary of the Company has any obligation to maintain or preserve such entity’s financial condition or cause such entity to achieve certain levels of operating results.</w:t>
      </w:r>
    </w:p>
    <w:p>
      <w:pPr>
        <w:spacing w:after="0" w:line="51" w:lineRule="exact"/>
        <w:rPr>
          <w:sz w:val="20"/>
          <w:szCs w:val="20"/>
          <w:color w:val="auto"/>
        </w:rPr>
      </w:pPr>
    </w:p>
    <w:p>
      <w:pPr>
        <w:ind w:right="280" w:firstLine="438"/>
        <w:spacing w:after="0" w:line="259" w:lineRule="auto"/>
        <w:rPr>
          <w:sz w:val="20"/>
          <w:szCs w:val="20"/>
          <w:color w:val="auto"/>
        </w:rPr>
      </w:pPr>
      <w:r>
        <w:rPr>
          <w:rFonts w:ascii="Arial" w:cs="Arial" w:eastAsia="Arial" w:hAnsi="Arial"/>
          <w:sz w:val="18"/>
          <w:szCs w:val="18"/>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 4241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84" w:lineRule="exact"/>
        <w:rPr>
          <w:sz w:val="20"/>
          <w:szCs w:val="20"/>
          <w:color w:val="auto"/>
        </w:rPr>
      </w:pPr>
    </w:p>
    <w:p>
      <w:pPr>
        <w:ind w:right="4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subsections .27, .28, .29, .30, .31, .32, .34 or .35 of PBGC Reg. § 4043.</w:t>
      </w:r>
    </w:p>
    <w:p>
      <w:pPr>
        <w:spacing w:after="0" w:line="51"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at any time, the holders of more than 50% of (a) the sum of the Commitments then in effect or, if the Commitments have terminated, (b) the sum of the aggregate unpaid principal amount of the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there are two or more non-affiliated Banks party hereto, in no event shall the Required Lenders consist of fewer than two non-affiliated Banks.</w:t>
      </w:r>
    </w:p>
    <w:p>
      <w:pPr>
        <w:spacing w:after="0" w:line="26" w:lineRule="exact"/>
        <w:rPr>
          <w:sz w:val="20"/>
          <w:szCs w:val="20"/>
          <w:color w:val="auto"/>
        </w:rPr>
      </w:pPr>
    </w:p>
    <w:p>
      <w:pPr>
        <w:jc w:val="both"/>
        <w:ind w:right="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6"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president or chief financial officer of the Company, but in any event, with respect to financial matters, the chief financial officer of the Company.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90"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such other regulatory body which succeeds to the functions of the Securities and Exchange Commission.</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Filings</w:t>
      </w:r>
      <w:r>
        <w:rPr>
          <w:rFonts w:ascii="Arial" w:cs="Arial" w:eastAsia="Arial" w:hAnsi="Arial"/>
          <w:sz w:val="16"/>
          <w:szCs w:val="16"/>
          <w:color w:val="auto"/>
        </w:rPr>
        <w:t>”: as to the Company, any public filings that the Company or Lazard Ltd has made on form 10-K, 10-Q or 8-K pursuant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statutes, rules or regulations prior to the Effective Date.</w:t>
      </w:r>
    </w:p>
    <w:p>
      <w:pPr>
        <w:spacing w:after="0" w:line="84" w:lineRule="exact"/>
        <w:rPr>
          <w:sz w:val="20"/>
          <w:szCs w:val="20"/>
          <w:color w:val="auto"/>
        </w:rPr>
      </w:pPr>
    </w:p>
    <w:p>
      <w:pPr>
        <w:ind w:right="3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 Indentures</w:t>
      </w:r>
      <w:r>
        <w:rPr>
          <w:rFonts w:ascii="Arial" w:cs="Arial" w:eastAsia="Arial" w:hAnsi="Arial"/>
          <w:sz w:val="16"/>
          <w:szCs w:val="16"/>
          <w:color w:val="auto"/>
        </w:rPr>
        <w:t>”: the Indenture dated as of May 10, 2005, as supplemented by the First and Second Supplemental Indentures dated as of May 10, 2005 the Amended and Restated Third Supplemental Indenture dated as of May 15, 2008 and the Fourth Supplemental Indenture dated as of June 21, 2007, together with all instruments and other agreements entered into by the Company in connection therewith.</w:t>
      </w:r>
    </w:p>
    <w:p>
      <w:pPr>
        <w:spacing w:after="0" w:line="26"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the senior notes of the Company, in the initial principal amount outstanding of $1,150,000,000, issued pursuant to the Senior Note Indentures.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96" w:name="page97"/>
    <w:bookmarkEnd w:id="96"/>
    <w:p>
      <w:pPr>
        <w:ind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any Subsidiary that would be a “Significant Subsidiary” of the Company within the meaning of Rule 1-02 under Regulation S-X promulgated by the SEC as in effect on the date hereof, but excluding Lazard Group Finance LLC and Lazard Funding Limited LLC.</w:t>
      </w:r>
    </w:p>
    <w:p>
      <w:pPr>
        <w:spacing w:after="0" w:line="4"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(other than a Multiemployer plan) that is covered by Section 412 of the Code or Section 302 or Title IV of ERISA and is maintained or contributed to by the Company or any Commonly Controlled Entity.</w:t>
      </w:r>
    </w:p>
    <w:p>
      <w:pPr>
        <w:spacing w:after="0" w:line="5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Non-Recourse Indebtedness</w:t>
      </w:r>
      <w:r>
        <w:rPr>
          <w:rFonts w:ascii="Arial" w:cs="Arial" w:eastAsia="Arial" w:hAnsi="Arial"/>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62"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Recourse Indebtedness</w:t>
      </w:r>
      <w:r>
        <w:rPr>
          <w:rFonts w:ascii="Arial" w:cs="Arial" w:eastAsia="Arial" w:hAnsi="Arial"/>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26"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Street Loans</w:t>
      </w:r>
      <w:r>
        <w:rPr>
          <w:rFonts w:ascii="Arial" w:cs="Arial" w:eastAsia="Arial" w:hAnsi="Arial"/>
          <w:sz w:val="18"/>
          <w:szCs w:val="18"/>
          <w:color w:val="auto"/>
        </w:rPr>
        <w:t>”: short term borrowings made by the Company for the purpose of purchasing or carrying securities for the Company, or for customers of the Company.</w:t>
      </w:r>
    </w:p>
    <w:p>
      <w:pPr>
        <w:spacing w:after="0" w:line="51"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xml:space="preserve">”: Indebtedness of the Company that is subordinated in right of payment to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incurred after the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32"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as to any Person, (a) a corporation, limited liability company or other similar business entity of which shares of stock or other equity interests having ordinary voting power (other than stock or other equity interests having such power only 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39" w:lineRule="exact"/>
        <w:rPr>
          <w:sz w:val="20"/>
          <w:szCs w:val="20"/>
          <w:color w:val="auto"/>
        </w:rPr>
      </w:pPr>
    </w:p>
    <w:p>
      <w:pPr>
        <w:ind w:right="2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26" w:lineRule="exact"/>
        <w:rPr>
          <w:sz w:val="20"/>
          <w:szCs w:val="20"/>
          <w:color w:val="auto"/>
        </w:rPr>
      </w:pPr>
    </w:p>
    <w:p>
      <w:pPr>
        <w:ind w:right="1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Debt</w:t>
      </w:r>
      <w:r>
        <w:rPr>
          <w:rFonts w:ascii="Arial" w:cs="Arial" w:eastAsia="Arial" w:hAnsi="Arial"/>
          <w:sz w:val="16"/>
          <w:szCs w:val="16"/>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Fed Rate Loan or a Eurodollar Loan.</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Uniting and Strengthening America by Providing Appropriate Tools Required to Intercept and Obstruct Terrorism Act of 2001, as amended from time to time.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97" w:name="page98"/>
    <w:bookmarkEnd w:id="97"/>
    <w:p>
      <w:pPr>
        <w:ind w:left="460" w:right="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132" w:lineRule="exact"/>
        <w:rPr>
          <w:sz w:val="20"/>
          <w:szCs w:val="20"/>
          <w:color w:val="auto"/>
        </w:rPr>
      </w:pPr>
    </w:p>
    <w:p>
      <w:pPr>
        <w:ind w:right="40" w:firstLine="464"/>
        <w:spacing w:after="0" w:line="289" w:lineRule="auto"/>
        <w:tabs>
          <w:tab w:leader="none" w:pos="7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provision hereof, including, without limitation, any covenant in Article VI, to eliminate the effect of any change in GAAP (or the application thereof) adopted after the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118" w:lineRule="exact"/>
        <w:rPr>
          <w:rFonts w:ascii="Arial" w:cs="Arial" w:eastAsia="Arial" w:hAnsi="Arial"/>
          <w:sz w:val="16"/>
          <w:szCs w:val="16"/>
          <w:color w:val="auto"/>
        </w:rPr>
      </w:pPr>
    </w:p>
    <w:p>
      <w:pPr>
        <w:ind w:firstLine="464"/>
        <w:spacing w:after="0" w:line="283" w:lineRule="auto"/>
        <w:tabs>
          <w:tab w:leader="none" w:pos="695"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w:t>
      </w:r>
    </w:p>
    <w:p>
      <w:pPr>
        <w:ind w:right="180" w:firstLine="8"/>
        <w:spacing w:after="0" w:line="255" w:lineRule="auto"/>
        <w:tabs>
          <w:tab w:leader="none" w:pos="2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and (v) the words “asset” and “property” shall be construed to have the same meaning and effect and to refer to any and all tangible and intangible assets and properties, including cash, securities, accounts and contract rights.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AMOUNT AND TERMS OF LOAN COMMITMENTS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Loans</w:t>
      </w:r>
      <w:r>
        <w:rPr>
          <w:rFonts w:ascii="Arial" w:cs="Arial" w:eastAsia="Arial" w:hAnsi="Arial"/>
          <w:sz w:val="18"/>
          <w:szCs w:val="18"/>
          <w:color w:val="auto"/>
        </w:rPr>
        <w:t>. (a) Subject to the terms and conditions hereof, each Bank severally agrees to make revolving credit loans (individually, a “</w:t>
      </w:r>
      <w:r>
        <w:rPr>
          <w:rFonts w:ascii="Arial" w:cs="Arial" w:eastAsia="Arial" w:hAnsi="Arial"/>
          <w:sz w:val="18"/>
          <w:szCs w:val="18"/>
          <w:u w:val="single" w:color="auto"/>
          <w:color w:val="auto"/>
        </w:rPr>
        <w:t>Loan</w:t>
      </w:r>
      <w:r>
        <w:rPr>
          <w:rFonts w:ascii="Arial" w:cs="Arial" w:eastAsia="Arial" w:hAnsi="Arial"/>
          <w:sz w:val="18"/>
          <w:szCs w:val="18"/>
          <w:color w:val="auto"/>
        </w:rPr>
        <w:t>”; collectively, the “</w:t>
      </w:r>
      <w:r>
        <w:rPr>
          <w:rFonts w:ascii="Arial" w:cs="Arial" w:eastAsia="Arial" w:hAnsi="Arial"/>
          <w:sz w:val="18"/>
          <w:szCs w:val="18"/>
          <w:u w:val="single" w:color="auto"/>
          <w:color w:val="auto"/>
        </w:rPr>
        <w:t>Loans</w:t>
      </w:r>
      <w:r>
        <w:rPr>
          <w:rFonts w:ascii="Arial" w:cs="Arial" w:eastAsia="Arial" w:hAnsi="Arial"/>
          <w:sz w:val="18"/>
          <w:szCs w:val="18"/>
          <w:color w:val="auto"/>
        </w:rPr>
        <w:t>”) to the Company from time to time during the Commitment Period in an aggregate principal amount at 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143" w:lineRule="exact"/>
        <w:rPr>
          <w:sz w:val="20"/>
          <w:szCs w:val="20"/>
          <w:color w:val="auto"/>
        </w:rPr>
      </w:pPr>
    </w:p>
    <w:p>
      <w:pPr>
        <w:ind w:right="300" w:firstLine="464"/>
        <w:spacing w:after="0" w:line="259"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Loans may from time to time be (i) Eurodollar Loans, (ii) Fed Rate Loans or (iii) a combination thereof, as determined by the Company and notified to the Administrative Agent in accordance with Sections 2.6 and 2.7,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shall be continued as or converted into a Eurodollar Loan after the day that is one month prior to the Maturity Date.</w:t>
      </w:r>
    </w:p>
    <w:p>
      <w:pPr>
        <w:spacing w:after="0" w:line="14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Notes</w:t>
      </w:r>
      <w:r>
        <w:rPr>
          <w:rFonts w:ascii="Arial" w:cs="Arial" w:eastAsia="Arial" w:hAnsi="Arial"/>
          <w:sz w:val="18"/>
          <w:szCs w:val="18"/>
          <w:color w:val="auto"/>
        </w:rPr>
        <w:t>. Each Bank may request that the Loans made by such Bank pursuant hereto shall be evidenced by a promissory note of the Company, substantially in the form of Exhibit A hereto, with appropriate insertions as to date and principal amount (individually a “</w:t>
      </w:r>
      <w:r>
        <w:rPr>
          <w:rFonts w:ascii="Arial" w:cs="Arial" w:eastAsia="Arial" w:hAnsi="Arial"/>
          <w:sz w:val="18"/>
          <w:szCs w:val="18"/>
          <w:u w:val="single" w:color="auto"/>
          <w:color w:val="auto"/>
        </w:rPr>
        <w:t>Note</w:t>
      </w:r>
      <w:r>
        <w:rPr>
          <w:rFonts w:ascii="Arial" w:cs="Arial" w:eastAsia="Arial" w:hAnsi="Arial"/>
          <w:sz w:val="18"/>
          <w:szCs w:val="18"/>
          <w:color w:val="auto"/>
        </w:rPr>
        <w:t>”; collectively, the “</w:t>
      </w:r>
      <w:r>
        <w:rPr>
          <w:rFonts w:ascii="Arial" w:cs="Arial" w:eastAsia="Arial" w:hAnsi="Arial"/>
          <w:sz w:val="18"/>
          <w:szCs w:val="18"/>
          <w:u w:val="single" w:color="auto"/>
          <w:color w:val="auto"/>
        </w:rPr>
        <w:t>Notes</w:t>
      </w:r>
      <w:r>
        <w:rPr>
          <w:rFonts w:ascii="Arial" w:cs="Arial" w:eastAsia="Arial" w:hAnsi="Arial"/>
          <w:sz w:val="18"/>
          <w:szCs w:val="18"/>
          <w:color w:val="auto"/>
        </w:rPr>
        <w:t>”), payable to the order of such Bank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98" w:name="page99"/>
    <w:bookmarkEnd w:id="98"/>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and Interest Payment Dates</w:t>
      </w:r>
      <w:r>
        <w:rPr>
          <w:rFonts w:ascii="Arial" w:cs="Arial" w:eastAsia="Arial" w:hAnsi="Arial"/>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132" w:lineRule="exact"/>
        <w:rPr>
          <w:sz w:val="20"/>
          <w:szCs w:val="20"/>
          <w:color w:val="auto"/>
        </w:rPr>
      </w:pPr>
    </w:p>
    <w:p>
      <w:pPr>
        <w:ind w:left="720" w:hanging="256"/>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Fed Rate Loan shall bear interest for each day at a rate per annum equal to the Fed Rate determined for such day plus the Applicable Margin.</w:t>
      </w:r>
    </w:p>
    <w:p>
      <w:pPr>
        <w:spacing w:after="0" w:line="194" w:lineRule="exact"/>
        <w:rPr>
          <w:rFonts w:ascii="Arial" w:cs="Arial" w:eastAsia="Arial" w:hAnsi="Arial"/>
          <w:sz w:val="16"/>
          <w:szCs w:val="16"/>
          <w:color w:val="auto"/>
        </w:rPr>
      </w:pPr>
    </w:p>
    <w:p>
      <w:pPr>
        <w:ind w:right="400" w:firstLine="464"/>
        <w:spacing w:after="0" w:line="268"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(d) of this Section shall be payable from time to time on demand.</w:t>
      </w:r>
    </w:p>
    <w:p>
      <w:pPr>
        <w:spacing w:after="0" w:line="131" w:lineRule="exact"/>
        <w:rPr>
          <w:rFonts w:ascii="Arial" w:cs="Arial" w:eastAsia="Arial" w:hAnsi="Arial"/>
          <w:sz w:val="18"/>
          <w:szCs w:val="18"/>
          <w:color w:val="auto"/>
        </w:rPr>
      </w:pPr>
    </w:p>
    <w:p>
      <w:pPr>
        <w:ind w:right="60" w:firstLine="464"/>
        <w:spacing w:after="0" w:line="254"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Fed Rate Loans, in each case, with respect to clauses (i) and (ii) above, from the date of such non-payment until such amount is paid in full (as well after as before judgment).</w:t>
      </w:r>
    </w:p>
    <w:p>
      <w:pPr>
        <w:spacing w:after="0" w:line="14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Fees</w:t>
      </w:r>
      <w:r>
        <w:rPr>
          <w:rFonts w:ascii="Arial" w:cs="Arial" w:eastAsia="Arial" w:hAnsi="Arial"/>
          <w:sz w:val="15"/>
          <w:szCs w:val="15"/>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Effective Date) and on the Maturity Date. The Administrative Agent shall promptly distribute to each Bank its pro rata share of each payment of such fees.</w:t>
      </w:r>
    </w:p>
    <w:p>
      <w:pPr>
        <w:spacing w:after="0" w:line="98" w:lineRule="exact"/>
        <w:rPr>
          <w:sz w:val="20"/>
          <w:szCs w:val="20"/>
          <w:color w:val="auto"/>
        </w:rPr>
      </w:pPr>
    </w:p>
    <w:p>
      <w:pPr>
        <w:ind w:right="14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 as set forth in the Fee Letter and to perform any other obligations contained therein.</w:t>
      </w:r>
    </w:p>
    <w:p>
      <w:pPr>
        <w:spacing w:after="0" w:line="13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Computation of Interest and Fees</w:t>
      </w:r>
      <w:r>
        <w:rPr>
          <w:rFonts w:ascii="Arial" w:cs="Arial" w:eastAsia="Arial" w:hAnsi="Arial"/>
          <w:sz w:val="15"/>
          <w:szCs w:val="15"/>
          <w:color w:val="auto"/>
        </w:rPr>
        <w:t>. (a) Interest and fees shall be computed on the basis of (i) a 360 day year for actual days elapsed for Eurodollar Loans and (ii) a 365 day or 366 day, as the case may be, year for actual days elapsed for Fed Rate Loans and for fees under this Agreement. The Administrative Agent shall as soon as practicable notify the Company and the Banks of each determination of a Eurodollar Rate or of a Fed Rate. Any change in the interest rate on a Loan resulting from a change in the Fed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100" w:lineRule="exact"/>
        <w:rPr>
          <w:sz w:val="20"/>
          <w:szCs w:val="20"/>
          <w:color w:val="auto"/>
        </w:rPr>
      </w:pPr>
    </w:p>
    <w:p>
      <w:pPr>
        <w:ind w:right="120" w:firstLine="464"/>
        <w:spacing w:after="0" w:line="306" w:lineRule="auto"/>
        <w:tabs>
          <w:tab w:leader="none" w:pos="705"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99" w:name="page100"/>
    <w:bookmarkEnd w:id="99"/>
    <w:p>
      <w:pPr>
        <w:ind w:right="10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Loans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give the Administrative Agent irrevocable notice (which notice must be received by the Administrative Agent prior to 1:00 P.M., New York City time, (a) three (3) Business Days prior to the requested Borrowing Date, if all or any part of the requested Loans are to be initially Eurodollar Loans or</w:t>
      </w:r>
    </w:p>
    <w:p>
      <w:pPr>
        <w:spacing w:after="0" w:line="1"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one (1) Business Day prior to the requested Borrowing Date, otherwise), specifying (i) the amount to be borrowed, (ii) the requested Borrowing Date,</w:t>
      </w:r>
    </w:p>
    <w:p>
      <w:pPr>
        <w:spacing w:after="0" w:line="32" w:lineRule="exact"/>
        <w:rPr>
          <w:rFonts w:ascii="Arial" w:cs="Arial" w:eastAsia="Arial" w:hAnsi="Arial"/>
          <w:sz w:val="16"/>
          <w:szCs w:val="16"/>
          <w:color w:val="auto"/>
        </w:rPr>
      </w:pPr>
    </w:p>
    <w:p>
      <w:pPr>
        <w:ind w:right="100" w:firstLine="8"/>
        <w:spacing w:after="0" w:line="290" w:lineRule="auto"/>
        <w:tabs>
          <w:tab w:leader="none" w:pos="30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whether the borrowing is to be of Eurodollar Loans, Fed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may elect from time to time to convert Eurodollar Loans to Fed Rate Loans, by giving the Administrative Agent at least two (2) Business Days’ prior irrevocable notice of such election. The Company may elect from time to time to convert Fed Rate Loans to Eurodollar Loans by giving the Administrative Agent at least three (3)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Fed Rate Loans may be converted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118" w:lineRule="exact"/>
        <w:rPr>
          <w:sz w:val="20"/>
          <w:szCs w:val="20"/>
          <w:color w:val="auto"/>
        </w:rPr>
      </w:pPr>
    </w:p>
    <w:p>
      <w:pPr>
        <w:ind w:right="200" w:firstLine="464"/>
        <w:spacing w:after="0" w:line="291"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shall fail to give such notice or if such continuation is not permitted such Loans shall be automatically converted to Fed Rate Loans on the last day of such then expiring Interest Period.</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The Company shall have the right, upon not less than three (3) Business Days’ notice to the Banks, to terminate the Commitments or, from time to time, reduce the amount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proviso in Section 2.9(a), (a) any such reduction shall be accompanied by prepayment of the Loans to the extent, if any, that the amount of the Loans then outstanding exceeds the amount of the Commitments as then reduced, (b) 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Any such reduction shall be in an amount of $5,000,000, or greater integral multiple of $5,000,000, and shall reduce permanently the amount of the Commitments then in effect.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Optional Prepayments of Loans</w:t>
      </w:r>
      <w:r>
        <w:rPr>
          <w:rFonts w:ascii="Arial" w:cs="Arial" w:eastAsia="Arial" w:hAnsi="Arial"/>
          <w:sz w:val="18"/>
          <w:szCs w:val="18"/>
          <w:color w:val="auto"/>
        </w:rPr>
        <w:t>. (a) The Company may, at any time, on the last day of any Interest Period with respect thereto, in the case of Eurodollar Loans (or on any other day if the Company reasonably promptly pays the costs arising therefrom pursuant to Section 2.12), and from time to time, in the case of Fed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00" w:name="page101"/>
    <w:bookmarkEnd w:id="10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Rate Loans, and upon three (3) Business Days’ irrevocable notice (such notice to be revocable only if such prepayment is conditioned upon a refinancing of the Loans or other events mutually agreed between the Company and the Administrative Agent), in the case of Eurodollar Loans, and upon one (1) Business Day’s notice, in case of Fed Rate Loans, to the Administrative Agent, prepay the Loans on the date specified in such notice, in whole or in part, with accrued interest to the date of such prepayment on the amount prepaid;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partial prepayment of Loans shall be in a principal amount of $5,000,000 or a larger integral multiple of $1,000,000.</w:t>
      </w:r>
    </w:p>
    <w:p>
      <w:pPr>
        <w:spacing w:after="0" w:line="143" w:lineRule="exact"/>
        <w:rPr>
          <w:sz w:val="20"/>
          <w:szCs w:val="20"/>
          <w:color w:val="auto"/>
        </w:rPr>
      </w:pPr>
    </w:p>
    <w:p>
      <w:pPr>
        <w:ind w:right="10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receipt of a notice of prepayment of Loans pursuant to Section 2.9(a), the Administrative Agent shall promptly notify each Bank of the contents thereof and of such Bank’s ratable share of such prepayment.</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Pro Rata Treatment and Payments</w:t>
      </w:r>
      <w:r>
        <w:rPr>
          <w:rFonts w:ascii="Arial" w:cs="Arial" w:eastAsia="Arial" w:hAnsi="Arial"/>
          <w:sz w:val="16"/>
          <w:szCs w:val="16"/>
          <w:color w:val="auto"/>
        </w:rPr>
        <w:t>. (a) Each borrowing of Loans by the Company from the Banks and each payment (including each prepayment) by the Company on account of principal of and interest on the Loans shall be made pro rata according to the respective principal and interest owed to the Banks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120" w:lineRule="exact"/>
        <w:rPr>
          <w:sz w:val="20"/>
          <w:szCs w:val="20"/>
          <w:color w:val="auto"/>
        </w:rPr>
      </w:pPr>
    </w:p>
    <w:p>
      <w:pPr>
        <w:ind w:firstLine="464"/>
        <w:spacing w:after="0" w:line="255"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shall fail to give any such notice, each Bank shall apply the amount received to the payment of the then outstanding Loans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such Loans.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Non-Receipt of Funds by the Administrative Agent</w:t>
      </w:r>
      <w:r>
        <w:rPr>
          <w:rFonts w:ascii="Arial" w:cs="Arial" w:eastAsia="Arial" w:hAnsi="Arial"/>
          <w:sz w:val="16"/>
          <w:szCs w:val="16"/>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 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118" w:lineRule="exact"/>
        <w:rPr>
          <w:sz w:val="20"/>
          <w:szCs w:val="20"/>
          <w:color w:val="auto"/>
        </w:rPr>
      </w:pPr>
    </w:p>
    <w:p>
      <w:pPr>
        <w:ind w:right="240" w:firstLine="464"/>
        <w:spacing w:after="0" w:line="268"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 certificate of the Administrative Agent submitted to any Bank with respect to any amount owing under the foregoing paragraph (a) shall be </w:t>
      </w:r>
      <w:r>
        <w:rPr>
          <w:rFonts w:ascii="Arial" w:cs="Arial" w:eastAsia="Arial" w:hAnsi="Arial"/>
          <w:sz w:val="18"/>
          <w:szCs w:val="18"/>
          <w:u w:val="single" w:color="auto"/>
          <w:color w:val="auto"/>
        </w:rPr>
        <w:t>prima</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facie</w:t>
      </w:r>
      <w:r>
        <w:rPr>
          <w:rFonts w:ascii="Arial" w:cs="Arial" w:eastAsia="Arial" w:hAnsi="Arial"/>
          <w:sz w:val="18"/>
          <w:szCs w:val="18"/>
          <w:color w:val="auto"/>
        </w:rPr>
        <w:t xml:space="preserve"> evidence of the facts stated therein.</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Indemnity</w:t>
      </w:r>
      <w:r>
        <w:rPr>
          <w:rFonts w:ascii="Arial" w:cs="Arial" w:eastAsia="Arial" w:hAnsi="Arial"/>
          <w:sz w:val="18"/>
          <w:szCs w:val="18"/>
          <w:color w:val="auto"/>
        </w:rPr>
        <w:t>. The Company agrees to indemnify each Bank and to hold each Bank harmless from any loss or expense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Loans on a day which is not the last day of an Interest Period with respect thereto. Such indemnification may include an amount equal to the excess, if any, of</w:t>
      </w:r>
    </w:p>
    <w:p>
      <w:pPr>
        <w:spacing w:after="0" w:line="38" w:lineRule="exact"/>
        <w:rPr>
          <w:sz w:val="20"/>
          <w:szCs w:val="20"/>
          <w:color w:val="auto"/>
        </w:rPr>
      </w:pPr>
    </w:p>
    <w:p>
      <w:pPr>
        <w:ind w:right="40" w:firstLine="8"/>
        <w:spacing w:after="0" w:line="290" w:lineRule="auto"/>
        <w:tabs>
          <w:tab w:leader="none" w:pos="2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Capital Adequacy</w:t>
      </w:r>
      <w:r>
        <w:rPr>
          <w:rFonts w:ascii="Arial" w:cs="Arial" w:eastAsia="Arial" w:hAnsi="Arial"/>
          <w:sz w:val="16"/>
          <w:szCs w:val="16"/>
          <w:color w:val="auto"/>
        </w:rPr>
        <w:t xml:space="preserve">. In the event that any of the Banks shall have determined that the adoption after the date hereof of any law, rule or regulation regarding capital adequacy, or any change after the date hereof therein or in the interpretation or application thereof or compliance by such Bank with any request or directive regarding capital adequacy (whether or not having the force of law) from any central bank or Governmental Authority including under Basel III or Dodd-Frank,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in similar circumstances under comparable provisions of other financing agreements of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absent demonstrable error, of the facts stated therein. Notwithstanding the foregoing, the Company shall not be required to compensate a Bank for any increased costs or reductions incurred more than 270 days prior to the date that such Bank notifies the Company of the change in law giving rise to such increased costs or reductions and of such Bank’s intention to claim compensation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 If prior to the first day of any Interest Period the Administrative Agent shall have determined (which determination shall be conclusive and binding upon the Company) that, by reason of circumstances affecting the relevant market, adequate and reasonable means do not exist for ascertaining the Eurodollar Rate for such Interest Period the Administrative Agent shall give telecopy notice thereof to the Company and the Banks as soon as practicable thereafter. If such notice is given (a) any Eurodollar Loans requested to be made on the first day of such Interest Period shall be made as Fed Rate Loans, (b) any Loans that were to have been converted on the first day of such Interest Period to Eurodollar Loans shall be converted to or continued as Fed Rate Loans and (c) any outstanding Eurodollar Loans shall be converted, on the first day of such Interest Period, to Fed Rate Loans. Until such notice has been withdrawn by the Administrative Agent, no further Eurodollar Loans shall be made or continued as such, nor shall the Company have the right to convert Loans to Eurodollar Loans.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Illegality</w:t>
      </w:r>
      <w:r>
        <w:rPr>
          <w:rFonts w:ascii="Arial" w:cs="Arial" w:eastAsia="Arial" w:hAnsi="Arial"/>
          <w:sz w:val="16"/>
          <w:szCs w:val="16"/>
          <w:color w:val="auto"/>
        </w:rPr>
        <w:t>. Notwithstanding any other provision herein, if the adoption of or any change in any Requirement of Law or in the interpretation or application thereof (including under Basel III or Dodd-Frank)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02" w:name="page103"/>
    <w:bookmarkEnd w:id="10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Fed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Fed Rate Loans. If any such conversion of a Eurodollar Loan occurs on a day which is not the last day of the then current Interest Period with respect thereto, the Company shall pay to such Bank such amounts, if any, as may be required pursuant to Section 2.12. Each Bank that has delivered a notice pursuant to this Section, if the circumstances giving rise to such notice cease to exist, shall notify the Company thereof as soon as practicable.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w:t>
      </w:r>
    </w:p>
    <w:p>
      <w:pPr>
        <w:spacing w:after="0" w:line="59" w:lineRule="exact"/>
        <w:rPr>
          <w:sz w:val="20"/>
          <w:szCs w:val="20"/>
          <w:color w:val="auto"/>
        </w:rPr>
      </w:pPr>
    </w:p>
    <w:p>
      <w:pPr>
        <w:ind w:right="40" w:firstLine="464"/>
        <w:spacing w:after="0" w:line="256" w:lineRule="auto"/>
        <w:tabs>
          <w:tab w:leader="none" w:pos="6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shall subject any Bank to any tax on its loans, loan principal, letters of credit, commitments, or other obligations, or its deposits, reserves, other liabilities or capital attributable thereto (except for Non-Excluded Taxes covered by Section 2.17, changes in the rate of tax on the overall net income of such Bank, any branch profits imposed by the United States of America or any similar tax imposed by any other jurisdiction and any United States federal withholding taxes imposed under FATCA);</w:t>
      </w:r>
    </w:p>
    <w:p>
      <w:pPr>
        <w:spacing w:after="0" w:line="143" w:lineRule="exact"/>
        <w:rPr>
          <w:rFonts w:ascii="Arial" w:cs="Arial" w:eastAsia="Arial" w:hAnsi="Arial"/>
          <w:sz w:val="18"/>
          <w:szCs w:val="18"/>
          <w:color w:val="auto"/>
        </w:rPr>
      </w:pPr>
    </w:p>
    <w:p>
      <w:pPr>
        <w:ind w:right="240" w:firstLine="464"/>
        <w:spacing w:after="0" w:line="259" w:lineRule="auto"/>
        <w:tabs>
          <w:tab w:leader="none" w:pos="7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shall impose on such Bank any other condition;</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in similar circumstances under comparable provisions of other financing agreements of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 the taking of such action would avoid the need for or reduce the amount of any such additional amounts and would not, in the judgment of such Bank, be adverse to the affected Loans or to such Bank.</w:t>
      </w:r>
    </w:p>
    <w:p>
      <w:pPr>
        <w:spacing w:after="0" w:line="118"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113" w:lineRule="exact"/>
        <w:rPr>
          <w:sz w:val="20"/>
          <w:szCs w:val="20"/>
          <w:color w:val="auto"/>
        </w:rPr>
      </w:pPr>
    </w:p>
    <w:p>
      <w:pPr>
        <w:ind w:right="120" w:firstLine="464"/>
        <w:spacing w:after="0" w:line="306"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03" w:name="page104"/>
    <w:bookmarkEnd w:id="103"/>
    <w:p>
      <w:pPr>
        <w:ind w:right="460" w:firstLine="464"/>
        <w:spacing w:after="0" w:line="255"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Dodd-Frank and all requests, rules, guidelines, requirements and directives thereunder or issued in connection therewith or in implementation thereof, shall in each case be deemed to be a change in law under this Agreement, regardless of the date enacted, adopted, issued or implemented.</w:t>
      </w:r>
    </w:p>
    <w:p>
      <w:pPr>
        <w:spacing w:after="0" w:line="143"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account of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 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 (iii) any United States federal withholding taxes imposed under FATCA; provided, that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or Other Taxes are required to be withheld from any amounts payable by or on account of the Company to the Administrative Agent or any Bank as determined in good faith by the applicable withholding agent, (x) such amounts shall be paid to the relevant Governmental Authority by the applicable withholding agent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increase any such amounts payable to the Administrative Agent or any Bank with respect to any Non-Excluded Taxes</w:t>
      </w:r>
    </w:p>
    <w:p>
      <w:pPr>
        <w:spacing w:after="0" w:line="5" w:lineRule="exact"/>
        <w:rPr>
          <w:sz w:val="20"/>
          <w:szCs w:val="20"/>
          <w:color w:val="auto"/>
        </w:rPr>
      </w:pPr>
    </w:p>
    <w:p>
      <w:pPr>
        <w:ind w:right="60" w:firstLine="8"/>
        <w:spacing w:after="0" w:line="254"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are attributable to such Bank’s failure to comply with the requirements of paragraph (d) of this Section, or (2) that are United States federal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 addition, the Company shall pay any Other Taxes to the relevant Governmental Authority in accordance with applicable law.</w:t>
      </w:r>
    </w:p>
    <w:p>
      <w:pPr>
        <w:spacing w:after="0" w:line="171" w:lineRule="exact"/>
        <w:rPr>
          <w:rFonts w:ascii="Arial" w:cs="Arial" w:eastAsia="Arial" w:hAnsi="Arial"/>
          <w:sz w:val="18"/>
          <w:szCs w:val="18"/>
          <w:color w:val="auto"/>
        </w:rPr>
      </w:pPr>
    </w:p>
    <w:p>
      <w:pPr>
        <w:ind w:firstLine="464"/>
        <w:spacing w:after="0" w:line="283" w:lineRule="auto"/>
        <w:tabs>
          <w:tab w:leader="none" w:pos="692" w:val="left"/>
        </w:tabs>
        <w:numPr>
          <w:ilvl w:val="1"/>
          <w:numId w:val="79"/>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(i) the Company fails to pay any Non-Excluded Taxes or Other Taxes when due to the appropriate taxing authority or (ii) any Non-Excluded Taxes (other than taxes described in clauses (1) and (2) of the final proviso of Section 2.17(a)) or Other Taxes are imposed directly upon the Administrative Agent or any Bank, the Company shall indemnify the Administrative Agent and the Banks for such amounts and any incremental taxes, interest or penalties that may become payable by the Administrative Agent or any Bank as a result of any such failure, in the case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 or any such direct imposition, in the case of (ii).</w:t>
      </w:r>
    </w:p>
    <w:p>
      <w:pPr>
        <w:spacing w:after="0" w:line="164" w:lineRule="exact"/>
        <w:rPr>
          <w:rFonts w:ascii="Arial" w:cs="Arial" w:eastAsia="Arial" w:hAnsi="Arial"/>
          <w:sz w:val="16"/>
          <w:szCs w:val="16"/>
          <w:color w:val="auto"/>
        </w:rPr>
      </w:pPr>
    </w:p>
    <w:p>
      <w:pPr>
        <w:ind w:right="60" w:firstLine="464"/>
        <w:spacing w:after="0" w:line="259" w:lineRule="auto"/>
        <w:tabs>
          <w:tab w:leader="none" w:pos="7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04" w:name="page105"/>
    <w:bookmarkEnd w:id="10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such properly completed and executed documentation prescribed by applicable law or as reasonable requested by the Company or the Administrative Agent as will permit such payments to be made without withholding or at a reduced rate of withholding. Without limiting the generality of the foregoing, each Bank (or Assignee) that is not a “United States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Form W-8BEN, Form W-8ECI, of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 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If a payment made to a Bank would be subject to U.S. federal withholding imposed by FATCA if such Lender were to fail to comply with the applicable reporting requirements of FATCA (including those contained in Section 1471(b) or 1472(b) of the Code, as applicable), such Bank shall deliver to the Company and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the preceding sentence, “FATCA” shall include any amendments made to FATCA after the date of this Agreement. Notwithstanding any other provision of this paragraph, a Non-U.S. Lender shall not be required to deliver any form pursuant to this paragraph that such Non-U.S. Lender is not legally able to deliver.</w:t>
      </w:r>
    </w:p>
    <w:p>
      <w:pPr>
        <w:spacing w:after="0" w:line="128" w:lineRule="exact"/>
        <w:rPr>
          <w:sz w:val="20"/>
          <w:szCs w:val="20"/>
          <w:color w:val="auto"/>
        </w:rPr>
      </w:pPr>
    </w:p>
    <w:p>
      <w:pPr>
        <w:jc w:val="both"/>
        <w:ind w:firstLine="464"/>
        <w:spacing w:after="0" w:line="298" w:lineRule="auto"/>
        <w:tabs>
          <w:tab w:leader="none" w:pos="695" w:val="left"/>
        </w:tabs>
        <w:numPr>
          <w:ilvl w:val="0"/>
          <w:numId w:val="80"/>
        </w:numPr>
        <w:rPr>
          <w:rFonts w:ascii="Arial" w:cs="Arial" w:eastAsia="Arial" w:hAnsi="Arial"/>
          <w:sz w:val="16"/>
          <w:szCs w:val="16"/>
          <w:color w:val="auto"/>
        </w:rPr>
      </w:pPr>
      <w:r>
        <w:rPr>
          <w:rFonts w:ascii="Arial" w:cs="Arial" w:eastAsia="Arial" w:hAnsi="Arial"/>
          <w:sz w:val="16"/>
          <w:szCs w:val="16"/>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112" w:lineRule="exact"/>
        <w:rPr>
          <w:rFonts w:ascii="Arial" w:cs="Arial" w:eastAsia="Arial" w:hAnsi="Arial"/>
          <w:sz w:val="16"/>
          <w:szCs w:val="16"/>
          <w:color w:val="auto"/>
        </w:rPr>
      </w:pPr>
    </w:p>
    <w:p>
      <w:pPr>
        <w:ind w:right="80" w:firstLine="464"/>
        <w:spacing w:after="0" w:line="288" w:lineRule="auto"/>
        <w:tabs>
          <w:tab w:leader="none" w:pos="676"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 reasonable out-of-pocket expenses of the Administrative Agent or such Bank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05" w:name="page106"/>
    <w:bookmarkEnd w:id="10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 The agreements in this Section shall survive the termination of this Agreement and the payment of the Loans and all other amounts payable hereunder.</w:t>
      </w:r>
    </w:p>
    <w:p>
      <w:pPr>
        <w:spacing w:after="0" w:line="19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Commitment Reductions and Mandatory Prepayments</w:t>
      </w:r>
      <w:r>
        <w:rPr>
          <w:rFonts w:ascii="Arial" w:cs="Arial" w:eastAsia="Arial" w:hAnsi="Arial"/>
          <w:sz w:val="16"/>
          <w:szCs w:val="16"/>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(the “</w:t>
      </w:r>
      <w:r>
        <w:rPr>
          <w:rFonts w:ascii="Arial" w:cs="Arial" w:eastAsia="Arial" w:hAnsi="Arial"/>
          <w:sz w:val="16"/>
          <w:szCs w:val="16"/>
          <w:u w:val="single" w:color="auto"/>
          <w:color w:val="auto"/>
        </w:rPr>
        <w:t>Disposition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giving effect to such Designated Asset Sale, the Company and its Subsidiaries own in excess of 65% of the Capital Stock of the Designated Subsidiary that is subject to such Designated Asset Sale, the “Disposition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Commitments then reduced and (y) payment of the costs arising therefrom pursuant to Section 2.12.</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Defaulting Lender</w:t>
      </w:r>
      <w:r>
        <w:rPr>
          <w:rFonts w:ascii="Arial" w:cs="Arial" w:eastAsia="Arial" w:hAnsi="Arial"/>
          <w:sz w:val="18"/>
          <w:szCs w:val="18"/>
          <w:color w:val="auto"/>
        </w:rPr>
        <w:t>. Notwithstanding any provision of this Agreement to the contrary, if any Bank becomes a Defaulting Lender, then the following provisions shall apply for so long as such Bank is a Defaulting Lender:</w:t>
      </w:r>
    </w:p>
    <w:p>
      <w:pPr>
        <w:spacing w:after="0" w:line="51" w:lineRule="exact"/>
        <w:rPr>
          <w:sz w:val="20"/>
          <w:szCs w:val="20"/>
          <w:color w:val="auto"/>
        </w:rPr>
      </w:pPr>
    </w:p>
    <w:p>
      <w:pPr>
        <w:ind w:left="700" w:hanging="236"/>
        <w:spacing w:after="0"/>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 Section 2.4;</w:t>
      </w:r>
    </w:p>
    <w:p>
      <w:pPr>
        <w:spacing w:after="0" w:line="171" w:lineRule="exact"/>
        <w:rPr>
          <w:rFonts w:ascii="Arial" w:cs="Arial" w:eastAsia="Arial" w:hAnsi="Arial"/>
          <w:sz w:val="18"/>
          <w:szCs w:val="18"/>
          <w:color w:val="auto"/>
        </w:rPr>
      </w:pPr>
    </w:p>
    <w:p>
      <w:pPr>
        <w:ind w:firstLine="464"/>
        <w:spacing w:after="0" w:line="291" w:lineRule="auto"/>
        <w:tabs>
          <w:tab w:leader="none" w:pos="705"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120" w:lineRule="exact"/>
        <w:rPr>
          <w:rFonts w:ascii="Arial" w:cs="Arial" w:eastAsia="Arial" w:hAnsi="Arial"/>
          <w:sz w:val="16"/>
          <w:szCs w:val="16"/>
          <w:color w:val="auto"/>
        </w:rPr>
      </w:pPr>
    </w:p>
    <w:p>
      <w:pPr>
        <w:ind w:right="100" w:firstLine="464"/>
        <w:spacing w:after="0" w:line="284" w:lineRule="auto"/>
        <w:tabs>
          <w:tab w:leader="none" w:pos="6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w:t>
      </w:r>
    </w:p>
    <w:p>
      <w:pPr>
        <w:spacing w:after="0" w:line="1" w:lineRule="exact"/>
        <w:rPr>
          <w:rFonts w:ascii="Arial" w:cs="Arial" w:eastAsia="Arial" w:hAnsi="Arial"/>
          <w:sz w:val="16"/>
          <w:szCs w:val="16"/>
          <w:color w:val="auto"/>
        </w:rPr>
      </w:pPr>
    </w:p>
    <w:p>
      <w:pPr>
        <w:ind w:right="540" w:firstLine="8"/>
        <w:spacing w:after="0" w:line="281" w:lineRule="auto"/>
        <w:tabs>
          <w:tab w:leader="none" w:pos="21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(ii) </w:t>
      </w:r>
      <w:r>
        <w:rPr>
          <w:rFonts w:ascii="Arial" w:cs="Arial" w:eastAsia="Arial" w:hAnsi="Arial"/>
          <w:sz w:val="16"/>
          <w:szCs w:val="16"/>
          <w:u w:val="single" w:color="auto"/>
          <w:color w:val="auto"/>
        </w:rPr>
        <w:t>second</w:t>
      </w:r>
      <w:r>
        <w:rPr>
          <w:rFonts w:ascii="Arial" w:cs="Arial" w:eastAsia="Arial" w:hAnsi="Arial"/>
          <w:sz w:val="16"/>
          <w:szCs w:val="16"/>
          <w:color w:val="auto"/>
        </w:rPr>
        <w:t>, to the funding of any Loan in respect of which such Defaulting Lender has failed to fund its portion thereof as required by this Agreement, as determined by the Administrative Agent,</w:t>
      </w:r>
    </w:p>
    <w:p>
      <w:pPr>
        <w:spacing w:after="0" w:line="1" w:lineRule="exact"/>
        <w:rPr>
          <w:rFonts w:ascii="Arial" w:cs="Arial" w:eastAsia="Arial" w:hAnsi="Arial"/>
          <w:sz w:val="16"/>
          <w:szCs w:val="16"/>
          <w:color w:val="auto"/>
        </w:rPr>
      </w:pPr>
    </w:p>
    <w:p>
      <w:pPr>
        <w:ind w:right="80" w:firstLine="8"/>
        <w:spacing w:after="0" w:line="292" w:lineRule="auto"/>
        <w:tabs>
          <w:tab w:leader="none" w:pos="30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held in such account as cash collateral for future funding obligations of the Defaulting Lender in respect of any Loans under this Agreement, (iv)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Notwithstanding Section 2.20, the Company may, upon not less than three (3) Business Day’s notice to a Defaulting Lender and the Administrative Agent (which the Administrative Agent will promptly provide to the other Banks), terminate or reduce the unused Commitment of such Defaulting Lender (without being required to terminate or reduce the Commitments of other Banks);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may not terminate or reduce such Commitment if after giving effect to such termination or reduction, the aggregate principal amount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06" w:name="page107"/>
    <w:bookmarkEnd w:id="10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 (d) the aggregate amount of the new Commitments of banks or financial institutions that become Banks hereunder pursuant to this sentence does not exceed the amount of the terminated or reduced Commitment of the Defaulting Lender.</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Company while such Bank was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a Bank’s ceasing to be a Defaulting Lender will not constitute a waiver or release of any claim of any party hereunder arising from such Bank’s having been a Defaulting Lender.</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u w:val="single" w:color="auto"/>
          <w:color w:val="auto"/>
        </w:rPr>
        <w:t>Mitigation Obligations; Replacement of Lenders</w:t>
      </w:r>
      <w:r>
        <w:rPr>
          <w:rFonts w:ascii="Arial" w:cs="Arial" w:eastAsia="Arial" w:hAnsi="Arial"/>
          <w:sz w:val="15"/>
          <w:szCs w:val="15"/>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Section 2.16 or 2.17, as the case may be, in the future and (ii)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105" w:lineRule="exact"/>
        <w:rPr>
          <w:sz w:val="20"/>
          <w:szCs w:val="20"/>
          <w:color w:val="auto"/>
        </w:rPr>
      </w:pPr>
    </w:p>
    <w:p>
      <w:pPr>
        <w:ind w:right="20" w:firstLine="464"/>
        <w:spacing w:after="0" w:line="286"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 accordance with and subject to the restrictions contained in, and consents required by, Section 12.7), all of its interests, rights and obligations under this Agreement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induce the Banks to enter into this Agreement and to make the Loans herein provided for, the Company hereby represents and warrants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Banks and the Administrative Agent that:</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The audited consolidated balance sheets of the Company and its consolidated Subsidiaries as at December 31, 2009, December 31, 2010 and December 31, 2011,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2011, there has been no event or development that would reasonably be expected to have a Material Adverse Effect.</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Existence; Compliance with Law</w:t>
      </w:r>
      <w:r>
        <w:rPr>
          <w:rFonts w:ascii="Arial" w:cs="Arial" w:eastAsia="Arial" w:hAnsi="Arial"/>
          <w:sz w:val="16"/>
          <w:szCs w:val="16"/>
          <w:color w:val="auto"/>
        </w:rPr>
        <w:t>. The Company (a) is a limited liability company formed and validly existing under the Limited Liability Company Law of the State of Delaware, or, if at any time after the Effective Date the Company has changed its form of business organization to a corporate or partnership form, is, on any date on or after the 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 and its Significant Subsidiaries is in compliance with all Requirements of Law except to the extent that the failure to comply therewith would not, in the aggregate, have a material adverse effect on the business, property, financial condition or results of operations of the Company and its Subsidiaries, taken as a whole, and would not materially adversely affect the ability of the Company to perform its obligations under this Agreement and the Notes.</w:t>
      </w:r>
    </w:p>
    <w:p>
      <w:pPr>
        <w:spacing w:after="0" w:line="12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08" w:name="page109"/>
    <w:bookmarkEnd w:id="108"/>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Legal Bar</w:t>
      </w:r>
      <w:r>
        <w:rPr>
          <w:rFonts w:ascii="Arial" w:cs="Arial" w:eastAsia="Arial" w:hAnsi="Arial"/>
          <w:sz w:val="16"/>
          <w:szCs w:val="16"/>
          <w:color w:val="auto"/>
        </w:rPr>
        <w:t>. The execution, delivery and performance of this Agreement and the Notes, the borrowings hereunder and the use of the proceeds thereof, will not violate the organizational or governing documents of the Company or any of its Significant Subsidiaries, any other material Requirement of Law or any material Contractual Obligation of the Company or of any of its Significant Subsidiaries, and will not result in, or require, the creation or imposition of any Lien on any of its or their respective properties or revenues pursuant to any Requirement of Law or Contractual Obligation.</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Material Litigation</w:t>
      </w:r>
      <w:r>
        <w:rPr>
          <w:rFonts w:ascii="Arial" w:cs="Arial" w:eastAsia="Arial" w:hAnsi="Arial"/>
          <w:sz w:val="16"/>
          <w:szCs w:val="16"/>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11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Default</w:t>
      </w:r>
      <w:r>
        <w:rPr>
          <w:rFonts w:ascii="Arial" w:cs="Arial" w:eastAsia="Arial" w:hAnsi="Arial"/>
          <w:sz w:val="16"/>
          <w:szCs w:val="16"/>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Company and its Subsidiaries, if any, has good title to or valid leasehold interests in all its material real property, and good title to all its other material property, and none of such property is subject to any Lien prohibited by Section 7.3.</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Taxes</w:t>
      </w:r>
      <w:r>
        <w:rPr>
          <w:rFonts w:ascii="Arial" w:cs="Arial" w:eastAsia="Arial" w:hAnsi="Arial"/>
          <w:sz w:val="18"/>
          <w:szCs w:val="18"/>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 Subsidiaries, as the case may be, or (b) to the extent that the failure to do so would not reasonably be expected to have a Material Adverse Effect.</w:t>
      </w:r>
    </w:p>
    <w:p>
      <w:pPr>
        <w:spacing w:after="0" w:line="144"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107"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ERISA</w:t>
      </w:r>
      <w:r>
        <w:rPr>
          <w:rFonts w:ascii="Arial" w:cs="Arial" w:eastAsia="Arial" w:hAnsi="Arial"/>
          <w:sz w:val="15"/>
          <w:szCs w:val="15"/>
          <w:color w:val="auto"/>
        </w:rPr>
        <w:t>. Except as, in the aggregate, would not reasonably be expected to have a Material Adverse Effect: (a) during the five-year period prior to the date on which this representation is made or deemed made, (i) no Reportable Event or non-exempt Prohibited Transaction has occurred with respect to any Plan;</w:t>
      </w:r>
    </w:p>
    <w:p>
      <w:pPr>
        <w:ind w:left="260" w:hanging="252"/>
        <w:spacing w:after="0"/>
        <w:tabs>
          <w:tab w:leader="none" w:pos="2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 termination of a Single Employer Plan has occurred with respect to which the liability remains unsatisfied and no Lien in favor of the PBGC has arisen;</w:t>
      </w:r>
    </w:p>
    <w:p>
      <w:pPr>
        <w:spacing w:after="0" w:line="32" w:lineRule="exact"/>
        <w:rPr>
          <w:rFonts w:ascii="Arial" w:cs="Arial" w:eastAsia="Arial" w:hAnsi="Arial"/>
          <w:sz w:val="16"/>
          <w:szCs w:val="16"/>
          <w:color w:val="auto"/>
        </w:rPr>
      </w:pPr>
    </w:p>
    <w:p>
      <w:pPr>
        <w:ind w:right="20" w:firstLine="8"/>
        <w:spacing w:after="0" w:line="255" w:lineRule="auto"/>
        <w:tabs>
          <w:tab w:leader="none" w:pos="3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has been no failure to meet the minimum funding standards (within the meaning of Sections 412 or 430 of the Code or Section 302 of ERISA, including but not limited to the occurrence of an “accumulated funding deficiency” (within the meaning of Section 412 of the Code or Section 302 of ERISA as in effect prior to the effective date of the Pension Protection Act of 2006)) with respect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09" w:name="page110"/>
    <w:bookmarkEnd w:id="10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 (d) 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would reasonably be expected to result in any liability under Section 4201 of ERISA, and neither the Company nor any Commonly Controlled Entity would become subject to any liability under ERISA if the Company or any such Commonly Controlled Entity were to withdraw completely from all Multiemployer Plans as of the valuation date most closely preceding the date on which this representation is made or deemed made; (f) neither the Company nor any Commonly Controlled Entity has received any notice of a determination that a Multiemployer Plan is in Reorganization, Insolvent or in “endangered” or “critical” status (within the meaning of Section 432 of the Code or Section 305 of ERISA); and (g) with respect to each Foreign Plan, there has been no failure (i) 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 (iii) of any Foreign Plan to comply with any material provisions of applicable law and regulations or with the material terms of such Foreign Plan.</w:t>
      </w:r>
    </w:p>
    <w:p>
      <w:pPr>
        <w:spacing w:after="0" w:line="13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Company nor any of its Subsidiaries is an “investment company”, or a company “controlled” by a registered “investment company”, within the meaning of the Investment Company Act of 1940, as amended. Neither the Company nor any of its Subsidiaries is subject to regulation under any Requirement of Law (other than Regulation X of the Board and Rule 15c3-1 as promulgated by the SEC under the Act) that limits its ability to incur Indebtedness.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Significant Subsidiaries</w:t>
      </w:r>
      <w:r>
        <w:rPr>
          <w:rFonts w:ascii="Arial" w:cs="Arial" w:eastAsia="Arial" w:hAnsi="Arial"/>
          <w:sz w:val="18"/>
          <w:szCs w:val="18"/>
          <w:color w:val="auto"/>
        </w:rPr>
        <w:t>. Except as disclosed to the Administrative Agent (who shall promptly notify the other Banks upon receipt of such disclosure) by the Company in writing from time to time after the Effective Date, (a) Schedule 4.13 sets forth the name and jurisdiction of incorporation of each Significant Subsidiary and (b) there are no outstanding subscriptions, options, warrants, calls, rights or other agreements or commitments (other than Exchangeable Interests, stock options granted to employees or directors and directors’ qualifying shares) of any nature relating to any Capital Stock of the Company or any of its Significant Subsidiaries, except as created by this Agreement.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misleading in each case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10" w:name="page111"/>
    <w:bookmarkEnd w:id="110"/>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actual results during the period or periods covered by such information may differ from the projected results set forth therein by a material amount. There is no fact known to the Company that would reasonably be expected to have a Material Adverse Effect that has not been expressly disclosed herein or in any other documents, certificates and statements furnished to the Administrative Agent and the Banks for use in connection with the transactions contemplated hereby.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by the Company for general corporate purposes.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of Initial Loans</w:t>
      </w:r>
      <w:r>
        <w:rPr>
          <w:rFonts w:ascii="Arial" w:cs="Arial" w:eastAsia="Arial" w:hAnsi="Arial"/>
          <w:sz w:val="18"/>
          <w:szCs w:val="18"/>
          <w:color w:val="auto"/>
        </w:rPr>
        <w:t>. The obligation of each Bank to make its initial Loan hereunder and the effectiveness of this Agreement are subject to the satisfaction of the following conditions precedent:</w:t>
      </w:r>
    </w:p>
    <w:p>
      <w:pPr>
        <w:spacing w:after="0" w:line="51" w:lineRule="exact"/>
        <w:rPr>
          <w:sz w:val="20"/>
          <w:szCs w:val="20"/>
          <w:color w:val="auto"/>
        </w:rPr>
      </w:pPr>
    </w:p>
    <w:p>
      <w:pPr>
        <w:ind w:left="460" w:right="300" w:firstLine="443"/>
        <w:spacing w:after="0" w:line="268" w:lineRule="auto"/>
        <w:tabs>
          <w:tab w:leader="none" w:pos="113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Administrative Agent shall have received this Agreement, executed by an authorized officer of each Bank party hereto and by an authorized officer of the Company.</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Administrative Agent shall have received a Note conforming to the requirements hereof and executed by an authorized officer of the Company for each Bank that has requested a Note prior to the Effective Date. The Administrative Agent shall promptly forward any such Notes to the appropriate Banks.</w:t>
      </w:r>
    </w:p>
    <w:p>
      <w:pPr>
        <w:spacing w:after="0" w:line="59" w:lineRule="exact"/>
        <w:rPr>
          <w:rFonts w:ascii="Arial" w:cs="Arial" w:eastAsia="Arial" w:hAnsi="Arial"/>
          <w:sz w:val="18"/>
          <w:szCs w:val="18"/>
          <w:color w:val="auto"/>
        </w:rPr>
      </w:pPr>
    </w:p>
    <w:p>
      <w:pPr>
        <w:ind w:left="460" w:right="140" w:firstLine="443"/>
        <w:spacing w:after="0" w:line="259" w:lineRule="auto"/>
        <w:tabs>
          <w:tab w:leader="none" w:pos="113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Prior to or substantially simultaneously with the Effective Date, the commitments under the Existing Credit Agreement 2 shall have been terminated and the Company shall have repaid all outstanding loans, unpaid interest thereon and all fees and expenses owed thereunder.</w:t>
      </w:r>
    </w:p>
    <w:p>
      <w:pPr>
        <w:spacing w:after="0" w:line="59"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Effective Date and addressed to the Administrative Agent and the Banks.</w:t>
      </w:r>
    </w:p>
    <w:p>
      <w:pPr>
        <w:spacing w:after="0" w:line="62"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Administrative Agent shall have received a Closing Certificate of the Company dated the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Incumbency and Signatures</w:t>
      </w:r>
      <w:r>
        <w:rPr>
          <w:rFonts w:ascii="Arial" w:cs="Arial" w:eastAsia="Arial" w:hAnsi="Arial"/>
          <w:sz w:val="18"/>
          <w:szCs w:val="18"/>
          <w:color w:val="auto"/>
        </w:rPr>
        <w:t>. The Administrative Agent shall have received a certificate of an officer of the Company, dated the Effective Date, as to the incumbency and signatures of the officers of the Company, duly authorized to sign this Agreement, the Notes and any certificate or other document required to be delivered pursuant thereto.</w:t>
      </w:r>
    </w:p>
    <w:p>
      <w:pPr>
        <w:spacing w:after="0" w:line="59"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fees required to be paid to it and each Bank under this Agreement on or prior to the Effective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Conditions to All Loans</w:t>
      </w:r>
      <w:r>
        <w:rPr>
          <w:rFonts w:ascii="Arial" w:cs="Arial" w:eastAsia="Arial" w:hAnsi="Arial"/>
          <w:sz w:val="16"/>
          <w:szCs w:val="16"/>
          <w:color w:val="auto"/>
        </w:rPr>
        <w:t>. The making by each Bank of any Loan hereunder (but not the conversion or continuation of any Loan pursuant to Section 2.7)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 subject to the satisfaction of the following conditions precedent on the relevant Borrowing Date:</w:t>
      </w:r>
    </w:p>
    <w:p>
      <w:pPr>
        <w:spacing w:after="0" w:line="84" w:lineRule="exact"/>
        <w:rPr>
          <w:sz w:val="20"/>
          <w:szCs w:val="20"/>
          <w:color w:val="auto"/>
        </w:rPr>
      </w:pPr>
    </w:p>
    <w:p>
      <w:pPr>
        <w:ind w:left="460" w:firstLine="443"/>
        <w:spacing w:after="0" w:line="294" w:lineRule="auto"/>
        <w:tabs>
          <w:tab w:leader="none" w:pos="1137"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made by the Company herein or which are contained in any certificate furnished at any time under or in connection herewith shall be true and correct in all material respects on and as of the Borrowing Date as if made on and as of such date (it being understood and agreed that any representation and warranty that (i) is qualified as to “materiality” or “Material Adverse Effect” shall be true and correct (after giving effect to any qualification therein) in all respects and (ii) by its terms is made as of a specified date shall be true and correct in all material respects only as of such specified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11" w:name="page112"/>
    <w:bookmarkEnd w:id="111"/>
    <w:p>
      <w:pPr>
        <w:ind w:left="460" w:right="20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Default</w:t>
      </w:r>
      <w:r>
        <w:rPr>
          <w:rFonts w:ascii="Arial" w:cs="Arial" w:eastAsia="Arial" w:hAnsi="Arial"/>
          <w:sz w:val="18"/>
          <w:szCs w:val="18"/>
          <w:color w:val="auto"/>
        </w:rPr>
        <w:t>. No Default or Event of Default shall have occurred and be continuing on such date or after giving effect to the Loan to be made on such Borrowing Date.</w:t>
      </w:r>
    </w:p>
    <w:p>
      <w:pPr>
        <w:spacing w:after="0" w:line="50" w:lineRule="exact"/>
        <w:rPr>
          <w:rFonts w:ascii="Arial" w:cs="Arial" w:eastAsia="Arial" w:hAnsi="Arial"/>
          <w:sz w:val="18"/>
          <w:szCs w:val="18"/>
          <w:color w:val="auto"/>
        </w:rPr>
      </w:pPr>
    </w:p>
    <w:p>
      <w:pPr>
        <w:ind w:left="460" w:right="120" w:firstLine="443"/>
        <w:spacing w:after="0" w:line="259" w:lineRule="auto"/>
        <w:tabs>
          <w:tab w:leader="none" w:pos="113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6. AFFIRMATIVE COVENANTS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hereby agrees that, so long as the Commitments remain in effect, any Loan remains outstanding and unpaid or any other amounts (other than indemnities and other contingent liabilities that survive the repayment of the Loans) is owing to the Banks or the Administrative Agent hereunder, the Company shall and (except in the case of delivery of financial information, reports and notices) shall cause each Significant Subsidiary 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right="180" w:firstLine="443"/>
        <w:spacing w:after="0" w:line="254"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each December 31</w:t>
      </w:r>
      <w:r>
        <w:rPr>
          <w:rFonts w:ascii="Arial" w:cs="Arial" w:eastAsia="Arial" w:hAnsi="Arial"/>
          <w:sz w:val="11"/>
          <w:szCs w:val="11"/>
          <w:color w:val="auto"/>
        </w:rPr>
        <w:t>st</w:t>
      </w:r>
      <w:r>
        <w:rPr>
          <w:rFonts w:ascii="Arial" w:cs="Arial" w:eastAsia="Arial" w:hAnsi="Arial"/>
          <w:sz w:val="18"/>
          <w:szCs w:val="18"/>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financial statements that are made available on the SEC’s EDGAR system or the Company’s website shall be deemed delivered to the Administrative Agent on the date such documents are made so available; and</w:t>
      </w:r>
    </w:p>
    <w:p>
      <w:pPr>
        <w:spacing w:after="0" w:line="63" w:lineRule="exact"/>
        <w:rPr>
          <w:rFonts w:ascii="Arial" w:cs="Arial" w:eastAsia="Arial" w:hAnsi="Arial"/>
          <w:sz w:val="18"/>
          <w:szCs w:val="18"/>
          <w:color w:val="auto"/>
        </w:rPr>
      </w:pPr>
    </w:p>
    <w:p>
      <w:pPr>
        <w:ind w:left="460" w:right="40" w:firstLine="443"/>
        <w:spacing w:after="0" w:line="254"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 income of the Company and its consolidated Subsidiaries for the fiscal year to date, certified by a Responsible Officer of the Company with responsibility for financial reporting matters (subject to normal year-end audit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financial statements that are made available on the SEC’s EDGAR system or the Company’s website shall be deemed delivered to the Administrative Agent on the date such documents are made so available;</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in accordance with GAAP applied consistently throughout the period reflected therein (except as disclosed therein), and in the case of clause (b) above, subject to normal year-end audit adjustments and the absence of footnotes. Notwithstanding anything to the contrary in this Section 6.1, if financial statements for the Company shall no longer be publicly available on the SEC’s EDGAR system or the Company’s website, this Section 6.1 shall be deemed to be satisfied upon the delivery of financial statements of Holdings.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right="120" w:firstLine="443"/>
        <w:spacing w:after="0" w:line="306" w:lineRule="auto"/>
        <w:tabs>
          <w:tab w:leader="none" w:pos="1137"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Sections 6.1(a) and (b), a certificate of an authorized financial officer of the Company (i) stating that, to the best of such authorized financial officer’s knowledge, the Company and its Significant Subsidiaries during such period have observed or performed all of their covenants and other agreements, and satisfied every condition, contained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12" w:name="page113"/>
    <w:bookmarkEnd w:id="112"/>
    <w:p>
      <w:pPr>
        <w:ind w:left="46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Agreement and in the Notes to be observed, performed or satisfied by them, and that such officer has obtained no knowledge of any Event of Default, in each case except as specified in such certificate, (ii) setting forth quarterly computations with respect to compliance with Section 7.1 of this Agreement and (iii) setting forth the aggregate amount of Indebtedness incurred pursuant to Section 7.2(d) of this Agreement that is outstanding as of the last day of the fiscal period covered by such financial statements;</w:t>
      </w:r>
    </w:p>
    <w:p>
      <w:pPr>
        <w:spacing w:after="0" w:line="62"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20" w:firstLine="443"/>
        <w:spacing w:after="0" w:line="294" w:lineRule="auto"/>
        <w:tabs>
          <w:tab w:leader="none" w:pos="1137" w:val="left"/>
        </w:tabs>
        <w:numPr>
          <w:ilvl w:val="0"/>
          <w:numId w:val="91"/>
        </w:numPr>
        <w:rPr>
          <w:rFonts w:ascii="Arial" w:cs="Arial" w:eastAsia="Arial" w:hAnsi="Arial"/>
          <w:sz w:val="16"/>
          <w:szCs w:val="16"/>
          <w:color w:val="auto"/>
        </w:rPr>
      </w:pPr>
      <w:r>
        <w:rPr>
          <w:rFonts w:ascii="Arial" w:cs="Arial" w:eastAsia="Arial" w:hAnsi="Arial"/>
          <w:sz w:val="16"/>
          <w:szCs w:val="16"/>
          <w:color w:val="auto"/>
        </w:rPr>
        <w:t>as soon as possible and in any event within 30 days after the Company knows or has reason to know of the following events: (i) the occurrence or expected occurrence of any Reportable Event with respect to any Plan or (ii) the institution of proceedings or the taking of any other action by the PBGC, the Company or any Commonly Controlled Entity with respect to the withdrawal from, or the terminating, reorganization or insolvency of, any Single Employer Plan or Multiemployer Plan, a certificate of an authorized officer of the Company setting forth the details thereof and the action, if any, that the Company or the Commonly Controlled Entity proposes to take with respect thereto; and</w:t>
      </w:r>
    </w:p>
    <w:p>
      <w:pPr>
        <w:spacing w:after="0" w:line="3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Banks may from time to time reasonably request and which the Company is not expressly prohibited by law or written contract from disclosing.</w:t>
      </w:r>
    </w:p>
    <w:p>
      <w:pPr>
        <w:spacing w:after="0" w:line="132"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Conduct of Business and Maintenance of Existence; Compliance</w:t>
      </w:r>
      <w:r>
        <w:rPr>
          <w:rFonts w:ascii="Arial" w:cs="Arial" w:eastAsia="Arial" w:hAnsi="Arial"/>
          <w:sz w:val="16"/>
          <w:szCs w:val="16"/>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material rights, privileges and franchises necessary or desirable in the normal conduct of its business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Keep all property useful and necessary in its business in good working order and condition, ordinary wear and tear excepted; maintain with financially sound and reputable insurance companies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Keep proper books of records and account in which full, true and correct entries shall be made of all dealings and transactions in relation to its business and activities; and,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Promptly give notice to the Administrative Agent and each Bank:</w:t>
      </w:r>
    </w:p>
    <w:p>
      <w:pPr>
        <w:spacing w:after="0" w:line="90" w:lineRule="exact"/>
        <w:rPr>
          <w:sz w:val="20"/>
          <w:szCs w:val="20"/>
          <w:color w:val="auto"/>
        </w:rPr>
      </w:pPr>
    </w:p>
    <w:p>
      <w:pPr>
        <w:ind w:left="5620" w:right="4080" w:hanging="4717"/>
        <w:spacing w:after="0" w:line="525" w:lineRule="auto"/>
        <w:tabs>
          <w:tab w:leader="none" w:pos="1135" w:val="left"/>
        </w:tabs>
        <w:numPr>
          <w:ilvl w:val="0"/>
          <w:numId w:val="92"/>
        </w:numPr>
        <w:rPr>
          <w:rFonts w:ascii="Arial" w:cs="Arial" w:eastAsia="Arial" w:hAnsi="Arial"/>
          <w:sz w:val="16"/>
          <w:szCs w:val="16"/>
          <w:color w:val="auto"/>
        </w:rPr>
      </w:pPr>
      <w:r>
        <w:rPr>
          <w:rFonts w:ascii="Arial" w:cs="Arial" w:eastAsia="Arial" w:hAnsi="Arial"/>
          <w:sz w:val="16"/>
          <w:szCs w:val="16"/>
          <w:color w:val="auto"/>
        </w:rPr>
        <w:t>of the occurrence of any Default or Event of Default upon obtaining knowledge thereof; 30</w:t>
      </w:r>
    </w:p>
    <w:p>
      <w:pPr>
        <w:sectPr>
          <w:pgSz w:w="11900" w:h="16838" w:orient="portrait"/>
          <w:cols w:equalWidth="0" w:num="1">
            <w:col w:w="11400"/>
          </w:cols>
          <w:pgMar w:left="240" w:top="280" w:right="259" w:bottom="1440" w:gutter="0" w:footer="0" w:header="0"/>
        </w:sectPr>
      </w:pPr>
    </w:p>
    <w:bookmarkStart w:id="113" w:name="page114"/>
    <w:bookmarkEnd w:id="113"/>
    <w:p>
      <w:pPr>
        <w:ind w:left="460" w:right="20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litigation or proceeding which may exist at any time between the Company or any Subsidiary and any other person, which is reasonably likely to be adversely determined and if adversely determined would have a Material Adverse Effect;</w:t>
      </w:r>
    </w:p>
    <w:p>
      <w:pPr>
        <w:spacing w:after="0" w:line="50" w:lineRule="exact"/>
        <w:rPr>
          <w:rFonts w:ascii="Arial" w:cs="Arial" w:eastAsia="Arial" w:hAnsi="Arial"/>
          <w:sz w:val="18"/>
          <w:szCs w:val="18"/>
          <w:color w:val="auto"/>
        </w:rPr>
      </w:pPr>
    </w:p>
    <w:p>
      <w:pPr>
        <w:ind w:left="460" w:right="20" w:firstLine="443"/>
        <w:spacing w:after="0" w:line="286" w:lineRule="auto"/>
        <w:tabs>
          <w:tab w:leader="none" w:pos="11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of the following events, as soon as possible and in any event within 30 days after the Company knows or has reason to know thereof: (i) the occurrence of any Reportable Event or non-exempt Prohibited Transaction resulting in liability in excess of $10,000,000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Reorganization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 any other development that has had or would reasonably be expected to have a Material Adverse Effect.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7. NEGATIVE COVENANTS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amounts (other than indemnities and other contingent liabilities that survive the repayment of the Loans) is owing to the Banks or the Administrative Agent hereunder, the Company shall not, and shall not permit any of its Significant Subsidiaries to, directly or indirectly: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68" w:lineRule="auto"/>
        <w:tabs>
          <w:tab w:leader="none" w:pos="113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last day of any fiscal quarter, commencing with the fiscal quarter ended September 30, 2012, to be greater than 4.00 to 1.00.</w:t>
      </w:r>
    </w:p>
    <w:p>
      <w:pPr>
        <w:spacing w:after="0" w:line="50" w:lineRule="exact"/>
        <w:rPr>
          <w:rFonts w:ascii="Arial" w:cs="Arial" w:eastAsia="Arial" w:hAnsi="Arial"/>
          <w:sz w:val="18"/>
          <w:szCs w:val="18"/>
          <w:color w:val="auto"/>
        </w:rPr>
      </w:pPr>
    </w:p>
    <w:p>
      <w:pPr>
        <w:ind w:left="460" w:right="160" w:firstLine="443"/>
        <w:spacing w:after="0" w:line="332"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for the period of four consecutive fiscal quarters ending on the last day of any fiscal quarter, commencing with the fiscal quarter ended September 30, 2012, to be less than 3.00 to 1.00.</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Indebtedness arising under this Agreement or the Notes;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Indebtedness of the Company to any Wholly Owned Subsidiary and of any Wholly Owned Subsidiary to the Company or any other Wholly Owned Subsidiary;</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Indebtedness outstanding on the date hereof and listed on Schedule 7.2 and any Permitted Refinancing Indebtedness incurred to Refinance such Indebtedness;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14" w:name="page115"/>
    <w:bookmarkEnd w:id="114"/>
    <w:p>
      <w:pPr>
        <w:ind w:left="460" w:right="20" w:firstLine="443"/>
        <w:spacing w:after="0" w:line="259"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of the Company to LLtd Corp II, LLtd 1 S.à r.l. and LLtd 2 S.à r.l. (collectively, the “</w:t>
      </w:r>
      <w:r>
        <w:rPr>
          <w:rFonts w:ascii="Arial" w:cs="Arial" w:eastAsia="Arial" w:hAnsi="Arial"/>
          <w:sz w:val="18"/>
          <w:szCs w:val="18"/>
          <w:u w:val="single" w:color="auto"/>
          <w:color w:val="auto"/>
        </w:rPr>
        <w:t>Interim Financing Companies</w:t>
      </w:r>
      <w:r>
        <w:rPr>
          <w:rFonts w:ascii="Arial" w:cs="Arial" w:eastAsia="Arial" w:hAnsi="Arial"/>
          <w:sz w:val="18"/>
          <w:szCs w:val="18"/>
          <w:color w:val="auto"/>
        </w:rPr>
        <w:t>”) in respect of loans made by any such Interim Financing Company to the Company from excess funds attributable to (i) Restricted Payments permitted under Section 7.8 or (ii) loans made by the Company to any such Interim Financing Company;</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37"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secured Broker-Dealer Indebtedness and Indebtedness of Lazard Frères Banque;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any unsecured Indebtedness by Lazard Frères Bank permitted under this Section 7.2(e), the aggregate of its unencumbered assets shall exceed the aggregate of its unsecured Indebtedness;</w:t>
      </w:r>
    </w:p>
    <w:p>
      <w:pPr>
        <w:spacing w:after="0" w:line="59" w:lineRule="exact"/>
        <w:rPr>
          <w:rFonts w:ascii="Arial" w:cs="Arial" w:eastAsia="Arial" w:hAnsi="Arial"/>
          <w:sz w:val="18"/>
          <w:szCs w:val="18"/>
          <w:color w:val="auto"/>
        </w:rPr>
      </w:pPr>
    </w:p>
    <w:p>
      <w:pPr>
        <w:ind w:left="460" w:right="40" w:firstLine="443"/>
        <w:spacing w:after="0" w:line="291" w:lineRule="auto"/>
        <w:tabs>
          <w:tab w:leader="none" w:pos="1117"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after the Effective Date or a corporation or other entity merged into or consolidated with the Company or any Subsidiary after the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the acquisition or assumption of such Indebtedness (other than Permitted Refinancing Indebtedness incurred to Refinance such Indebtedness), the Company shall be in pro forma compliance with the financial covenant set forth in Section 7.1(a);</w:t>
      </w:r>
    </w:p>
    <w:p>
      <w:pPr>
        <w:spacing w:after="0" w:line="3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Capital Lease Obligations in connection with the Paris Lease and any Indebtedness the net proceeds of which are used to refinance or replace such Capital Lease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such Indebtedness does not exceed the value of the real property covered by the Paris Lease;</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additional Capital Lease Obligations in an aggregate principal amount not to exceed $20,000,000 at any one time outstanding;</w:t>
      </w:r>
    </w:p>
    <w:p>
      <w:pPr>
        <w:spacing w:after="0" w:line="90" w:lineRule="exact"/>
        <w:rPr>
          <w:rFonts w:ascii="Arial" w:cs="Arial" w:eastAsia="Arial" w:hAnsi="Arial"/>
          <w:sz w:val="18"/>
          <w:szCs w:val="18"/>
          <w:color w:val="auto"/>
        </w:rPr>
      </w:pPr>
    </w:p>
    <w:p>
      <w:pPr>
        <w:ind w:left="460" w:right="80" w:firstLine="443"/>
        <w:spacing w:after="0" w:line="256" w:lineRule="auto"/>
        <w:tabs>
          <w:tab w:leader="none" w:pos="11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purchase money Indebtedness incurred by the Company or any Subsidiary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62" w:lineRule="exact"/>
        <w:rPr>
          <w:rFonts w:ascii="Arial" w:cs="Arial" w:eastAsia="Arial" w:hAnsi="Arial"/>
          <w:sz w:val="18"/>
          <w:szCs w:val="18"/>
          <w:color w:val="auto"/>
        </w:rPr>
      </w:pPr>
    </w:p>
    <w:p>
      <w:pPr>
        <w:ind w:left="460" w:right="960" w:firstLine="443"/>
        <w:spacing w:after="0" w:line="268" w:lineRule="auto"/>
        <w:tabs>
          <w:tab w:leader="none" w:pos="11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Indebtedness of the Company in respect of the Senior Notes and any Permitted Refinancing Indebtedness incurred to Refinance such Indebtedness;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Indebtedness in connection with Permitted Receivables Financings in an aggregate principal amount not to exceed $50,000,000 at any one time outstanding;</w:t>
      </w:r>
    </w:p>
    <w:p>
      <w:pPr>
        <w:spacing w:after="0" w:line="50" w:lineRule="exact"/>
        <w:rPr>
          <w:rFonts w:ascii="Arial" w:cs="Arial" w:eastAsia="Arial" w:hAnsi="Arial"/>
          <w:sz w:val="18"/>
          <w:szCs w:val="18"/>
          <w:color w:val="auto"/>
        </w:rPr>
      </w:pPr>
    </w:p>
    <w:p>
      <w:pPr>
        <w:ind w:left="460" w:right="700" w:firstLine="443"/>
        <w:spacing w:after="0" w:line="268" w:lineRule="auto"/>
        <w:tabs>
          <w:tab w:leader="none" w:pos="11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Indebtedness in respect of letters of credit issued for the account of the Company or its Subsidiaries (other than letters of credit issued as guaranties for Indebtedness of the Company and its Subsidiaries);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Subordinated Indebtedness of the Company or any of its Subsidiaries;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additional Indebtedness of the Company or any of its Subsidiaries in an aggregate principal amount (for the Company and all Subsidiaries) not to exceed $200,000,000 at any one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such additional Indebtedness, the Company shall be in pro forma compliance with the financial covenant set forth in Section 7.1(a);</w:t>
      </w:r>
    </w:p>
    <w:p>
      <w:pPr>
        <w:spacing w:after="0" w:line="59" w:lineRule="exact"/>
        <w:rPr>
          <w:rFonts w:ascii="Arial" w:cs="Arial" w:eastAsia="Arial" w:hAnsi="Arial"/>
          <w:sz w:val="18"/>
          <w:szCs w:val="18"/>
          <w:color w:val="auto"/>
        </w:rPr>
      </w:pPr>
    </w:p>
    <w:p>
      <w:pPr>
        <w:ind w:left="460" w:right="72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Guarantee Obligations of the Company and its Subsidiaries in respect of Indebtedness of the Company or its Subsidiaries so long as the incurrence of such Indebtedness is permitted under this Agreement;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Specified Non-Recourse Indebtedness.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except:</w:t>
      </w:r>
    </w:p>
    <w:p>
      <w:pPr>
        <w:spacing w:after="0" w:line="51" w:lineRule="exact"/>
        <w:rPr>
          <w:sz w:val="20"/>
          <w:szCs w:val="20"/>
          <w:color w:val="auto"/>
        </w:rPr>
      </w:pPr>
    </w:p>
    <w:p>
      <w:pPr>
        <w:ind w:left="460" w:right="100" w:firstLine="443"/>
        <w:spacing w:after="0" w:line="268" w:lineRule="auto"/>
        <w:tabs>
          <w:tab w:leader="none" w:pos="11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created, incurred or assumed by any Subsidiary of the Company which is a registered broker-dealer upon assets owned by such Subsidiary or held for such Subsidiary’s account to secure Trade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15" w:name="page116"/>
    <w:bookmarkEnd w:id="115"/>
    <w:p>
      <w:pPr>
        <w:ind w:right="760" w:firstLine="443"/>
        <w:spacing w:after="0" w:line="332" w:lineRule="auto"/>
        <w:tabs>
          <w:tab w:leader="none" w:pos="687"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4" w:lineRule="exact"/>
        <w:rPr>
          <w:rFonts w:ascii="Arial" w:cs="Arial" w:eastAsia="Arial" w:hAnsi="Arial"/>
          <w:sz w:val="16"/>
          <w:szCs w:val="16"/>
          <w:color w:val="auto"/>
        </w:rPr>
      </w:pPr>
    </w:p>
    <w:p>
      <w:pPr>
        <w:ind w:right="180" w:firstLine="443"/>
        <w:spacing w:after="0" w:line="332" w:lineRule="auto"/>
        <w:tabs>
          <w:tab w:leader="none" w:pos="677" w:val="left"/>
        </w:tabs>
        <w:numPr>
          <w:ilvl w:val="0"/>
          <w:numId w:val="98"/>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4" w:lineRule="exact"/>
        <w:rPr>
          <w:rFonts w:ascii="Arial" w:cs="Arial" w:eastAsia="Arial" w:hAnsi="Arial"/>
          <w:sz w:val="16"/>
          <w:szCs w:val="16"/>
          <w:color w:val="auto"/>
        </w:rPr>
      </w:pPr>
    </w:p>
    <w:p>
      <w:pPr>
        <w:jc w:val="both"/>
        <w:ind w:right="100" w:firstLine="443"/>
        <w:spacing w:after="0" w:line="256" w:lineRule="auto"/>
        <w:tabs>
          <w:tab w:leader="none" w:pos="68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 (iii) Liens arising from UCC financing statements regarding operating leases and (iv) Liens on securities that are the subject of repurchase agreements constituting Cash Equivalents;</w:t>
      </w:r>
    </w:p>
    <w:p>
      <w:pPr>
        <w:spacing w:after="0" w:line="62" w:lineRule="exact"/>
        <w:rPr>
          <w:rFonts w:ascii="Arial" w:cs="Arial" w:eastAsia="Arial" w:hAnsi="Arial"/>
          <w:sz w:val="18"/>
          <w:szCs w:val="18"/>
          <w:color w:val="auto"/>
        </w:rPr>
      </w:pPr>
    </w:p>
    <w:p>
      <w:pPr>
        <w:ind w:right="20" w:firstLine="443"/>
        <w:spacing w:after="0" w:line="259" w:lineRule="auto"/>
        <w:tabs>
          <w:tab w:leader="none" w:pos="6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incurred or pledges or deposits made to secure the performance of bids, tenders, sales contracts, trade contracts (other than for borrowed money), leases, statutory and other obligations required by law, surety and appeal bonds, performance bonds and other obligations of a like nature incurred in the ordinary course of business;</w:t>
      </w:r>
    </w:p>
    <w:p>
      <w:pPr>
        <w:spacing w:after="0" w:line="59" w:lineRule="exact"/>
        <w:rPr>
          <w:rFonts w:ascii="Arial" w:cs="Arial" w:eastAsia="Arial" w:hAnsi="Arial"/>
          <w:sz w:val="18"/>
          <w:szCs w:val="18"/>
          <w:color w:val="auto"/>
        </w:rPr>
      </w:pPr>
    </w:p>
    <w:p>
      <w:pPr>
        <w:ind w:right="40" w:firstLine="443"/>
        <w:spacing w:after="0" w:line="259" w:lineRule="auto"/>
        <w:tabs>
          <w:tab w:leader="none" w:pos="657"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59"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Liens on real property, leasehold improvements and equipment of the Company securing Specified Non-Recourse Indebtedness and/or Specified Recourse Indebtedness;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judgment Liens in respect of judgments that do not constitute an Event of Default under clause (h) of Section 9;</w:t>
      </w:r>
    </w:p>
    <w:p>
      <w:pPr>
        <w:spacing w:after="0" w:line="90" w:lineRule="exact"/>
        <w:rPr>
          <w:rFonts w:ascii="Arial" w:cs="Arial" w:eastAsia="Arial" w:hAnsi="Arial"/>
          <w:sz w:val="18"/>
          <w:szCs w:val="18"/>
          <w:color w:val="auto"/>
        </w:rPr>
      </w:pPr>
    </w:p>
    <w:p>
      <w:pPr>
        <w:ind w:right="40" w:firstLine="443"/>
        <w:spacing w:after="0" w:line="255"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 Lien existing on any such property or assets at the time of acquisition (other than any such Liens created in contemplation of such acquisition that do not secure the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Lien shall extend to or cover any property other than property being acquired, constructed on or improved;</w:t>
      </w:r>
    </w:p>
    <w:p>
      <w:pPr>
        <w:spacing w:after="0" w:line="61" w:lineRule="exact"/>
        <w:rPr>
          <w:rFonts w:ascii="Arial" w:cs="Arial" w:eastAsia="Arial" w:hAnsi="Arial"/>
          <w:sz w:val="18"/>
          <w:szCs w:val="18"/>
          <w:color w:val="auto"/>
        </w:rPr>
      </w:pPr>
    </w:p>
    <w:p>
      <w:pPr>
        <w:ind w:firstLine="443"/>
        <w:spacing w:after="0" w:line="259" w:lineRule="auto"/>
        <w:tabs>
          <w:tab w:leader="none" w:pos="6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59" w:lineRule="exact"/>
        <w:rPr>
          <w:rFonts w:ascii="Arial" w:cs="Arial" w:eastAsia="Arial" w:hAnsi="Arial"/>
          <w:sz w:val="18"/>
          <w:szCs w:val="18"/>
          <w:color w:val="auto"/>
        </w:rPr>
      </w:pPr>
    </w:p>
    <w:p>
      <w:pPr>
        <w:ind w:right="20" w:firstLine="443"/>
        <w:spacing w:after="0" w:line="332" w:lineRule="auto"/>
        <w:tabs>
          <w:tab w:leader="none" w:pos="68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in whole or in part, of any of the Liens permitted by clause (i) above upon the same real property or assets theretofore subject thereto without increase in the amount of Indebtedness secured thereby;</w:t>
      </w:r>
    </w:p>
    <w:p>
      <w:pPr>
        <w:spacing w:after="0" w:line="4" w:lineRule="exact"/>
        <w:rPr>
          <w:rFonts w:ascii="Arial" w:cs="Arial" w:eastAsia="Arial" w:hAnsi="Arial"/>
          <w:sz w:val="16"/>
          <w:szCs w:val="16"/>
          <w:color w:val="auto"/>
        </w:rPr>
      </w:pPr>
    </w:p>
    <w:p>
      <w:pPr>
        <w:ind w:firstLine="443"/>
        <w:spacing w:after="0" w:line="291" w:lineRule="auto"/>
        <w:tabs>
          <w:tab w:leader="none" w:pos="648"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(or proceeds therefrom) that is existing prior to the acquisition thereof by the Company or any Subsidiary or on any property or asset of any Person that becomes a Subsidiary after the Effective Date that is existing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39" w:lineRule="exact"/>
        <w:rPr>
          <w:rFonts w:ascii="Arial" w:cs="Arial" w:eastAsia="Arial" w:hAnsi="Arial"/>
          <w:sz w:val="16"/>
          <w:szCs w:val="16"/>
          <w:color w:val="auto"/>
        </w:rPr>
      </w:pPr>
    </w:p>
    <w:p>
      <w:pPr>
        <w:ind w:right="80" w:firstLine="443"/>
        <w:spacing w:after="0" w:line="268" w:lineRule="auto"/>
        <w:tabs>
          <w:tab w:leader="none" w:pos="7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Sections 7.2(b) (only to the extent required under Requirements of Law), 7.2(e), 7.2(g), 7.2(h), 7.2(i) and 7.2(k);</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700" w:top="280" w:right="299" w:bottom="1440" w:gutter="0" w:footer="0" w:header="0"/>
        </w:sectPr>
      </w:pPr>
    </w:p>
    <w:bookmarkStart w:id="116" w:name="page117"/>
    <w:bookmarkEnd w:id="116"/>
    <w:p>
      <w:pPr>
        <w:ind w:left="460" w:right="40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deposit accounts and securities accounts to secure certain pension obligations of Lazard &amp; Co., Services Limited, provided that the aggregate amount of assets in the accounts subject to such Liens shall not exceed £20,000,000 at any one time;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Liens existing on the Effective Date set forth on Schedule 7.2;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not prohibited under Section 7.2 in an aggregate principal amount outstanding not to exceed $20,000,000 at any time outstanding.</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Limitation on Fundamental Changes</w:t>
      </w:r>
      <w:r>
        <w:rPr>
          <w:rFonts w:ascii="Arial" w:cs="Arial" w:eastAsia="Arial" w:hAnsi="Arial"/>
          <w:sz w:val="16"/>
          <w:szCs w:val="16"/>
          <w:color w:val="auto"/>
        </w:rPr>
        <w:t>. Consummate any merger, amalgamation, statutory share exchange or consolidation or similar transaction (collectively, to “</w:t>
      </w:r>
      <w:r>
        <w:rPr>
          <w:rFonts w:ascii="Arial" w:cs="Arial" w:eastAsia="Arial" w:hAnsi="Arial"/>
          <w:sz w:val="16"/>
          <w:szCs w:val="16"/>
          <w:u w:val="single" w:color="auto"/>
          <w:color w:val="auto"/>
        </w:rPr>
        <w:t>Merge</w:t>
      </w:r>
      <w:r>
        <w:rPr>
          <w:rFonts w:ascii="Arial" w:cs="Arial" w:eastAsia="Arial" w:hAnsi="Arial"/>
          <w:sz w:val="16"/>
          <w:szCs w:val="16"/>
          <w:color w:val="auto"/>
        </w:rPr>
        <w:t>” or a “</w:t>
      </w:r>
      <w:r>
        <w:rPr>
          <w:rFonts w:ascii="Arial" w:cs="Arial" w:eastAsia="Arial" w:hAnsi="Arial"/>
          <w:sz w:val="16"/>
          <w:szCs w:val="16"/>
          <w:u w:val="single" w:color="auto"/>
          <w:color w:val="auto"/>
        </w:rPr>
        <w:t>Merger</w:t>
      </w:r>
      <w:r>
        <w:rPr>
          <w:rFonts w:ascii="Arial" w:cs="Arial" w:eastAsia="Arial" w:hAnsi="Arial"/>
          <w:sz w:val="16"/>
          <w:szCs w:val="16"/>
          <w:color w:val="auto"/>
        </w:rPr>
        <w:t>”, as applicable) involving the Company and its Significant Subsidiaries, or a sale or other disposition of all or substantially all of the assets of Company and its Subsidiaries taken as a whole (any of the foregoing,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except that:</w:t>
      </w:r>
    </w:p>
    <w:p>
      <w:pPr>
        <w:spacing w:after="0" w:line="26" w:lineRule="exact"/>
        <w:rPr>
          <w:sz w:val="20"/>
          <w:szCs w:val="20"/>
          <w:color w:val="auto"/>
        </w:rPr>
      </w:pPr>
    </w:p>
    <w:p>
      <w:pPr>
        <w:ind w:left="460" w:right="60" w:firstLine="443"/>
        <w:spacing w:after="0" w:line="332" w:lineRule="auto"/>
        <w:tabs>
          <w:tab w:leader="none" w:pos="113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Subsidiary of the Company may Merge with or into the Company or enter into a Business Combination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Merge with or into, or enter into a Business Combination with, any other Subsidiary;</w:t>
      </w:r>
    </w:p>
    <w:p>
      <w:pPr>
        <w:spacing w:after="0" w:line="4" w:lineRule="exact"/>
        <w:rPr>
          <w:rFonts w:ascii="Arial" w:cs="Arial" w:eastAsia="Arial" w:hAnsi="Arial"/>
          <w:sz w:val="16"/>
          <w:szCs w:val="16"/>
          <w:color w:val="auto"/>
        </w:rPr>
      </w:pPr>
    </w:p>
    <w:p>
      <w:pPr>
        <w:jc w:val="both"/>
        <w:ind w:left="460" w:right="220" w:firstLine="443"/>
        <w:spacing w:after="0" w:line="259"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any Merger of a Significant Subsidiary, the purpose of which is to effect an asset sale or disposition permitted under this Agreement and not constituting a sale or other disposition of all or substantially all of the assets of the Company and its Subsidiaries taken as a whole; and</w:t>
      </w:r>
    </w:p>
    <w:p>
      <w:pPr>
        <w:spacing w:after="0" w:line="59"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Limitation on Optional Payments and Modifications of Subordinated Indebtedness</w:t>
      </w:r>
      <w:r>
        <w:rPr>
          <w:rFonts w:ascii="Arial" w:cs="Arial" w:eastAsia="Arial" w:hAnsi="Arial"/>
          <w:sz w:val="16"/>
          <w:szCs w:val="16"/>
          <w:color w:val="auto"/>
        </w:rPr>
        <w:t xml:space="preserve">. (a) Make any optional payment or prepayment on, or optional redemption or purchase of, any Subordinated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optional payments, prepayments, redemptions or purchases shall be permitted so long as (i) made with the proceeds of Permitted Refinancing Indebtedness with respect thereto, (ii) such payments do not exceed in the aggregate the amount then available for Restricted Payments pursuant to Section 7.8(e), or (iii) the Leverage Ratio is not greater than 4.0 to 1.0 after giving effect to such optional payment, prepayment, redemption or purchase, or (b) make any amendment, modification or change, or consent or agree to any amendment, modification or change to any of the terms relating to the payment or prepayment of principal of or interest on, any Subordinated Indebtedness (other than any such amendment, modification or change which would extend the maturity or reduce the amount of any payment of principal thereof or which would reduce the rate or extend the date for payment of interest thereon or any such amendment, modification or change which would not otherwise cause such Subordinated Indebtedness (assuming that such Indebtedness were incurred after the Effective Date) to fail to constitute Subordinated Indebtedness as defined herein).</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Clauses Restricting Subsidiary Distributions</w:t>
      </w:r>
      <w:r>
        <w:rPr>
          <w:rFonts w:ascii="Arial" w:cs="Arial" w:eastAsia="Arial" w:hAnsi="Arial"/>
          <w:sz w:val="16"/>
          <w:szCs w:val="16"/>
          <w:color w:val="auto"/>
        </w:rPr>
        <w:t>.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17" w:name="page118"/>
    <w:bookmarkEnd w:id="117"/>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imposed pursuant to an agreement that has been entered into in connection with the Disposition of all or substantially all of the Capital Stock or assets of such Significant Subsidiary, (iii) restrictions and conditions with respect to a Person that is not a Significant Subsidiary on the date hereof,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(vi) customary provisions in leases and other contracts restricting the assignment thereof, and (vii) restrictions and conditions imposed by the Pension Reserve Letter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are limited to distributable reserves to be retained by Lazard &amp; Co., Holdings Limited, Lazard &amp; Co., Limited and Lazard &amp; Co., Services Limited with an aggregate value not in excess of £20,000,000 at any one time.</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 Company or any of its Subsidiaries, whether now or hereafter outstanding, or make any other distribution in respect thereof, either directly or indirectly, whether in cash or property or in obligations of any of the Company or any Subsidiary (collectively,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Payments</w:t>
      </w:r>
      <w:r>
        <w:rPr>
          <w:rFonts w:ascii="Arial" w:cs="Arial" w:eastAsia="Arial" w:hAnsi="Arial"/>
          <w:sz w:val="16"/>
          <w:szCs w:val="16"/>
          <w:color w:val="auto"/>
        </w:rPr>
        <w:t>”). Notwithstanding the foregoing, the Company and each Subsidiary may make the following Restricted Payments:</w:t>
      </w:r>
    </w:p>
    <w:p>
      <w:pPr>
        <w:spacing w:after="0" w:line="35" w:lineRule="exact"/>
        <w:rPr>
          <w:sz w:val="20"/>
          <w:szCs w:val="20"/>
          <w:color w:val="auto"/>
        </w:rPr>
      </w:pPr>
    </w:p>
    <w:p>
      <w:pPr>
        <w:ind w:left="1140" w:hanging="237"/>
        <w:spacing w:after="0"/>
        <w:tabs>
          <w:tab w:leader="none" w:pos="11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amounts necessary for tax distributions in accordance with Article VI of the Company’s operating agreement as in effect as of the date 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distributions made in accordance with the Company’s operating agreement, as in effect as of the date hereof, in respect of profit participation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83"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Restricted Payments made by any Subsidiary of the Company to the Company or any other Subsidiary of the Company or ratably with respect to its Capital Stock;</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 rata distributions to any holders of Capital Stock in a joint venture;</w:t>
      </w:r>
    </w:p>
    <w:p>
      <w:pPr>
        <w:spacing w:after="0" w:line="90" w:lineRule="exact"/>
        <w:rPr>
          <w:rFonts w:ascii="Arial" w:cs="Arial" w:eastAsia="Arial" w:hAnsi="Arial"/>
          <w:sz w:val="18"/>
          <w:szCs w:val="18"/>
          <w:color w:val="auto"/>
        </w:rPr>
      </w:pPr>
    </w:p>
    <w:p>
      <w:pPr>
        <w:ind w:left="460" w:firstLine="443"/>
        <w:spacing w:after="0" w:line="291" w:lineRule="auto"/>
        <w:tabs>
          <w:tab w:leader="none" w:pos="113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Restricted Payments in an amount equal to (i) $38,000,000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cumulative amount from and after May 10, 2005 equal to the sum of (A) 40% of Consolidated Net Income as determined in accordance with the financial statements for the relevant period or periods,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proceeds received by the Company after the May 10, 2005 from the issuance of its Capital Stock and capital contributions,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principal amount of any convertible or exchangeable securities actually converted or exchanged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the aggregate amount of restricted payments made during the period from May 10, 2005, to the Effective Date pursuant to Section 7.8(e) of the Existing Credit Agreement 2 and Section 7.8(e) of the Existing Credit Agreement 1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at any time, the aggregate amount of payments made pursuant to Section 7.6(a)(ii) hereto;</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1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no Event of Default has occurred and is continuing, payments of dividends on any preferred stock;</w:t>
      </w:r>
    </w:p>
    <w:p>
      <w:pPr>
        <w:spacing w:after="0" w:line="90" w:lineRule="exact"/>
        <w:rPr>
          <w:rFonts w:ascii="Arial" w:cs="Arial" w:eastAsia="Arial" w:hAnsi="Arial"/>
          <w:sz w:val="18"/>
          <w:szCs w:val="18"/>
          <w:color w:val="auto"/>
        </w:rPr>
      </w:pPr>
    </w:p>
    <w:p>
      <w:pPr>
        <w:ind w:left="460" w:right="50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Restricted Payments made by the Company or by any Significant Subsidiary of the Company, in connection with the purchase of Holdings Capital Stock in an amount equal to 100% of the market value of Holdings Capital Stock that is scheduled to vest during such year under an equity compensation plan authorized and approved by the Board of Directors of the Company;</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dividend payments to employees holding Capital Stock received upon the exercise of compensation options under a benefit plan;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18" w:name="page119"/>
    <w:bookmarkEnd w:id="11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 Restricted Payments made in connection with the Lazard Asset Management Equity Plan.</w:t>
      </w:r>
    </w:p>
    <w:p>
      <w:pPr>
        <w:spacing w:after="0" w:line="171" w:lineRule="exact"/>
        <w:rPr>
          <w:sz w:val="20"/>
          <w:szCs w:val="20"/>
          <w:color w:val="auto"/>
        </w:rPr>
      </w:pPr>
    </w:p>
    <w:p>
      <w:pPr>
        <w:jc w:val="both"/>
        <w:ind w:right="140" w:firstLine="456"/>
        <w:spacing w:after="0" w:line="305" w:lineRule="auto"/>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Disposition of Designated Subsidiaries</w:t>
      </w:r>
      <w:r>
        <w:rPr>
          <w:rFonts w:ascii="Arial" w:cs="Arial" w:eastAsia="Arial" w:hAnsi="Arial"/>
          <w:sz w:val="15"/>
          <w:szCs w:val="15"/>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w:t>
      </w:r>
    </w:p>
    <w:p>
      <w:pPr>
        <w:ind w:right="40" w:firstLine="8"/>
        <w:spacing w:after="0" w:line="261" w:lineRule="auto"/>
        <w:tabs>
          <w:tab w:leader="none" w:pos="2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Capital Stock of such Designated Subsidiary entitled to vote generally in the election of directors or (c) the right to receive dividends or other distributions from such Designated Subsidiary.</w:t>
      </w:r>
    </w:p>
    <w:p>
      <w:pPr>
        <w:spacing w:after="0" w:line="30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SECTION 8. RESERVED</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SECTION 9. EVENTS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90" w:lineRule="exact"/>
        <w:rPr>
          <w:sz w:val="20"/>
          <w:szCs w:val="20"/>
          <w:color w:val="auto"/>
        </w:rPr>
      </w:pPr>
    </w:p>
    <w:p>
      <w:pPr>
        <w:ind w:left="460" w:right="80" w:firstLine="443"/>
        <w:spacing w:after="0" w:line="259" w:lineRule="auto"/>
        <w:tabs>
          <w:tab w:leader="none" w:pos="11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shall fail to pay any principal of any Loan when any such amount becomes due in accordance with the terms hereof; or to pay any interest on any Loan, or any other amount payable hereunder, within five (5) days after such interest or other amount becomes due in accordance with the terms hereof; or</w:t>
      </w:r>
    </w:p>
    <w:p>
      <w:pPr>
        <w:spacing w:after="0" w:line="59" w:lineRule="exact"/>
        <w:rPr>
          <w:rFonts w:ascii="Arial" w:cs="Arial" w:eastAsia="Arial" w:hAnsi="Arial"/>
          <w:sz w:val="18"/>
          <w:szCs w:val="18"/>
          <w:color w:val="auto"/>
        </w:rPr>
      </w:pPr>
    </w:p>
    <w:p>
      <w:pPr>
        <w:ind w:left="460" w:right="240" w:firstLine="443"/>
        <w:spacing w:after="0" w:line="357" w:lineRule="auto"/>
        <w:tabs>
          <w:tab w:leader="none" w:pos="114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ind w:left="460" w:right="220" w:firstLine="443"/>
        <w:spacing w:after="0" w:line="332" w:lineRule="auto"/>
        <w:tabs>
          <w:tab w:leader="none" w:pos="113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 or</w:t>
      </w:r>
    </w:p>
    <w:p>
      <w:pPr>
        <w:spacing w:after="0" w:line="4" w:lineRule="exact"/>
        <w:rPr>
          <w:rFonts w:ascii="Arial" w:cs="Arial" w:eastAsia="Arial" w:hAnsi="Arial"/>
          <w:sz w:val="16"/>
          <w:szCs w:val="16"/>
          <w:color w:val="auto"/>
        </w:rPr>
      </w:pPr>
    </w:p>
    <w:p>
      <w:pPr>
        <w:ind w:left="460" w:right="360" w:firstLine="443"/>
        <w:spacing w:after="0" w:line="357" w:lineRule="auto"/>
        <w:tabs>
          <w:tab w:leader="none" w:pos="1147" w:val="left"/>
        </w:tabs>
        <w:numPr>
          <w:ilvl w:val="1"/>
          <w:numId w:val="103"/>
        </w:numPr>
        <w:rPr>
          <w:rFonts w:ascii="Arial" w:cs="Arial" w:eastAsia="Arial" w:hAnsi="Arial"/>
          <w:sz w:val="15"/>
          <w:szCs w:val="15"/>
          <w:color w:val="auto"/>
        </w:rPr>
      </w:pPr>
      <w:r>
        <w:rPr>
          <w:rFonts w:ascii="Arial" w:cs="Arial" w:eastAsia="Arial" w:hAnsi="Arial"/>
          <w:sz w:val="15"/>
          <w:szCs w:val="15"/>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ind w:left="460" w:right="420" w:firstLine="443"/>
        <w:spacing w:after="0" w:line="259" w:lineRule="auto"/>
        <w:tabs>
          <w:tab w:leader="none" w:pos="11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 any other agreement contained in this Agreement (other than as provided in paragraphs (a) through (d) of this Section), and such default shall continue unremedied for a period of 30 days following notice thereof by the Administrative Agent to the Company; or</w:t>
      </w:r>
    </w:p>
    <w:p>
      <w:pPr>
        <w:spacing w:after="0" w:line="59" w:lineRule="exact"/>
        <w:rPr>
          <w:rFonts w:ascii="Arial" w:cs="Arial" w:eastAsia="Arial" w:hAnsi="Arial"/>
          <w:sz w:val="18"/>
          <w:szCs w:val="18"/>
          <w:color w:val="auto"/>
        </w:rPr>
      </w:pPr>
    </w:p>
    <w:p>
      <w:pPr>
        <w:ind w:left="460" w:right="40" w:firstLine="443"/>
        <w:spacing w:after="0" w:line="290" w:lineRule="auto"/>
        <w:tabs>
          <w:tab w:leader="none" w:pos="111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or any of its Significant Subsidiaries shall (i) default in any payment of principal of or interest on any Indebtedness (other than the Loans) in excess of $10,000,000 (or in the case of the Company, $25,000,000)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$10,000,000 (or in the case of the Company, $25,000,000) to become due prior to its stated maturity; or</w:t>
      </w:r>
    </w:p>
    <w:p>
      <w:pPr>
        <w:spacing w:after="0" w:line="37" w:lineRule="exact"/>
        <w:rPr>
          <w:rFonts w:ascii="Arial" w:cs="Arial" w:eastAsia="Arial" w:hAnsi="Arial"/>
          <w:sz w:val="16"/>
          <w:szCs w:val="16"/>
          <w:color w:val="auto"/>
        </w:rPr>
      </w:pPr>
    </w:p>
    <w:p>
      <w:pPr>
        <w:ind w:left="460" w:firstLine="443"/>
        <w:spacing w:after="0" w:line="284" w:lineRule="auto"/>
        <w:tabs>
          <w:tab w:leader="none" w:pos="114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 arise on the assets of the Company or any of its Significant Subsidiaries or any Commonly Controlled Entity;</w:t>
      </w:r>
    </w:p>
    <w:p>
      <w:pPr>
        <w:spacing w:after="0" w:line="1" w:lineRule="exact"/>
        <w:rPr>
          <w:rFonts w:ascii="Arial" w:cs="Arial" w:eastAsia="Arial" w:hAnsi="Arial"/>
          <w:sz w:val="16"/>
          <w:szCs w:val="16"/>
          <w:color w:val="auto"/>
        </w:rPr>
      </w:pPr>
    </w:p>
    <w:p>
      <w:pPr>
        <w:ind w:left="460" w:right="80" w:firstLine="4"/>
        <w:spacing w:after="0" w:line="255" w:lineRule="auto"/>
        <w:tabs>
          <w:tab w:leader="none" w:pos="76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19" w:name="page120"/>
    <w:bookmarkEnd w:id="11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 (vii) the Company, any of its Significant Subsidiaries or any Commonly Controlled Entity shall, or shall be reasonably likely to, incur any liability in connection with a withdrawal from, or the Insolvency or Reorganization of, a Multiemployer Plan or there shall be a determination that any Multiemployer Plan is, or is expected to be, in “endangered” or “critical” status (within the meaning of Section 432 of the Code or Section 305 of ERISA); (viii) with respect to any Foreign Plan, there shall occur (A) 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 occur or exist with respect to a Plan; and in each case in clauses (i) through (ix) 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47" w:lineRule="exact"/>
        <w:rPr>
          <w:sz w:val="20"/>
          <w:szCs w:val="20"/>
          <w:color w:val="auto"/>
        </w:rPr>
      </w:pPr>
    </w:p>
    <w:p>
      <w:pPr>
        <w:ind w:right="180" w:firstLine="443"/>
        <w:spacing w:after="0" w:line="306" w:lineRule="auto"/>
        <w:tabs>
          <w:tab w:leader="none" w:pos="68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the Company or any of its Significant Subsidiaries involving in the aggregate a liability (not paid or to the extent not covered by insurance) of $10,000,000 (or in the case of the Company, $25,000,000) or more and all such judgments or decrees shall not have been vacated, discharged, stayed or bonded pending appeal within 60 days from the entry thereof; or</w:t>
      </w:r>
    </w:p>
    <w:p>
      <w:pPr>
        <w:spacing w:after="0" w:line="25" w:lineRule="exact"/>
        <w:rPr>
          <w:rFonts w:ascii="Arial" w:cs="Arial" w:eastAsia="Arial" w:hAnsi="Arial"/>
          <w:sz w:val="16"/>
          <w:szCs w:val="16"/>
          <w:color w:val="auto"/>
        </w:rPr>
      </w:pPr>
    </w:p>
    <w:p>
      <w:pPr>
        <w:ind w:right="20" w:firstLine="443"/>
        <w:spacing w:after="0" w:line="283" w:lineRule="auto"/>
        <w:tabs>
          <w:tab w:leader="none" w:pos="64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w:t>
      </w:r>
    </w:p>
    <w:p>
      <w:pPr>
        <w:spacing w:after="0" w:line="2" w:lineRule="exact"/>
        <w:rPr>
          <w:rFonts w:ascii="Arial" w:cs="Arial" w:eastAsia="Arial" w:hAnsi="Arial"/>
          <w:sz w:val="16"/>
          <w:szCs w:val="16"/>
          <w:color w:val="auto"/>
        </w:rPr>
      </w:pPr>
    </w:p>
    <w:p>
      <w:pPr>
        <w:ind w:right="20" w:firstLine="4"/>
        <w:spacing w:after="0" w:line="287" w:lineRule="auto"/>
        <w:tabs>
          <w:tab w:leader="none" w:pos="25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there shall be commenced against the Company or any of its Significant Subsidiaries any case, proceeding or other action of a nature referred to in clause (i) above that (A) results in the entry of an order for relief or any such adjudication or appointment or (B) 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43" w:lineRule="exact"/>
        <w:rPr>
          <w:rFonts w:ascii="Arial" w:cs="Arial" w:eastAsia="Arial" w:hAnsi="Arial"/>
          <w:sz w:val="16"/>
          <w:szCs w:val="16"/>
          <w:color w:val="auto"/>
        </w:rPr>
      </w:pPr>
    </w:p>
    <w:p>
      <w:pPr>
        <w:ind w:left="660" w:hanging="217"/>
        <w:spacing w:after="0"/>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120" w:name="page121"/>
    <w:bookmarkEnd w:id="120"/>
    <w:p>
      <w:pPr>
        <w:ind w:left="460"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10. RESERVED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11. THE ADMINISTRATIVE AGENT</w:t>
      </w:r>
    </w:p>
    <w:p>
      <w:pPr>
        <w:spacing w:after="0" w:line="171"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Appointment</w:t>
      </w:r>
      <w:r>
        <w:rPr>
          <w:rFonts w:ascii="Arial" w:cs="Arial" w:eastAsia="Arial" w:hAnsi="Arial"/>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Banks, and no implied covenants, function, responsibilities, duties, obligations or liabilities shall be read into this Agreement or otherwise exist against the Administrative Agent.</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w:t>
      </w:r>
    </w:p>
    <w:p>
      <w:pPr>
        <w:spacing w:after="0" w:line="38" w:lineRule="exact"/>
        <w:rPr>
          <w:sz w:val="20"/>
          <w:szCs w:val="20"/>
          <w:color w:val="auto"/>
        </w:rPr>
      </w:pPr>
    </w:p>
    <w:p>
      <w:pPr>
        <w:ind w:firstLine="8"/>
        <w:spacing w:after="0" w:line="286" w:lineRule="auto"/>
        <w:tabs>
          <w:tab w:leader="none" w:pos="21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liable for any action lawfully taken or omitted to be taken by it or such Person under or in connection with this Agreement (except for its or such Person’s own gross negligence, bad faith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 The Administrative Agent will not be required to take any action that, in its opinion or the opinion of its counsel, may expose the Administrative Agent to liability or that is contrary to any Credit Document or applicable law, including for the avoidance of doubt, any action that may be in violation of the automatic stay under any bankruptcy or insolvency proceeding or that may effect a forfeiture, modification or termination of property of a Defaulting Lender in violation of any bankruptcy or insolvency proceeding.</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Reliance by Agent</w:t>
      </w:r>
      <w:r>
        <w:rPr>
          <w:rFonts w:ascii="Arial" w:cs="Arial" w:eastAsia="Arial" w:hAnsi="Arial"/>
          <w:sz w:val="18"/>
          <w:szCs w:val="18"/>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21" w:name="page122"/>
    <w:bookmarkEnd w:id="121"/>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 Agent receives such a notice, the Administrative Agent shall give notice thereof to the Banks. The Administrative Agent shall take such action with respect to such Default or Event of Default as shall be reasonably directed by the Banks jointly;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Non-Reliance on Administrative Agent</w:t>
      </w:r>
      <w:r>
        <w:rPr>
          <w:rFonts w:ascii="Arial" w:cs="Arial" w:eastAsia="Arial" w:hAnsi="Arial"/>
          <w:sz w:val="16"/>
          <w:szCs w:val="16"/>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 creditworthiness of the Company which may come into the possession of the Administrative Agent or any of its officers, directors, employees, agents, attorneys-in-fact or Affiliates.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22" w:name="page123"/>
    <w:bookmarkEnd w:id="122"/>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 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12. MISCELLANEOUS</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 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such amendment, supplement or modification shall (i) 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23" w:name="page124"/>
    <w:bookmarkEnd w:id="123"/>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 All notices, requests and demands to or upon the respective parties hereto to be effective shall be in writing (including by facsimile), and, unless otherwise expressly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Lazard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831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63690" cy="83185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Address: matthieu.bucaille@lazard.com</w:t>
      </w:r>
    </w:p>
    <w:p>
      <w:pPr>
        <w:spacing w:after="0" w:line="21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9690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63690" cy="96901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Lazard Group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Assistant Treasurer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E-mail Address: kurt.langer@lazard.com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Administrative Agent:</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1615 Brett Road, OPS 3</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Robert Ross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Facsimile: (212) 994-0961 Telephone: (302) 323-5499</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Address: Robert.Ross@citigroup.com</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Copy to: GLAgentOfficeOps@citi.com</w:t>
      </w:r>
    </w:p>
    <w:p>
      <w:pPr>
        <w:sectPr>
          <w:pgSz w:w="11900" w:h="16838" w:orient="portrait"/>
          <w:cols w:equalWidth="0" w:num="1">
            <w:col w:w="11400"/>
          </w:cols>
          <w:pgMar w:left="240" w:top="280" w:right="259" w:bottom="1440" w:gutter="0" w:footer="0" w:header="0"/>
        </w:sect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Banks: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address, facsimile number, electronic mail address or telephone number specified in the Bank’s Administrative Questionnaire, a form supplied by the Administrative Agent, or to such other address, facsimile number, electronic mail address or telephone number as shall be designated by the Bank in a notice to the Administrative Agent</w:t>
      </w:r>
    </w:p>
    <w:p>
      <w:pPr>
        <w:spacing w:after="0" w:line="140" w:lineRule="exact"/>
        <w:rPr>
          <w:sz w:val="20"/>
          <w:szCs w:val="20"/>
          <w:color w:val="auto"/>
        </w:rPr>
      </w:pPr>
    </w:p>
    <w:p>
      <w:pPr>
        <w:sectPr>
          <w:pgSz w:w="11900" w:h="16838" w:orient="portrait"/>
          <w:cols w:equalWidth="0" w:num="2">
            <w:col w:w="1280" w:space="520"/>
            <w:col w:w="9600"/>
          </w:cols>
          <w:pgMar w:left="240" w:top="280" w:right="259" w:bottom="1440" w:gutter="0" w:footer="0" w:header="0"/>
          <w:type w:val="continuous"/>
        </w:sectPr>
      </w:pPr>
    </w:p>
    <w:p>
      <w:pPr>
        <w:ind w:right="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any Bank pursuant to Sections 2.6, 2.7, 2.8 and 2.9 shall not be effective until received.</w:t>
      </w:r>
    </w:p>
    <w:p>
      <w:pPr>
        <w:spacing w:after="0" w:line="132" w:lineRule="exact"/>
        <w:rPr>
          <w:sz w:val="20"/>
          <w:szCs w:val="20"/>
          <w:color w:val="auto"/>
        </w:rPr>
      </w:pPr>
    </w:p>
    <w:p>
      <w:pPr>
        <w:ind w:firstLine="464"/>
        <w:spacing w:after="0" w:line="290"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type w:val="continuous"/>
        </w:sectPr>
      </w:pPr>
    </w:p>
    <w:bookmarkStart w:id="124" w:name="page125"/>
    <w:bookmarkEnd w:id="124"/>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140" w:lineRule="exact"/>
        <w:rPr>
          <w:sz w:val="20"/>
          <w:szCs w:val="20"/>
          <w:color w:val="auto"/>
        </w:rPr>
      </w:pPr>
    </w:p>
    <w:p>
      <w:pPr>
        <w:ind w:right="200" w:firstLine="464"/>
        <w:spacing w:after="0" w:line="268"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further agrees that the Administrative Agent may make the Communications available to the Banks by posting the Communications on Debt Domain or a substantially similar electronic transmission systems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20" w:firstLine="464"/>
        <w:spacing w:after="0" w:line="254"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Administrative Agent agrees that the receipt of the Communications by the Administrative Agent at its e-mail address set forth in paragraph (b) of this Section shall 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144" w:lineRule="exact"/>
        <w:rPr>
          <w:rFonts w:ascii="Arial" w:cs="Arial" w:eastAsia="Arial" w:hAnsi="Arial"/>
          <w:sz w:val="18"/>
          <w:szCs w:val="18"/>
          <w:color w:val="auto"/>
        </w:rPr>
      </w:pPr>
    </w:p>
    <w:p>
      <w:pPr>
        <w:ind w:right="400" w:firstLine="464"/>
        <w:spacing w:after="0" w:line="268"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any Credit Document in any other manner specified in such Credit Document.</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14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Payment of Expenses and Taxes</w:t>
      </w:r>
      <w:r>
        <w:rPr>
          <w:rFonts w:ascii="Arial" w:cs="Arial" w:eastAsia="Arial" w:hAnsi="Arial"/>
          <w:sz w:val="16"/>
          <w:szCs w:val="16"/>
          <w:color w:val="auto"/>
        </w:rPr>
        <w:t>. The Company agrees (a) to pay or reimburse the Administrative Agent and the Lead Arranger for all its reasonable and documented out-of-pocket costs and expenses incurred in connection with the preparation and execution, and any amendments or modifications or waivers of the provisions of this Agreement and any other documents prepared in connection therewith, and the consummation and administration of the transactions contemplated hereby and thereby, including the reasonable fees and disbursements of one counsel (and, if necessary, one local counsel per jurisdiction) to the Administrative Agent and filing and recording fees and expenses, with statements with respect to the foregoing to be submitted to the Company prior to the Effective Date (in the case of amounts to be paid on the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any such other documents, and (d) to pay, indemnify, and hold each Bank and the Administrative Agent and their respective officers, directors, employees, affiliates, agents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25" w:name="page126"/>
    <w:bookmarkEnd w:id="125"/>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actions, judgments, suits, costs, expenses or disbursements of any kind or nature whatsoever with respect to the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are found by a court of competent jurisdiction to have resulted from the willful misconduct, bad faith or gross negligence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12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u w:val="single" w:color="auto"/>
          <w:color w:val="auto"/>
        </w:rPr>
        <w:t>Confidentiality</w:t>
      </w:r>
      <w:r>
        <w:rPr>
          <w:rFonts w:ascii="Arial" w:cs="Arial" w:eastAsia="Arial" w:hAnsi="Arial"/>
          <w:sz w:val="15"/>
          <w:szCs w:val="15"/>
          <w:color w:val="auto"/>
        </w:rPr>
        <w:t xml:space="preserve">. The Banks shall not disclose any information that the Company or any of its Subsidiaries furnishes to the Banks, other than (a) as required by any law, rule or regulation or judicial process (in which case, such Bank shall inform the Company promptly thereof to the extent permitted by law, rule or regulation or judicial process), (b) as requested by any state, federal or foreign authority or examiner regulating banks or banking, (c) to actual or proposed (with the consent of the Company) assignees, transferees and participants;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disclosure and any such proposed assignee, transferee or participant agrees to treat confidentially all such information and to use such information solely for the purpose of evaluating whether to become an assignee, transferee or participant, as the case may be, (d) to its advisors and attorneys on a “need to know” basis and (e) to the extent such information becomes</w:t>
      </w:r>
    </w:p>
    <w:p>
      <w:pPr>
        <w:spacing w:after="0" w:line="1" w:lineRule="exact"/>
        <w:rPr>
          <w:sz w:val="20"/>
          <w:szCs w:val="20"/>
          <w:color w:val="auto"/>
        </w:rPr>
      </w:pPr>
    </w:p>
    <w:p>
      <w:pPr>
        <w:ind w:right="420" w:firstLine="8"/>
        <w:spacing w:after="0" w:line="261" w:lineRule="auto"/>
        <w:tabs>
          <w:tab w:leader="none" w:pos="28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publicly available other than as a result of a breach of this Section 12.6 or (B) available to the Administrative Agent, any Bank or any of their respective Affiliates on a nonconfidential basis from a source other than the Company.</w:t>
      </w:r>
    </w:p>
    <w:p>
      <w:pPr>
        <w:spacing w:after="0" w:line="13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Administrative Agent’s and each Bank’s Affiliates and their respective directors, officers, employees, agents and advisors) any legal or equitable right, remedy or claim under or by reason of this Agreement.</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(b)(i) Subject to the conditions set forth in paragraph (b)(ii) below, any Bank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59" w:lineRule="exact"/>
        <w:rPr>
          <w:sz w:val="20"/>
          <w:szCs w:val="20"/>
          <w:color w:val="auto"/>
        </w:rPr>
      </w:pPr>
    </w:p>
    <w:p>
      <w:pPr>
        <w:ind w:left="460" w:right="220" w:firstLine="443"/>
        <w:spacing w:after="0" w:line="332" w:lineRule="auto"/>
        <w:tabs>
          <w:tab w:leader="none" w:pos="118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the Company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Company shall be required (x) for an assignment to an affiliate of a Bank from such Bank or (y) if an Event of Default under Sections 9(a) or (i) has occurred; and</w:t>
      </w:r>
    </w:p>
    <w:p>
      <w:pPr>
        <w:spacing w:after="0" w:line="4" w:lineRule="exact"/>
        <w:rPr>
          <w:rFonts w:ascii="Arial" w:cs="Arial" w:eastAsia="Arial" w:hAnsi="Arial"/>
          <w:sz w:val="16"/>
          <w:szCs w:val="16"/>
          <w:color w:val="auto"/>
        </w:rPr>
      </w:pPr>
    </w:p>
    <w:p>
      <w:pPr>
        <w:ind w:left="460" w:right="340" w:firstLine="443"/>
        <w:spacing w:after="0" w:line="268" w:lineRule="auto"/>
        <w:tabs>
          <w:tab w:leader="none" w:pos="117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Loan to a Bank, an affiliate of a Bank or an Approved Fund (as defined below).</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90" w:lineRule="exact"/>
        <w:rPr>
          <w:sz w:val="20"/>
          <w:szCs w:val="20"/>
          <w:color w:val="auto"/>
        </w:rPr>
      </w:pPr>
    </w:p>
    <w:p>
      <w:pPr>
        <w:ind w:left="460" w:firstLine="443"/>
        <w:spacing w:after="0" w:line="268" w:lineRule="auto"/>
        <w:tabs>
          <w:tab w:leader="none" w:pos="11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in the case of an assignment to a Bank, an affiliate of a Bank or an Approved Fund or an assignment of the entire remaining amount of the assigning Bank Commitments or Loans hereunder,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126" w:name="page127"/>
    <w:bookmarkEnd w:id="126"/>
    <w:p>
      <w:pPr>
        <w:ind w:left="46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aggregated in respect of each Bank and its affiliates or Approved Funds, if any;</w:t>
      </w:r>
    </w:p>
    <w:p>
      <w:pPr>
        <w:spacing w:after="0" w:line="62" w:lineRule="exact"/>
        <w:rPr>
          <w:sz w:val="20"/>
          <w:szCs w:val="20"/>
          <w:color w:val="auto"/>
        </w:rPr>
      </w:pPr>
    </w:p>
    <w:p>
      <w:pPr>
        <w:ind w:left="460" w:right="100" w:firstLine="443"/>
        <w:spacing w:after="0" w:line="306" w:lineRule="auto"/>
        <w:tabs>
          <w:tab w:leader="none" w:pos="117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together with a processing and recordation fee of $3,500 (which fee may be waived by the Administrative Agent in its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a single processing and recordation fee shall be payable in respect of multiple contemporaneous assignments to Approved Funds with respect to any Lender; and</w:t>
      </w:r>
    </w:p>
    <w:p>
      <w:pPr>
        <w:spacing w:after="0" w:line="25" w:lineRule="exact"/>
        <w:rPr>
          <w:rFonts w:ascii="Arial" w:cs="Arial" w:eastAsia="Arial" w:hAnsi="Arial"/>
          <w:sz w:val="16"/>
          <w:szCs w:val="16"/>
          <w:color w:val="auto"/>
        </w:rPr>
      </w:pPr>
    </w:p>
    <w:p>
      <w:pPr>
        <w:ind w:left="1180" w:hanging="277"/>
        <w:spacing w:after="0"/>
        <w:tabs>
          <w:tab w:leader="none" w:pos="1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Assignee, if it shall not be a Bank, shall deliver to the Administrative Agent an administrative questionnaire.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purposes of this Section 12.7, “</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assignment will be made to any Defaulting Lender or any of its subsidiaries except for as set forth in Section 2.19(c).</w:t>
      </w:r>
    </w:p>
    <w:p>
      <w:pPr>
        <w:spacing w:after="0" w:line="171" w:lineRule="exact"/>
        <w:rPr>
          <w:sz w:val="20"/>
          <w:szCs w:val="20"/>
          <w:color w:val="auto"/>
        </w:rPr>
      </w:pPr>
    </w:p>
    <w:p>
      <w:pPr>
        <w:ind w:firstLine="464"/>
        <w:spacing w:after="0" w:line="290" w:lineRule="auto"/>
        <w:tabs>
          <w:tab w:leader="none" w:pos="76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118" w:lineRule="exact"/>
        <w:rPr>
          <w:rFonts w:ascii="Arial" w:cs="Arial" w:eastAsia="Arial" w:hAnsi="Arial"/>
          <w:sz w:val="16"/>
          <w:szCs w:val="16"/>
          <w:color w:val="auto"/>
        </w:rPr>
      </w:pPr>
    </w:p>
    <w:p>
      <w:pPr>
        <w:ind w:right="60" w:firstLine="464"/>
        <w:spacing w:after="0" w:line="291" w:lineRule="auto"/>
        <w:tabs>
          <w:tab w:leader="none" w:pos="75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an agent of the Company, shall maintain at one of its offices a copy of each Assignment and Assumption delivered to it and a register for the recordation of the names and addresses of the Banks, and the Commitments of, and principal amount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120" w:lineRule="exact"/>
        <w:rPr>
          <w:rFonts w:ascii="Arial" w:cs="Arial" w:eastAsia="Arial" w:hAnsi="Arial"/>
          <w:sz w:val="16"/>
          <w:szCs w:val="16"/>
          <w:color w:val="auto"/>
        </w:rPr>
      </w:pPr>
    </w:p>
    <w:p>
      <w:pPr>
        <w:ind w:firstLine="464"/>
        <w:spacing w:after="0" w:line="254"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The Administrative Agent shall promptly notify the Company of the effectiveness of any assignment under this Section.</w:t>
      </w:r>
    </w:p>
    <w:p>
      <w:pPr>
        <w:spacing w:after="0" w:line="14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(c)(i) Any Bank may, without the consent of the Company or the Administrative Agent,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in all or a portion of such Bank’s rights and obligations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127" w:name="page128"/>
    <w:bookmarkEnd w:id="127"/>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Bank’s obligations under this Agreement shall remain unchanged, (B) such Bank shall remain solely responsible to the other parties hereto for the performance of such obligations and (C) the Company, the Administrative Agent and the other Banks shall continue to deal solely and directly with such Bank in connection with such Bank’s rights and obligations under this Agreement. Any agreement pursuant to which a Bank sells such a participation shall provide that such Bank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Bank will not, without the consent of the Participant, agree to any amendment, modification or waiver that (1) requires the consent of each Bank directly affected thereby pursuant to the proviso to the second sentence of Section 12.1 and (2) directly affects such Participant. Subject to paragraph (c)(ii) of this Section, the Company agrees that each Participant shall be entitled to the benefits of Sections 2.12, 2.16 and 2.17 to the same extent as if it were a Bank and had acquired its interest by assignment pursuant to paragraph (b) of this Section. To the extent permitted by law, each Participant also shall be entitled to the benefits of</w:t>
      </w:r>
    </w:p>
    <w:p>
      <w:pPr>
        <w:spacing w:after="0" w:line="5"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 xml:space="preserve">Section 12.8(b) as though it were a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shall be subject to Section 12.8(a) as though it were a Bank. Each Bank that sells a participation, acting solely for this purpose as an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and such Bank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17" w:lineRule="exact"/>
        <w:rPr>
          <w:sz w:val="20"/>
          <w:szCs w:val="20"/>
          <w:color w:val="auto"/>
        </w:rPr>
      </w:pPr>
    </w:p>
    <w:p>
      <w:pPr>
        <w:ind w:right="140" w:firstLine="464"/>
        <w:spacing w:after="0" w:line="306" w:lineRule="auto"/>
        <w:tabs>
          <w:tab w:leader="none" w:pos="71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107" w:lineRule="exact"/>
        <w:rPr>
          <w:sz w:val="20"/>
          <w:szCs w:val="20"/>
          <w:color w:val="auto"/>
        </w:rPr>
      </w:pPr>
    </w:p>
    <w:p>
      <w:pPr>
        <w:ind w:firstLine="464"/>
        <w:spacing w:after="0" w:line="256"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143"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upon receipt of written notice from the relevant Bank, agrees to issue Notes to any Bank requiring Notes to facilitate transactions of the type described in paragraph (d) above.</w:t>
      </w:r>
    </w:p>
    <w:p>
      <w:pPr>
        <w:spacing w:after="0" w:line="131" w:lineRule="exact"/>
        <w:rPr>
          <w:rFonts w:ascii="Arial" w:cs="Arial" w:eastAsia="Arial" w:hAnsi="Arial"/>
          <w:sz w:val="18"/>
          <w:szCs w:val="18"/>
          <w:color w:val="auto"/>
        </w:rPr>
      </w:pPr>
    </w:p>
    <w:p>
      <w:pPr>
        <w:ind w:firstLine="464"/>
        <w:spacing w:after="0" w:line="286" w:lineRule="auto"/>
        <w:tabs>
          <w:tab w:leader="none" w:pos="67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28" w:name="page129"/>
    <w:bookmarkEnd w:id="128"/>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such other documents and information as it has deemed appropriate to make its own credit analysis and decision to enter into such Assignment and Assumption; (v) such 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w:t>
      </w:r>
    </w:p>
    <w:p>
      <w:pPr>
        <w:spacing w:after="0" w:line="1" w:lineRule="exact"/>
        <w:rPr>
          <w:sz w:val="20"/>
          <w:szCs w:val="20"/>
          <w:color w:val="auto"/>
        </w:rPr>
      </w:pPr>
    </w:p>
    <w:p>
      <w:pPr>
        <w:jc w:val="both"/>
        <w:ind w:right="60" w:firstLine="8"/>
        <w:spacing w:after="0" w:line="302" w:lineRule="auto"/>
        <w:tabs>
          <w:tab w:leader="none" w:pos="29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such assignee appoints and authorizes the Administrative Agent to take such action as agents on its behalf and to exercise such powers under this Agreement as are delegated to them by the terms hereof, together with such powers as are reasonably incidental thereto; and (vii) such assignee agrees that it will perform in accordance with their terms all the obligations that by the terms of this Agreement are required to be performed by it as a Bank.</w:t>
      </w:r>
    </w:p>
    <w:p>
      <w:pPr>
        <w:spacing w:after="0" w:line="10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Adjustments; Right of Setoff</w:t>
      </w:r>
      <w:r>
        <w:rPr>
          <w:rFonts w:ascii="Arial" w:cs="Arial" w:eastAsia="Arial" w:hAnsi="Arial"/>
          <w:sz w:val="16"/>
          <w:szCs w:val="16"/>
          <w:color w:val="auto"/>
        </w:rPr>
        <w:t>. (a) If any Bank (a “</w:t>
      </w:r>
      <w:r>
        <w:rPr>
          <w:rFonts w:ascii="Arial" w:cs="Arial" w:eastAsia="Arial" w:hAnsi="Arial"/>
          <w:sz w:val="16"/>
          <w:szCs w:val="16"/>
          <w:u w:val="single" w:color="auto"/>
          <w:color w:val="auto"/>
        </w:rPr>
        <w:t>Benefited Bank</w:t>
      </w:r>
      <w:r>
        <w:rPr>
          <w:rFonts w:ascii="Arial" w:cs="Arial" w:eastAsia="Arial" w:hAnsi="Arial"/>
          <w:sz w:val="16"/>
          <w:szCs w:val="16"/>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118" w:lineRule="exact"/>
        <w:rPr>
          <w:sz w:val="20"/>
          <w:szCs w:val="20"/>
          <w:color w:val="auto"/>
        </w:rPr>
      </w:pPr>
    </w:p>
    <w:p>
      <w:pPr>
        <w:ind w:firstLine="464"/>
        <w:spacing w:after="0" w:line="289"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Defaulting Lender shall have any rights under this Section. Each Bank agrees promptly to notify the Company and the Administrative Agent after any such application made by such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application.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u w:val="single" w:color="auto"/>
          <w:color w:val="auto"/>
        </w:rPr>
        <w:t>WAIVERS OF JURY TRIAL</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THE COMPANY AND THE ADMINISTRATIVE AGENT AND THE BANKS HEREBY IRREVOCABLY AND UNCONDITIONALLY WAIVE TRIAL BY JURY IN ANY LEGAL ACTION OR PROCEEDING RELATING TO THIS AGREEMENT AND FOR ANY COUNTERCLAIM THEREIN.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Company hereby irrevocably and unconditionally:</w:t>
      </w:r>
    </w:p>
    <w:p>
      <w:pPr>
        <w:spacing w:after="0" w:line="90" w:lineRule="exact"/>
        <w:rPr>
          <w:sz w:val="20"/>
          <w:szCs w:val="20"/>
          <w:color w:val="auto"/>
        </w:rPr>
      </w:pPr>
    </w:p>
    <w:p>
      <w:pPr>
        <w:ind w:left="460" w:right="280" w:firstLine="443"/>
        <w:spacing w:after="0" w:line="259" w:lineRule="auto"/>
        <w:tabs>
          <w:tab w:leader="none" w:pos="11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for recognition and enforcement of any judgment in respect thereof, to the exclusive general jurisdiction of the courts of the State of New York, the courts of the United States for the Southern District of New York, and appellate courts from any thereof;</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129" w:name="page130"/>
    <w:bookmarkEnd w:id="129"/>
    <w:p>
      <w:pPr>
        <w:ind w:left="46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as the case may be at its address set forth in Section 12.2 or at such other address of which the Administrative Agent shall have been notified pursuant thereto;</w:t>
      </w:r>
    </w:p>
    <w:p>
      <w:pPr>
        <w:spacing w:after="0" w:line="51" w:lineRule="exact"/>
        <w:rPr>
          <w:sz w:val="20"/>
          <w:szCs w:val="20"/>
          <w:color w:val="auto"/>
        </w:rPr>
      </w:pPr>
    </w:p>
    <w:p>
      <w:pPr>
        <w:ind w:left="460" w:right="14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13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Notes and the rights and obligations of the parties under this Agreement and the Notes shall be</w:t>
      </w:r>
      <w:r>
        <w:rPr>
          <w:rFonts w:ascii="Arial" w:cs="Arial" w:eastAsia="Arial" w:hAnsi="Arial"/>
          <w:sz w:val="18"/>
          <w:szCs w:val="18"/>
          <w:color w:val="auto"/>
        </w:rPr>
        <w:t xml:space="preserve"> </w:t>
      </w:r>
      <w:r>
        <w:rPr>
          <w:rFonts w:ascii="Arial" w:cs="Arial" w:eastAsia="Arial" w:hAnsi="Arial"/>
          <w:sz w:val="18"/>
          <w:szCs w:val="18"/>
          <w:b w:val="1"/>
          <w:bCs w:val="1"/>
          <w:color w:val="auto"/>
        </w:rPr>
        <w:t>governed by, and construed and interpreted in accordance with, the law of the State of New York.</w:t>
      </w:r>
    </w:p>
    <w:p>
      <w:pPr>
        <w:spacing w:after="0" w:line="1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130" w:name="page131"/>
    <w:bookmarkEnd w:id="13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ectPr>
          <w:pgSz w:w="11900" w:h="16838" w:orient="portrait"/>
          <w:cols w:equalWidth="0" w:num="1">
            <w:col w:w="11080"/>
          </w:cols>
          <w:pgMar w:left="240" w:top="280" w:right="579" w:bottom="1440" w:gutter="0" w:footer="0" w:header="0"/>
        </w:sectPr>
      </w:pPr>
    </w:p>
    <w:bookmarkStart w:id="131" w:name="page132"/>
    <w:bookmarkEnd w:id="13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Michael Vondriska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32" w:name="page133"/>
    <w:bookmarkEnd w:id="132"/>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T. Daley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33" w:name="page134"/>
    <w:bookmarkEnd w:id="13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 Thomas Caruso</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Managing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34" w:name="page135"/>
    <w:bookmarkEnd w:id="13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Jonathan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 Jonathan David</w:t>
      </w:r>
    </w:p>
    <w:p>
      <w:pPr>
        <w:spacing w:after="0" w:line="38" w:lineRule="exact"/>
        <w:rPr>
          <w:sz w:val="20"/>
          <w:szCs w:val="20"/>
          <w:color w:val="auto"/>
        </w:rPr>
      </w:pPr>
    </w:p>
    <w:p>
      <w:pPr>
        <w:jc w:val="right"/>
        <w:ind w:right="1219"/>
        <w:spacing w:after="0"/>
        <w:rPr>
          <w:sz w:val="20"/>
          <w:szCs w:val="20"/>
          <w:color w:val="auto"/>
        </w:rPr>
      </w:pPr>
      <w:r>
        <w:rPr>
          <w:rFonts w:ascii="Arial" w:cs="Arial" w:eastAsia="Arial" w:hAnsi="Arial"/>
          <w:sz w:val="18"/>
          <w:szCs w:val="18"/>
          <w:color w:val="auto"/>
        </w:rPr>
        <w:t>Title: Managing Director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10.51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October 24, 2012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w:t>
      </w:r>
      <w:r>
        <w:rPr>
          <w:rFonts w:ascii="Arial" w:cs="Arial" w:eastAsia="Arial" w:hAnsi="Arial"/>
          <w:sz w:val="18"/>
          <w:szCs w:val="18"/>
          <w:u w:val="single" w:color="auto"/>
          <w:color w:val="auto"/>
        </w:rPr>
        <w:t>PubliCo</w:t>
      </w:r>
      <w:r>
        <w:rPr>
          <w:rFonts w:ascii="Arial" w:cs="Arial" w:eastAsia="Arial" w:hAnsi="Arial"/>
          <w:sz w:val="18"/>
          <w:szCs w:val="18"/>
          <w:color w:val="auto"/>
        </w:rPr>
        <w:t>”),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Kenneth M. Jacobs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March 18, 2005, and amended on March 23, 2010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October 24, 2012</w:t>
            </w:r>
          </w:p>
        </w:tc>
        <w:tc>
          <w:tcPr>
            <w:tcW w:w="252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433"/>
        </w:trPr>
        <w:tc>
          <w:tcPr>
            <w:tcW w:w="3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34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/s/ Kenneth M. Jacobs</w:t>
            </w:r>
          </w:p>
        </w:tc>
      </w:tr>
      <w:tr>
        <w:trPr>
          <w:trHeight w:val="217"/>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40" w:type="dxa"/>
            <w:vAlign w:val="bottom"/>
          </w:tcPr>
          <w:p>
            <w:pPr>
              <w:ind w:left="2040"/>
              <w:spacing w:after="0"/>
              <w:rPr>
                <w:sz w:val="20"/>
                <w:szCs w:val="20"/>
                <w:color w:val="auto"/>
              </w:rPr>
            </w:pPr>
            <w:r>
              <w:rPr>
                <w:rFonts w:ascii="Arial" w:cs="Arial" w:eastAsia="Arial" w:hAnsi="Arial"/>
                <w:sz w:val="18"/>
                <w:szCs w:val="18"/>
                <w:color w:val="auto"/>
              </w:rPr>
              <w:t>Kenneth M. Jacobs</w:t>
            </w:r>
          </w:p>
        </w:tc>
      </w:tr>
      <w:tr>
        <w:trPr>
          <w:trHeight w:val="410"/>
        </w:trPr>
        <w:tc>
          <w:tcPr>
            <w:tcW w:w="3560" w:type="dxa"/>
            <w:vAlign w:val="bottom"/>
          </w:tcPr>
          <w:p>
            <w:pPr>
              <w:spacing w:after="0"/>
              <w:rPr>
                <w:sz w:val="20"/>
                <w:szCs w:val="20"/>
                <w:color w:val="auto"/>
              </w:rPr>
            </w:pPr>
            <w:r>
              <w:rPr>
                <w:rFonts w:ascii="Arial" w:cs="Arial" w:eastAsia="Arial" w:hAnsi="Arial"/>
                <w:sz w:val="18"/>
                <w:szCs w:val="18"/>
                <w:color w:val="auto"/>
              </w:rPr>
              <w:t>October 24, 2012</w:t>
            </w: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rPr>
              <w:t>LAZARD LTD,</w:t>
            </w:r>
          </w:p>
        </w:tc>
      </w:tr>
      <w:tr>
        <w:trPr>
          <w:trHeight w:val="433"/>
        </w:trPr>
        <w:tc>
          <w:tcPr>
            <w:tcW w:w="3560" w:type="dxa"/>
            <w:vAlign w:val="bottom"/>
          </w:tcPr>
          <w:p>
            <w:pPr>
              <w:spacing w:after="0"/>
              <w:rPr>
                <w:sz w:val="24"/>
                <w:szCs w:val="24"/>
                <w:color w:val="auto"/>
              </w:rPr>
            </w:pPr>
          </w:p>
        </w:tc>
        <w:tc>
          <w:tcPr>
            <w:tcW w:w="2520" w:type="dxa"/>
            <w:vAlign w:val="bottom"/>
          </w:tcPr>
          <w:p>
            <w:pPr>
              <w:ind w:left="2340"/>
              <w:spacing w:after="0"/>
              <w:rPr>
                <w:sz w:val="20"/>
                <w:szCs w:val="20"/>
                <w:color w:val="auto"/>
              </w:rPr>
            </w:pPr>
            <w:r>
              <w:rPr>
                <w:rFonts w:ascii="Arial" w:cs="Arial" w:eastAsia="Arial" w:hAnsi="Arial"/>
                <w:sz w:val="18"/>
                <w:szCs w:val="18"/>
                <w:color w:val="auto"/>
                <w:w w:val="83"/>
              </w:rPr>
              <w:t>by</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Scott D. Hoffman</w:t>
            </w:r>
          </w:p>
        </w:tc>
      </w:tr>
      <w:tr>
        <w:trPr>
          <w:trHeight w:val="202"/>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Scott D. Hoffman</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Managing Director and General Counsel</w:t>
            </w:r>
          </w:p>
        </w:tc>
      </w:tr>
      <w:tr>
        <w:trPr>
          <w:trHeight w:val="412"/>
        </w:trPr>
        <w:tc>
          <w:tcPr>
            <w:tcW w:w="3560" w:type="dxa"/>
            <w:vAlign w:val="bottom"/>
          </w:tcPr>
          <w:p>
            <w:pPr>
              <w:spacing w:after="0"/>
              <w:rPr>
                <w:sz w:val="20"/>
                <w:szCs w:val="20"/>
                <w:color w:val="auto"/>
              </w:rPr>
            </w:pPr>
            <w:r>
              <w:rPr>
                <w:rFonts w:ascii="Arial" w:cs="Arial" w:eastAsia="Arial" w:hAnsi="Arial"/>
                <w:sz w:val="18"/>
                <w:szCs w:val="18"/>
                <w:color w:val="auto"/>
              </w:rPr>
              <w:t>October 24, 2012</w:t>
            </w: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w w:val="93"/>
              </w:rPr>
              <w:t>LAZARD GROUP LLC (on its behalf, and on behalf of its subsidiaries and</w:t>
            </w:r>
          </w:p>
        </w:tc>
      </w:tr>
      <w:tr>
        <w:trPr>
          <w:trHeight w:val="222"/>
        </w:trPr>
        <w:tc>
          <w:tcPr>
            <w:tcW w:w="3560" w:type="dxa"/>
            <w:vAlign w:val="bottom"/>
          </w:tcPr>
          <w:p>
            <w:pPr>
              <w:spacing w:after="0"/>
              <w:rPr>
                <w:sz w:val="19"/>
                <w:szCs w:val="19"/>
                <w:color w:val="auto"/>
              </w:rPr>
            </w:pPr>
          </w:p>
        </w:tc>
        <w:tc>
          <w:tcPr>
            <w:tcW w:w="7860" w:type="dxa"/>
            <w:vAlign w:val="bottom"/>
            <w:gridSpan w:val="2"/>
          </w:tcPr>
          <w:p>
            <w:pPr>
              <w:ind w:left="2340"/>
              <w:spacing w:after="0"/>
              <w:rPr>
                <w:sz w:val="20"/>
                <w:szCs w:val="20"/>
                <w:color w:val="auto"/>
              </w:rPr>
            </w:pPr>
            <w:r>
              <w:rPr>
                <w:rFonts w:ascii="Arial" w:cs="Arial" w:eastAsia="Arial" w:hAnsi="Arial"/>
                <w:sz w:val="18"/>
                <w:szCs w:val="18"/>
                <w:color w:val="auto"/>
              </w:rPr>
              <w:t>affiliates),</w:t>
            </w:r>
          </w:p>
        </w:tc>
      </w:tr>
      <w:tr>
        <w:trPr>
          <w:trHeight w:val="433"/>
        </w:trPr>
        <w:tc>
          <w:tcPr>
            <w:tcW w:w="3560" w:type="dxa"/>
            <w:vAlign w:val="bottom"/>
          </w:tcPr>
          <w:p>
            <w:pPr>
              <w:spacing w:after="0"/>
              <w:rPr>
                <w:sz w:val="24"/>
                <w:szCs w:val="24"/>
                <w:color w:val="auto"/>
              </w:rPr>
            </w:pPr>
          </w:p>
        </w:tc>
        <w:tc>
          <w:tcPr>
            <w:tcW w:w="2520" w:type="dxa"/>
            <w:vAlign w:val="bottom"/>
          </w:tcPr>
          <w:p>
            <w:pPr>
              <w:ind w:left="2340"/>
              <w:spacing w:after="0"/>
              <w:rPr>
                <w:sz w:val="20"/>
                <w:szCs w:val="20"/>
                <w:color w:val="auto"/>
              </w:rPr>
            </w:pPr>
            <w:r>
              <w:rPr>
                <w:rFonts w:ascii="Arial" w:cs="Arial" w:eastAsia="Arial" w:hAnsi="Arial"/>
                <w:sz w:val="18"/>
                <w:szCs w:val="18"/>
                <w:color w:val="auto"/>
                <w:w w:val="83"/>
              </w:rPr>
              <w:t>by</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Scott D. Hoffman</w:t>
            </w:r>
          </w:p>
        </w:tc>
      </w:tr>
      <w:tr>
        <w:trPr>
          <w:trHeight w:val="202"/>
        </w:trPr>
        <w:tc>
          <w:tcPr>
            <w:tcW w:w="35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Scott D. Hoffman</w:t>
            </w:r>
          </w:p>
        </w:tc>
      </w:tr>
      <w:tr>
        <w:trPr>
          <w:trHeight w:val="222"/>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5"/>
          <w:szCs w:val="15"/>
          <w:color w:val="auto"/>
        </w:rPr>
        <w:t>Mr. Kenneth M. Jacobs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firstLine="464"/>
        <w:spacing w:after="0" w:line="284" w:lineRule="auto"/>
        <w:tabs>
          <w:tab w:leader="none" w:pos="63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$900,000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Any such annual bonus awarded to the Executive shall be paid as follows: (A) subject to significant changes in applicable legal requirements or prevailing market compensation practices following the Second Amendment Effective Date, the first $2.1 million of any annual bonus award (or, in the event the Base Salary is increased, the amount equal to $3 million less the amount of the Base Salary paid to the Executive for the applicable fiscal year of Lazard for which the annual bonus was awarded) shall be paid in cash at the time cash bonuses are normally paid by Lazard for such fiscal year (and in all events no earlier than January 1st, and no later than March 15th, of the year following the applicable fiscal year for which the bonus is awarded), and (B) any remaining portion of any such annual bonus that is not paid in cash shall be paid in the form and on the terms and conditions as determined by the Compensation Committee of the Board of Directors of PubliCo (the “Compensation Committee”) in consultation with the Executive. For purposes hereof, the term Base Salary shall refer to Base Salary as in effect from time to time, including any increases thereto. Notwithstanding anything to the contrary contained in Section 3(c)(iv) of this Agreement, subject to the Executive’s continued employment,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 In addition, during the Schedule Term, subject to the Executive’s continued employment, the Executive, shall continue to be entitled to receive fringe benefits and perquisites on the same basis as applied to the Executive immediately prior to the Second Amendment Effective Date subject to the terms of the policies adopted by the Compensation Committee as in effect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37" w:name="page138"/>
    <w:bookmarkEnd w:id="137"/>
    <w:p>
      <w:pPr>
        <w:ind w:firstLine="464"/>
        <w:spacing w:after="0" w:line="284" w:lineRule="auto"/>
        <w:tabs>
          <w:tab w:leader="none" w:pos="63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upon a Qualifying Termination, for a period of months equal to the product of (A) 12 and (B) the Severance Multiple (the “</w:t>
      </w:r>
      <w:r>
        <w:rPr>
          <w:rFonts w:ascii="Arial" w:cs="Arial" w:eastAsia="Arial" w:hAnsi="Arial"/>
          <w:sz w:val="16"/>
          <w:szCs w:val="16"/>
          <w:u w:val="single" w:color="auto"/>
          <w:color w:val="auto"/>
        </w:rPr>
        <w:t>Benefit Continuation Period</w:t>
      </w:r>
      <w:r>
        <w:rPr>
          <w:rFonts w:ascii="Arial" w:cs="Arial" w:eastAsia="Arial" w:hAnsi="Arial"/>
          <w:sz w:val="16"/>
          <w:szCs w:val="16"/>
          <w:color w:val="auto"/>
        </w:rPr>
        <w:t xml:space="preserve">”), the Executive and his eligible dependents shall continue to be eligible to participate in the medical and dental benefit plans of Lazard on the same basis as the Executive participated in such plans immediately prior to the Date of Termination. Following the Benefit Continuation Period in the case of a Qualifying Termination, or the Date of Termination in the case of any other termination during the Term other than a termination for Cause, for the remainder of the Executive’s life and that of his current spouse, the Executive, his spouse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Executive (or the Executive’s current spouse or estate, as applicable) shall be solely responsible for the full cost of all premiums related to the coverage provided in this sentence.</w:t>
      </w:r>
    </w:p>
    <w:p>
      <w:pPr>
        <w:spacing w:after="0" w:line="12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right="440"/>
        <w:spacing w:after="0" w:line="254" w:lineRule="auto"/>
        <w:rPr>
          <w:sz w:val="20"/>
          <w:szCs w:val="20"/>
          <w:color w:val="auto"/>
        </w:rPr>
      </w:pPr>
      <w:r>
        <w:rPr>
          <w:rFonts w:ascii="Arial" w:cs="Arial" w:eastAsia="Arial" w:hAnsi="Arial"/>
          <w:sz w:val="18"/>
          <w:szCs w:val="18"/>
          <w:color w:val="auto"/>
        </w:rPr>
        <w:t>Section 162(m) of the Internal Revenue Code of 1986, as amended and the regulations promulgated thereunder (the “</w:t>
      </w:r>
      <w:r>
        <w:rPr>
          <w:rFonts w:ascii="Arial" w:cs="Arial" w:eastAsia="Arial" w:hAnsi="Arial"/>
          <w:sz w:val="18"/>
          <w:szCs w:val="18"/>
          <w:u w:val="single" w:color="auto"/>
          <w:color w:val="auto"/>
        </w:rPr>
        <w:t>Code</w:t>
      </w:r>
      <w:r>
        <w:rPr>
          <w:rFonts w:ascii="Arial" w:cs="Arial" w:eastAsia="Arial" w:hAnsi="Arial"/>
          <w:sz w:val="18"/>
          <w:szCs w:val="18"/>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 Executive’s pro-rata annual bonus shall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38" w:name="page139"/>
    <w:bookmarkEnd w:id="138"/>
    <w:p>
      <w:pPr>
        <w:ind w:left="460"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Fraction</w:t>
      </w:r>
      <w:r>
        <w:rPr>
          <w:rFonts w:ascii="Arial" w:cs="Arial" w:eastAsia="Arial" w:hAnsi="Arial"/>
          <w:sz w:val="16"/>
          <w:szCs w:val="16"/>
          <w:color w:val="auto"/>
        </w:rPr>
        <w:t>”); or</w:t>
      </w:r>
    </w:p>
    <w:p>
      <w:pPr>
        <w:spacing w:after="0" w:line="37" w:lineRule="exact"/>
        <w:rPr>
          <w:sz w:val="20"/>
          <w:szCs w:val="20"/>
          <w:color w:val="auto"/>
        </w:rPr>
      </w:pPr>
    </w:p>
    <w:p>
      <w:pPr>
        <w:ind w:left="460" w:right="60" w:firstLine="443"/>
        <w:spacing w:after="0" w:line="294" w:lineRule="auto"/>
        <w:tabs>
          <w:tab w:leader="none" w:pos="115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 pro-rata annual bonus shall equal the product of (x) the Average Bonus and (y) the Pro-Ration Fraction.</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w:t>
      </w:r>
      <w:r>
        <w:rPr>
          <w:rFonts w:ascii="Arial" w:cs="Arial" w:eastAsia="Arial" w:hAnsi="Arial"/>
          <w:sz w:val="18"/>
          <w:szCs w:val="18"/>
          <w:u w:val="single" w:color="auto"/>
          <w:color w:val="auto"/>
        </w:rPr>
        <w:t>Awards</w:t>
      </w:r>
      <w:r>
        <w:rPr>
          <w:rFonts w:ascii="Arial" w:cs="Arial" w:eastAsia="Arial" w:hAnsi="Arial"/>
          <w:sz w:val="18"/>
          <w:szCs w:val="18"/>
          <w:color w:val="auto"/>
        </w:rPr>
        <w:t>”),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9" w:name="page140"/>
    <w:bookmarkEnd w:id="139"/>
    <w:p>
      <w:pPr>
        <w:ind w:right="3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w:t>
      </w:r>
    </w:p>
    <w:p>
      <w:pPr>
        <w:spacing w:after="0" w:line="5" w:lineRule="exact"/>
        <w:rPr>
          <w:sz w:val="20"/>
          <w:szCs w:val="20"/>
          <w:color w:val="auto"/>
        </w:rPr>
      </w:pPr>
    </w:p>
    <w:p>
      <w:pPr>
        <w:ind w:left="5680" w:right="4540" w:hanging="5672"/>
        <w:spacing w:after="0" w:line="517" w:lineRule="auto"/>
        <w:tabs>
          <w:tab w:leader="none" w:pos="26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5</w:t>
      </w:r>
    </w:p>
    <w:p>
      <w:pPr>
        <w:sectPr>
          <w:pgSz w:w="11900" w:h="16838" w:orient="portrait"/>
          <w:cols w:equalWidth="0" w:num="1">
            <w:col w:w="11420"/>
          </w:cols>
          <w:pgMar w:left="240" w:top="280" w:right="239" w:bottom="1440" w:gutter="0" w:footer="0" w:header="0"/>
        </w:sectPr>
      </w:pPr>
    </w:p>
    <w:bookmarkStart w:id="140" w:name="page141"/>
    <w:bookmarkEnd w:id="140"/>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definition of “Cause” set forth in Section 2(g)(iv) of this Agreement,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the Board of Directors of PubliCo, in each case following written notice to the Executive of such failure and, if such failure is curable, the Executive’s failing to cure such failure within a reasonable time (but in no event less than thirty (30) days after actual receipt by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instructions of the Board of Directors of PubliCo or upon the direct advice of counsel to the Firm.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33"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or any other action by the Firm which results in a material diminution in such positions (including status, offices, titles and reporting requirements), authority, duties or responsibilities from those contemplated by Section 3(b) of this Agreement, (ii) a material breach by the Firm of the terms of this Agreement, including, without limitation, any material failure by the Firm to comply with paragraph 2 of this Schedule I or the nondisparagement covenant in Section 8 of this Agreement,</w:t>
      </w:r>
    </w:p>
    <w:p>
      <w:pPr>
        <w:spacing w:after="0" w:line="2" w:lineRule="exact"/>
        <w:rPr>
          <w:sz w:val="20"/>
          <w:szCs w:val="20"/>
          <w:color w:val="auto"/>
        </w:rPr>
      </w:pPr>
    </w:p>
    <w:p>
      <w:pPr>
        <w:ind w:right="180" w:firstLine="8"/>
        <w:spacing w:after="0" w:line="252" w:lineRule="auto"/>
        <w:tabs>
          <w:tab w:leader="none" w:pos="3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without the Executive’s written consent, any requirement that the Executive’s principal place of employment be relocated to a location that increases the Executive’s commute from his primary residence by more than thirty (30) miles or (iv) failure of the Firm to continue, following the expiration of the Schedule Term, the Executive’s employment as Chief Executive Officer of PubliCo and Lazard and Chairman of the Board of Directors of PubliCo pursuant to an agreement (which, for the avoidance of doubt, may be in a form similar to this Schedule I) having terms and conditions that are reasonable and customary at the time of such expiration, except that, in the event the Executive rejects an offer of continued employment consistent with the foregoing, Good Reason shall not exist pursuant to this clause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41" w:name="page142"/>
    <w:bookmarkEnd w:id="14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In the event of a termination for Good Reason (other than pursuant to clause (iv) of the definition of Good Reason), the notice requirements of Section 1 of this Agreement shall not apply. For the avoidance of doubt, in the event of a termination for Good Reason pursuant to clause (iv) of the definition of Good Reason, the notice requirements of Section 1 of this Agreement shall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ind w:right="20" w:firstLine="464"/>
        <w:spacing w:after="0" w:line="304" w:lineRule="auto"/>
        <w:tabs>
          <w:tab w:leader="none" w:pos="632"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Certain Limitations on Payments</w:t>
      </w:r>
      <w:r>
        <w:rPr>
          <w:rFonts w:ascii="Arial" w:cs="Arial" w:eastAsia="Arial" w:hAnsi="Arial"/>
          <w:sz w:val="15"/>
          <w:szCs w:val="15"/>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5"/>
          <w:szCs w:val="15"/>
          <w:u w:val="single" w:color="auto"/>
          <w:color w:val="auto"/>
        </w:rPr>
        <w:t>Accountant</w:t>
      </w:r>
      <w:r>
        <w:rPr>
          <w:rFonts w:ascii="Arial" w:cs="Arial" w:eastAsia="Arial" w:hAnsi="Arial"/>
          <w:sz w:val="15"/>
          <w:szCs w:val="15"/>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5"/>
          <w:szCs w:val="15"/>
          <w:u w:val="single" w:color="auto"/>
          <w:color w:val="auto"/>
        </w:rPr>
        <w:t>Parachute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Payments</w:t>
      </w:r>
      <w:r>
        <w:rPr>
          <w:rFonts w:ascii="Arial" w:cs="Arial" w:eastAsia="Arial" w:hAnsi="Arial"/>
          <w:sz w:val="15"/>
          <w:szCs w:val="15"/>
          <w:color w:val="auto"/>
        </w:rPr>
        <w:t>”) that, but for this paragraph 5 of this Schedule I,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5"/>
          <w:szCs w:val="15"/>
          <w:u w:val="single" w:color="auto"/>
          <w:color w:val="auto"/>
        </w:rPr>
        <w:t>Excise Tax</w:t>
      </w:r>
      <w:r>
        <w:rPr>
          <w:rFonts w:ascii="Arial" w:cs="Arial" w:eastAsia="Arial" w:hAnsi="Arial"/>
          <w:sz w:val="15"/>
          <w:szCs w:val="15"/>
          <w:color w:val="auto"/>
        </w:rPr>
        <w:t>”), then the aggregate amount of Parachute Payments payable to the Executive shall equal the amount that produces the greatest after-tax benefit to the Executive after taking into account first any positions to mitigate such Excise Tax (including, without limitation,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5"/>
          <w:szCs w:val="15"/>
          <w:u w:val="single" w:color="auto"/>
          <w:color w:val="auto"/>
        </w:rPr>
        <w:t>Agreement Payments</w:t>
      </w:r>
      <w:r>
        <w:rPr>
          <w:rFonts w:ascii="Arial" w:cs="Arial" w:eastAsia="Arial" w:hAnsi="Arial"/>
          <w:sz w:val="15"/>
          <w:szCs w:val="15"/>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42" w:name="page143"/>
    <w:bookmarkEnd w:id="142"/>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23" w:lineRule="exact"/>
        <w:rPr>
          <w:sz w:val="20"/>
          <w:szCs w:val="20"/>
          <w:color w:val="auto"/>
        </w:rPr>
      </w:pPr>
    </w:p>
    <w:p>
      <w:pPr>
        <w:ind w:right="20" w:firstLine="464"/>
        <w:spacing w:after="0" w:line="283" w:lineRule="auto"/>
        <w:tabs>
          <w:tab w:leader="none" w:pos="632"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w:t>
      </w:r>
    </w:p>
    <w:p>
      <w:pPr>
        <w:ind w:right="120"/>
        <w:spacing w:after="0" w:line="285" w:lineRule="auto"/>
        <w:rPr>
          <w:rFonts w:ascii="Arial" w:cs="Arial" w:eastAsia="Arial" w:hAnsi="Arial"/>
          <w:sz w:val="16"/>
          <w:szCs w:val="16"/>
          <w:color w:val="auto"/>
        </w:rPr>
      </w:pPr>
      <w:r>
        <w:rPr>
          <w:rFonts w:ascii="Arial" w:cs="Arial" w:eastAsia="Arial" w:hAnsi="Arial"/>
          <w:sz w:val="16"/>
          <w:szCs w:val="16"/>
          <w:color w:val="auto"/>
        </w:rPr>
        <w:t>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43" w:name="page144"/>
    <w:bookmarkEnd w:id="14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pacing w:after="0" w:line="127" w:lineRule="exact"/>
        <w:rPr>
          <w:sz w:val="20"/>
          <w:szCs w:val="20"/>
          <w:color w:val="auto"/>
        </w:rPr>
      </w:pPr>
    </w:p>
    <w:p>
      <w:pPr>
        <w:ind w:left="640" w:hanging="176"/>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Section 3(b) of this Agreement is hereby amended to replace the first sentence thereof with the following: During the Schedule Term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Executive shall continue to (i) serve as the Chief Executive Officer of PubliCo and Lazard, with such authority, duties and responsibilities as are consistent with the authority, duties and responsibilities exercised by the Executive in his capacity as Chief Executive Officer on the Second Amendment Effective Date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including, without limitation, the authority, duties and responsibilities that he exercises as the chief executive officer of a public company, (ii) serve as a member and as the Chairman of the Board of Directors of PubliCo, with such authority, duties and responsibilities as are consistent with the authority, duties and responsibilities exercised by the Executive as Chairman of the Board of Directors of PubliCo on the Second Amendment Effective Date, (iii) report directly to the Board of Directors of PubliCo and (iv) other than in respect of charitable, educational and similar activities that do not materially affect the Executive’s duties to the Firm (or in respect of directorships, trusteeships, or similar posts, in each case, that are approved by the Board of Directors of PubliCo) shall devote his entire working time, labor, skill and energies to the business and affairs of the Firm.</w:t>
      </w:r>
    </w:p>
    <w:p>
      <w:pPr>
        <w:spacing w:after="0" w:line="12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u w:val="single" w:color="auto"/>
          <w:color w:val="auto"/>
        </w:rPr>
        <w:t>Section 3(c)(ii)</w:t>
      </w:r>
      <w:r>
        <w:rPr>
          <w:rFonts w:ascii="Arial" w:cs="Arial" w:eastAsia="Arial" w:hAnsi="Arial"/>
          <w:sz w:val="18"/>
          <w:szCs w:val="18"/>
          <w:color w:val="auto"/>
        </w:rPr>
        <w:t>. Section 3(c)(ii) of this Agreement is hereby amended to replace the reference to the “CEO” with a reference to the “Compensation Committee of the Board of Directors of PubliCo” and to delete the parenthetical that follows.</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Noncompetition</w:t>
      </w:r>
      <w:r>
        <w:rPr>
          <w:rFonts w:ascii="Arial" w:cs="Arial" w:eastAsia="Arial" w:hAnsi="Arial"/>
          <w:sz w:val="16"/>
          <w:szCs w:val="16"/>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4" w:name="page145"/>
    <w:bookmarkEnd w:id="14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xml:space="preserve">”),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in the event of a termination by the Executive for Good Reason pursuant to clause (iv) of the definition of Good Reason, the provisions of clause (i) of this sentence shall apply rather than the provisions of clause (ii) of this sentence.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3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w:t>
      </w:r>
      <w:r>
        <w:rPr>
          <w:rFonts w:ascii="Arial" w:cs="Arial" w:eastAsia="Arial" w:hAnsi="Arial"/>
          <w:sz w:val="18"/>
          <w:szCs w:val="18"/>
          <w:u w:val="single" w:color="auto"/>
          <w:color w:val="auto"/>
        </w:rPr>
        <w:t>Client</w:t>
      </w:r>
      <w:r>
        <w:rPr>
          <w:rFonts w:ascii="Arial" w:cs="Arial" w:eastAsia="Arial" w:hAnsi="Arial"/>
          <w:sz w:val="18"/>
          <w:szCs w:val="18"/>
          <w:color w:val="auto"/>
        </w:rPr>
        <w:t xml:space="preserve">” means any client or prospective client of the Firm, whether or not the Firm has been engaged by such Client pursuant to a written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5" w:name="page146"/>
    <w:bookmarkEnd w:id="145"/>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07" w:lineRule="exact"/>
        <w:rPr>
          <w:sz w:val="20"/>
          <w:szCs w:val="20"/>
          <w:color w:val="auto"/>
        </w:rPr>
      </w:pPr>
    </w:p>
    <w:p>
      <w:pPr>
        <w:ind w:right="20" w:firstLine="464"/>
        <w:spacing w:after="0" w:line="287" w:lineRule="auto"/>
        <w:tabs>
          <w:tab w:leader="none" w:pos="63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determined as of the date such legal fees and expenses were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are hereby added to the list of sections in Section 16(b) of this Agreement.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u w:val="single" w:color="auto"/>
          <w:color w:val="auto"/>
        </w:rPr>
        <w:t>Section 16(d).</w:t>
      </w:r>
      <w:r>
        <w:rPr>
          <w:rFonts w:ascii="Arial" w:cs="Arial" w:eastAsia="Arial" w:hAnsi="Arial"/>
          <w:sz w:val="18"/>
          <w:szCs w:val="18"/>
          <w:color w:val="auto"/>
        </w:rPr>
        <w:t xml:space="preserve"> Section 16(d) of this Agreement is hereby amended to replace all references to the “CEO” with references to the “Board of Directors of PubliCo”.</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16(i)</w:t>
      </w:r>
      <w:r>
        <w:rPr>
          <w:rFonts w:ascii="Arial" w:cs="Arial" w:eastAsia="Arial" w:hAnsi="Arial"/>
          <w:sz w:val="18"/>
          <w:szCs w:val="18"/>
          <w:color w:val="auto"/>
        </w:rPr>
        <w:t>. Section 16 of this Agreement is hereby amended to add the following new subsection:</w:t>
      </w:r>
    </w:p>
    <w:p>
      <w:pPr>
        <w:spacing w:after="0" w:line="90" w:lineRule="exact"/>
        <w:rPr>
          <w:sz w:val="20"/>
          <w:szCs w:val="20"/>
          <w:color w:val="auto"/>
        </w:rPr>
      </w:pPr>
    </w:p>
    <w:p>
      <w:pPr>
        <w:ind w:left="460" w:firstLine="443"/>
        <w:spacing w:after="0" w:line="294" w:lineRule="auto"/>
        <w:tabs>
          <w:tab w:leader="none" w:pos="110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the cost applicable to the Executive immediately prior to the Change in Control, if more favorable to the Executive.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6" w:name="page147"/>
    <w:bookmarkEnd w:id="146"/>
    <w:p>
      <w:pPr>
        <w:ind w:left="-100" w:firstLine="464"/>
        <w:spacing w:after="0" w:line="306" w:lineRule="auto"/>
        <w:tabs>
          <w:tab w:leader="none" w:pos="53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40" w:top="280"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KMJ</w:t>
      </w:r>
      <w:r>
        <w:rPr>
          <w:rFonts w:ascii="Arial" w:cs="Arial" w:eastAsia="Arial" w:hAnsi="Arial"/>
          <w:sz w:val="18"/>
          <w:szCs w:val="18"/>
          <w:color w:val="auto"/>
        </w:rPr>
        <w:t xml:space="preserve"> Initialed by the Executive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SDH</w:t>
      </w:r>
      <w:r>
        <w:rPr>
          <w:rFonts w:ascii="Arial" w:cs="Arial" w:eastAsia="Arial" w:hAnsi="Arial"/>
          <w:sz w:val="18"/>
          <w:szCs w:val="18"/>
          <w:color w:val="auto"/>
        </w:rPr>
        <w:t xml:space="preserve"> Initialed by Lazard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SDH</w:t>
      </w:r>
      <w:r>
        <w:rPr>
          <w:rFonts w:ascii="Arial" w:cs="Arial" w:eastAsia="Arial" w:hAnsi="Arial"/>
          <w:sz w:val="18"/>
          <w:szCs w:val="18"/>
          <w:color w:val="auto"/>
        </w:rPr>
        <w:t xml:space="preserve"> Initialed by PubliCo</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280" w:right="1440" w:bottom="1440" w:gutter="0" w:footer="0" w:header="0"/>
        </w:sectPr>
      </w:pPr>
    </w:p>
    <w:bookmarkStart w:id="148" w:name="page149"/>
    <w:bookmarkEnd w:id="148"/>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Nine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
              <w:spacing w:after="0" w:line="114" w:lineRule="exact"/>
              <w:rPr>
                <w:sz w:val="20"/>
                <w:szCs w:val="20"/>
                <w:color w:val="auto"/>
              </w:rPr>
            </w:pPr>
            <w:r>
              <w:rPr>
                <w:rFonts w:ascii="Arial" w:cs="Arial" w:eastAsia="Arial" w:hAnsi="Arial"/>
                <w:sz w:val="12"/>
                <w:szCs w:val="12"/>
                <w:b w:val="1"/>
                <w:bCs w:val="1"/>
                <w:color w:val="auto"/>
              </w:rPr>
              <w:t>Ended</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5"/>
              </w:rPr>
              <w:t>September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1"/>
              <w:spacing w:after="0" w:line="149" w:lineRule="exact"/>
              <w:rPr>
                <w:sz w:val="20"/>
                <w:szCs w:val="20"/>
                <w:color w:val="auto"/>
              </w:rPr>
            </w:pPr>
            <w:r>
              <w:rPr>
                <w:rFonts w:ascii="Arial" w:cs="Arial" w:eastAsia="Arial" w:hAnsi="Arial"/>
                <w:sz w:val="14"/>
                <w:szCs w:val="14"/>
                <w:b w:val="1"/>
                <w:bCs w:val="1"/>
                <w:color w:val="auto"/>
              </w:rPr>
              <w:t>30,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125,532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(181,988)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$436,064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Add – 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121,656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132,785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161,665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154,790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211,632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(49,203)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203,694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590,854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$102,249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113,280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141,413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19,505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20,252</w:t>
            </w:r>
          </w:p>
        </w:tc>
        <w:tc>
          <w:tcPr>
            <w:tcW w:w="66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114,998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121,656</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132,785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161,665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154,790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7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3.03(d)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1.26(f)</w:t>
            </w: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Deficiency in the coverage of operating income (loss) before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181,988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Excluding the impact of such items, the ratio of earnings to fixed charges would have been 3.95.</w:t>
      </w:r>
    </w:p>
    <w:p>
      <w:pPr>
        <w:spacing w:after="0" w:line="59"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 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November 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November 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1."/>
      <w:numFmt w:val="decimal"/>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1."/>
      <w:numFmt w:val="decimal"/>
      <w:start w:val="2"/>
    </w:lvl>
  </w:abstractNum>
  <w:abstractNum w:abstractNumId="7">
    <w:nsid w:val="42C296BD"/>
    <w:multiLevelType w:val="hybridMultilevel"/>
    <w:lvl w:ilvl="0">
      <w:lvlJc w:val="left"/>
      <w:lvlText w:val="%1."/>
      <w:numFmt w:val="decimal"/>
      <w:start w:val="3"/>
    </w:lvl>
  </w:abstractNum>
  <w:abstractNum w:abstractNumId="8">
    <w:nsid w:val="168E121F"/>
    <w:multiLevelType w:val="hybridMultilevel"/>
    <w:lvl w:ilvl="0">
      <w:lvlJc w:val="left"/>
      <w:lvlText w:val="%1."/>
      <w:numFmt w:val="decimal"/>
      <w:start w:val="4"/>
    </w:lvl>
  </w:abstractNum>
  <w:abstractNum w:abstractNumId="9">
    <w:nsid w:val="1EBA5D23"/>
    <w:multiLevelType w:val="hybridMultilevel"/>
    <w:lvl w:ilvl="0">
      <w:lvlJc w:val="left"/>
      <w:lvlText w:val="(%1)"/>
      <w:numFmt w:val="lowerLetter"/>
      <w:start w:val="1"/>
    </w:lvl>
  </w:abstractNum>
  <w:abstractNum w:abstractNumId="10">
    <w:nsid w:val="661E3F1E"/>
    <w:multiLevelType w:val="hybridMultilevel"/>
    <w:lvl w:ilvl="0">
      <w:lvlJc w:val="left"/>
      <w:lvlText w:val="(%1)"/>
      <w:numFmt w:val="lowerRoman"/>
      <w:start w:val="3"/>
    </w:lvl>
  </w:abstractNum>
  <w:abstractNum w:abstractNumId="11">
    <w:nsid w:val="5DC79EA8"/>
    <w:multiLevelType w:val="hybridMultilevel"/>
    <w:lvl w:ilvl="0">
      <w:lvlJc w:val="left"/>
      <w:lvlText w:val="%1."/>
      <w:numFmt w:val="decimal"/>
      <w:start w:val="5"/>
    </w:lvl>
  </w:abstractNum>
  <w:abstractNum w:abstractNumId="12">
    <w:nsid w:val="540A471C"/>
    <w:multiLevelType w:val="hybridMultilevel"/>
    <w:lvl w:ilvl="0">
      <w:lvlJc w:val="left"/>
      <w:lvlText w:val="(%1)"/>
      <w:numFmt w:val="lowerLetter"/>
      <w:start w:val="1"/>
    </w:lvl>
  </w:abstractNum>
  <w:abstractNum w:abstractNumId="13">
    <w:nsid w:val="7BD3EE7B"/>
    <w:multiLevelType w:val="hybridMultilevel"/>
    <w:lvl w:ilvl="0">
      <w:lvlJc w:val="left"/>
      <w:lvlText w:val="%1."/>
      <w:numFmt w:val="decimal"/>
      <w:start w:val="6"/>
    </w:lvl>
  </w:abstractNum>
  <w:abstractNum w:abstractNumId="14">
    <w:nsid w:val="51D9C564"/>
    <w:multiLevelType w:val="hybridMultilevel"/>
    <w:lvl w:ilvl="0">
      <w:lvlJc w:val="left"/>
      <w:lvlText w:val="%1."/>
      <w:numFmt w:val="decimal"/>
      <w:start w:val="7"/>
    </w:lvl>
  </w:abstractNum>
  <w:abstractNum w:abstractNumId="15">
    <w:nsid w:val="613EFDC5"/>
    <w:multiLevelType w:val="hybridMultilevel"/>
    <w:lvl w:ilvl="0">
      <w:lvlJc w:val="left"/>
      <w:lvlText w:val="%1."/>
      <w:numFmt w:val="decimal"/>
      <w:start w:val="8"/>
    </w:lvl>
  </w:abstractNum>
  <w:abstractNum w:abstractNumId="16">
    <w:nsid w:val="BF72B14"/>
    <w:multiLevelType w:val="hybridMultilevel"/>
    <w:lvl w:ilvl="0">
      <w:lvlJc w:val="left"/>
      <w:lvlText w:val="%1."/>
      <w:numFmt w:val="decimal"/>
      <w:start w:val="9"/>
    </w:lvl>
  </w:abstractNum>
  <w:abstractNum w:abstractNumId="17">
    <w:nsid w:val="11447B73"/>
    <w:multiLevelType w:val="hybridMultilevel"/>
    <w:lvl w:ilvl="0">
      <w:lvlJc w:val="left"/>
      <w:lvlText w:val="(%1)"/>
      <w:numFmt w:val="lowerLetter"/>
      <w:start w:val="1"/>
    </w:lvl>
  </w:abstractNum>
  <w:abstractNum w:abstractNumId="18">
    <w:nsid w:val="42963E5A"/>
    <w:multiLevelType w:val="hybridMultilevel"/>
    <w:lvl w:ilvl="0">
      <w:lvlJc w:val="left"/>
      <w:lvlText w:val="%1."/>
      <w:numFmt w:val="decimal"/>
      <w:start w:val="10"/>
    </w:lvl>
  </w:abstractNum>
  <w:abstractNum w:abstractNumId="19">
    <w:nsid w:val="A0382C5"/>
    <w:multiLevelType w:val="hybridMultilevel"/>
    <w:lvl w:ilvl="0">
      <w:lvlJc w:val="left"/>
      <w:lvlText w:val="%1."/>
      <w:numFmt w:val="decimal"/>
      <w:start w:val="11"/>
    </w:lvl>
  </w:abstractNum>
  <w:abstractNum w:abstractNumId="20">
    <w:nsid w:val="8F2B15E"/>
    <w:multiLevelType w:val="hybridMultilevel"/>
    <w:lvl w:ilvl="0">
      <w:lvlJc w:val="left"/>
      <w:lvlText w:val="%1."/>
      <w:numFmt w:val="decimal"/>
      <w:start w:val="12"/>
    </w:lvl>
  </w:abstractNum>
  <w:abstractNum w:abstractNumId="21">
    <w:nsid w:val="1A32234B"/>
    <w:multiLevelType w:val="hybridMultilevel"/>
    <w:lvl w:ilvl="0">
      <w:lvlJc w:val="left"/>
      <w:lvlText w:val="%1."/>
      <w:numFmt w:val="decimal"/>
      <w:start w:val="13"/>
    </w:lvl>
  </w:abstractNum>
  <w:abstractNum w:abstractNumId="22">
    <w:nsid w:val="3B0FD379"/>
    <w:multiLevelType w:val="hybridMultilevel"/>
    <w:lvl w:ilvl="0">
      <w:lvlJc w:val="left"/>
      <w:lvlText w:val="%1."/>
      <w:numFmt w:val="decimal"/>
      <w:start w:val="14"/>
    </w:lvl>
  </w:abstractNum>
  <w:abstractNum w:abstractNumId="23">
    <w:nsid w:val="68EB2F63"/>
    <w:multiLevelType w:val="hybridMultilevel"/>
    <w:lvl w:ilvl="0">
      <w:lvlJc w:val="left"/>
      <w:lvlText w:val="%1"/>
      <w:numFmt w:val="decimal"/>
      <w:start w:val="1"/>
    </w:lvl>
    <w:lvl w:ilvl="1">
      <w:lvlJc w:val="left"/>
      <w:lvlText w:val="(%2)"/>
      <w:numFmt w:val="lowerLetter"/>
      <w:start w:val="1"/>
    </w:lvl>
  </w:abstractNum>
  <w:abstractNum w:abstractNumId="24">
    <w:nsid w:val="4962813B"/>
    <w:multiLevelType w:val="hybridMultilevel"/>
    <w:lvl w:ilvl="0">
      <w:lvlJc w:val="left"/>
      <w:lvlText w:val="%1."/>
      <w:numFmt w:val="decimal"/>
      <w:start w:val="15"/>
    </w:lvl>
    <w:lvl w:ilvl="1">
      <w:lvlJc w:val="left"/>
      <w:lvlText w:val="%2"/>
      <w:numFmt w:val="lowerLetter"/>
      <w:start w:val="1"/>
    </w:lvl>
  </w:abstractNum>
  <w:abstractNum w:abstractNumId="25">
    <w:nsid w:val="60B6DF70"/>
    <w:multiLevelType w:val="hybridMultilevel"/>
    <w:lvl w:ilvl="0">
      <w:lvlJc w:val="left"/>
      <w:lvlText w:val="(%1)"/>
      <w:numFmt w:val="lowerRoman"/>
      <w:start w:val="1"/>
    </w:lvl>
  </w:abstractNum>
  <w:abstractNum w:abstractNumId="26">
    <w:nsid w:val="6A5EE64"/>
    <w:multiLevelType w:val="hybridMultilevel"/>
    <w:lvl w:ilvl="0">
      <w:lvlJc w:val="left"/>
      <w:lvlText w:val="%1."/>
      <w:numFmt w:val="decimal"/>
      <w:start w:val="16"/>
    </w:lvl>
  </w:abstractNum>
  <w:abstractNum w:abstractNumId="27">
    <w:nsid w:val="14330624"/>
    <w:multiLevelType w:val="hybridMultilevel"/>
    <w:lvl w:ilvl="0">
      <w:lvlJc w:val="left"/>
      <w:lvlText w:val="%1."/>
      <w:numFmt w:val="decimal"/>
      <w:start w:val="17"/>
    </w:lvl>
  </w:abstractNum>
  <w:abstractNum w:abstractNumId="28">
    <w:nsid w:val="7FFFCA11"/>
    <w:multiLevelType w:val="hybridMultilevel"/>
    <w:lvl w:ilvl="0">
      <w:lvlJc w:val="left"/>
      <w:lvlText w:val="%1."/>
      <w:numFmt w:val="decimal"/>
      <w:start w:val="18"/>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1."/>
      <w:numFmt w:val="decimal"/>
      <w:start w:val="19"/>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1)"/>
      <w:numFmt w:val="lowerRoman"/>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1)"/>
      <w:numFmt w:val="lowerLetter"/>
      <w:start w:val="1"/>
    </w:lvl>
  </w:abstractNum>
  <w:abstractNum w:abstractNumId="39">
    <w:nsid w:val="1716703B"/>
    <w:multiLevelType w:val="hybridMultilevel"/>
    <w:lvl w:ilvl="0">
      <w:lvlJc w:val="left"/>
      <w:lvlText w:val="(%1)"/>
      <w:numFmt w:val="lowerLetter"/>
      <w:start w:val="3"/>
    </w:lvl>
  </w:abstractNum>
  <w:abstractNum w:abstractNumId="40">
    <w:nsid w:val="14E17E33"/>
    <w:multiLevelType w:val="hybridMultilevel"/>
    <w:lvl w:ilvl="0">
      <w:lvlJc w:val="left"/>
      <w:lvlText w:val="(%1)"/>
      <w:numFmt w:val="lowerLetter"/>
      <w:start w:val="1"/>
    </w:lvl>
  </w:abstractNum>
  <w:abstractNum w:abstractNumId="41">
    <w:nsid w:val="3222E7CD"/>
    <w:multiLevelType w:val="hybridMultilevel"/>
    <w:lvl w:ilvl="0">
      <w:lvlJc w:val="left"/>
      <w:lvlText w:val="(%1)"/>
      <w:numFmt w:val="lowerLetter"/>
      <w:start w:val="1"/>
    </w:lvl>
  </w:abstractNum>
  <w:abstractNum w:abstractNumId="42">
    <w:nsid w:val="74DE0EE3"/>
    <w:multiLevelType w:val="hybridMultilevel"/>
    <w:lvl w:ilvl="0">
      <w:lvlJc w:val="left"/>
      <w:lvlText w:val="(%1)"/>
      <w:numFmt w:val="lowerLetter"/>
      <w:start w:val="1"/>
    </w:lvl>
  </w:abstractNum>
  <w:abstractNum w:abstractNumId="43">
    <w:nsid w:val="68EBC550"/>
    <w:multiLevelType w:val="hybridMultilevel"/>
    <w:lvl w:ilvl="0">
      <w:lvlJc w:val="left"/>
      <w:lvlText w:val="(%1)"/>
      <w:numFmt w:val="lowerLetter"/>
      <w:start w:val="1"/>
    </w:lvl>
  </w:abstractNum>
  <w:abstractNum w:abstractNumId="44">
    <w:nsid w:val="2DF6D648"/>
    <w:multiLevelType w:val="hybridMultilevel"/>
    <w:lvl w:ilvl="0">
      <w:lvlJc w:val="left"/>
      <w:lvlText w:val="(%1)"/>
      <w:numFmt w:val="lowerLetter"/>
      <w:start w:val="1"/>
    </w:lvl>
  </w:abstractNum>
  <w:abstractNum w:abstractNumId="45">
    <w:nsid w:val="46B7D447"/>
    <w:multiLevelType w:val="hybridMultilevel"/>
    <w:lvl w:ilvl="0">
      <w:lvlJc w:val="left"/>
      <w:lvlText w:val="(%1)"/>
      <w:numFmt w:val="lowerLetter"/>
      <w:start w:val="2"/>
    </w:lvl>
  </w:abstractNum>
  <w:abstractNum w:abstractNumId="46">
    <w:nsid w:val="4A2AC315"/>
    <w:multiLevelType w:val="hybridMultilevel"/>
    <w:lvl w:ilvl="0">
      <w:lvlJc w:val="left"/>
      <w:lvlText w:val="(%1)"/>
      <w:numFmt w:val="lowerLetter"/>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1)"/>
      <w:numFmt w:val="lowerLetter"/>
      <w:start w:val="1"/>
    </w:lvl>
  </w:abstractNum>
  <w:abstractNum w:abstractNumId="49">
    <w:nsid w:val="CC1016F"/>
    <w:multiLevelType w:val="hybridMultilevel"/>
    <w:lvl w:ilvl="0">
      <w:lvlJc w:val="left"/>
      <w:lvlText w:val="(%1)"/>
      <w:numFmt w:val="lowerLetter"/>
      <w:start w:val="4"/>
    </w:lvl>
  </w:abstractNum>
  <w:abstractNum w:abstractNumId="50">
    <w:nsid w:val="43F18422"/>
    <w:multiLevelType w:val="hybridMultilevel"/>
    <w:lvl w:ilvl="0">
      <w:lvlJc w:val="left"/>
      <w:lvlText w:val="(%1)"/>
      <w:numFmt w:val="lowerLetter"/>
      <w:start w:val="5"/>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1)"/>
      <w:numFmt w:val="lowerLetter"/>
      <w:start w:val="2"/>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decimal"/>
      <w:start w:val="3"/>
    </w:lvl>
  </w:abstractNum>
  <w:abstractNum w:abstractNumId="55">
    <w:nsid w:val="7055A5F5"/>
    <w:multiLevelType w:val="hybridMultilevel"/>
    <w:lvl w:ilvl="0">
      <w:lvlJc w:val="left"/>
      <w:lvlText w:val="(%1)"/>
      <w:numFmt w:val="decimal"/>
      <w:start w:val="2"/>
    </w:lvl>
  </w:abstractNum>
  <w:abstractNum w:abstractNumId="56">
    <w:nsid w:val="5FB8370B"/>
    <w:multiLevelType w:val="hybridMultilevel"/>
    <w:lvl w:ilvl="0">
      <w:lvlJc w:val="left"/>
      <w:lvlText w:val="(%1)"/>
      <w:numFmt w:val="lowerRoman"/>
      <w:start w:val="1"/>
    </w:lvl>
  </w:abstractNum>
  <w:abstractNum w:abstractNumId="57">
    <w:nsid w:val="50801EE1"/>
    <w:multiLevelType w:val="hybridMultilevel"/>
    <w:lvl w:ilvl="0">
      <w:lvlJc w:val="left"/>
      <w:lvlText w:val="(%1)"/>
      <w:numFmt w:val="decimal"/>
      <w:start w:val="1"/>
    </w:lvl>
  </w:abstractNum>
  <w:abstractNum w:abstractNumId="58">
    <w:nsid w:val="488AC1A"/>
    <w:multiLevelType w:val="hybridMultilevel"/>
    <w:lvl w:ilvl="0">
      <w:lvlJc w:val="left"/>
      <w:lvlText w:val="(%1)"/>
      <w:numFmt w:val="lowerRoman"/>
      <w:start w:val="1"/>
    </w:lvl>
  </w:abstractNum>
  <w:abstractNum w:abstractNumId="59">
    <w:nsid w:val="5FB8011C"/>
    <w:multiLevelType w:val="hybridMultilevel"/>
    <w:lvl w:ilvl="0">
      <w:lvlJc w:val="left"/>
      <w:lvlText w:val="(%1)"/>
      <w:numFmt w:val="lowerLetter"/>
      <w:start w:val="1"/>
    </w:lvl>
  </w:abstractNum>
  <w:abstractNum w:abstractNumId="60">
    <w:nsid w:val="6AA78F7F"/>
    <w:multiLevelType w:val="hybridMultilevel"/>
    <w:lvl w:ilvl="0">
      <w:lvlJc w:val="left"/>
      <w:lvlText w:val="(%1)"/>
      <w:numFmt w:val="lowerLetter"/>
      <w:start w:val="1"/>
    </w:lvl>
  </w:abstractNum>
  <w:abstractNum w:abstractNumId="61">
    <w:nsid w:val="7672BD23"/>
    <w:multiLevelType w:val="hybridMultilevel"/>
    <w:lvl w:ilvl="0">
      <w:lvlJc w:val="left"/>
      <w:lvlText w:val="(%1)"/>
      <w:numFmt w:val="lowerLetter"/>
      <w:start w:val="2"/>
    </w:lvl>
  </w:abstractNum>
  <w:abstractNum w:abstractNumId="62">
    <w:nsid w:val="6FC75AF8"/>
    <w:multiLevelType w:val="hybridMultilevel"/>
    <w:lvl w:ilvl="0">
      <w:lvlJc w:val="left"/>
      <w:lvlText w:val="%1"/>
      <w:numFmt w:val="lowerRoman"/>
      <w:start w:val="1"/>
    </w:lvl>
    <w:lvl w:ilvl="1">
      <w:lvlJc w:val="left"/>
      <w:lvlText w:val="(%2)"/>
      <w:numFmt w:val="lowerLetter"/>
      <w:start w:val="2"/>
    </w:lvl>
  </w:abstractNum>
  <w:abstractNum w:abstractNumId="63">
    <w:nsid w:val="6A5F7029"/>
    <w:multiLevelType w:val="hybridMultilevel"/>
    <w:lvl w:ilvl="0">
      <w:lvlJc w:val="left"/>
      <w:lvlText w:val="(%1)"/>
      <w:numFmt w:val="lowerRoman"/>
      <w:start w:val="4"/>
    </w:lvl>
    <w:lvl w:ilvl="1">
      <w:lvlJc w:val="left"/>
      <w:lvlText w:val="%2"/>
      <w:numFmt w:val="lowerLetter"/>
      <w:start w:val="1"/>
    </w:lvl>
  </w:abstractNum>
  <w:abstractNum w:abstractNumId="64">
    <w:nsid w:val="7D5E18F8"/>
    <w:multiLevelType w:val="hybridMultilevel"/>
    <w:lvl w:ilvl="0">
      <w:lvlJc w:val="left"/>
      <w:lvlText w:val="(%1)"/>
      <w:numFmt w:val="lowerLetter"/>
      <w:start w:val="2"/>
    </w:lvl>
  </w:abstractNum>
  <w:abstractNum w:abstractNumId="65">
    <w:nsid w:val="5F3534A4"/>
    <w:multiLevelType w:val="hybridMultilevel"/>
    <w:lvl w:ilvl="0">
      <w:lvlJc w:val="left"/>
      <w:lvlText w:val="(%1)"/>
      <w:numFmt w:val="lowerLetter"/>
      <w:start w:val="2"/>
    </w:lvl>
  </w:abstractNum>
  <w:abstractNum w:abstractNumId="66">
    <w:nsid w:val="73A1821B"/>
    <w:multiLevelType w:val="hybridMultilevel"/>
    <w:lvl w:ilvl="0">
      <w:lvlJc w:val="left"/>
      <w:lvlText w:val="(%1)"/>
      <w:numFmt w:val="lowerLetter"/>
      <w:start w:val="2"/>
    </w:lvl>
  </w:abstractNum>
  <w:abstractNum w:abstractNumId="67">
    <w:nsid w:val="7DE67713"/>
    <w:multiLevelType w:val="hybridMultilevel"/>
    <w:lvl w:ilvl="0">
      <w:lvlJc w:val="left"/>
      <w:lvlText w:val="(%1)"/>
      <w:numFmt w:val="lowerLetter"/>
      <w:start w:val="2"/>
    </w:lvl>
  </w:abstractNum>
  <w:abstractNum w:abstractNumId="68">
    <w:nsid w:val="555C55B5"/>
    <w:multiLevelType w:val="hybridMultilevel"/>
    <w:lvl w:ilvl="0">
      <w:lvlJc w:val="left"/>
      <w:lvlText w:val="(%1)"/>
      <w:numFmt w:val="lowerLetter"/>
      <w:start w:val="2"/>
    </w:lvl>
  </w:abstractNum>
  <w:abstractNum w:abstractNumId="69">
    <w:nsid w:val="3FA62ACA"/>
    <w:multiLevelType w:val="hybridMultilevel"/>
    <w:lvl w:ilvl="0">
      <w:lvlJc w:val="left"/>
      <w:lvlText w:val="(%1)"/>
      <w:numFmt w:val="lowerLetter"/>
      <w:start w:val="61"/>
    </w:lvl>
  </w:abstractNum>
  <w:abstractNum w:abstractNumId="70">
    <w:nsid w:val="14FCE74E"/>
    <w:multiLevelType w:val="hybridMultilevel"/>
    <w:lvl w:ilvl="0">
      <w:lvlJc w:val="left"/>
      <w:lvlText w:val="(%1)"/>
      <w:numFmt w:val="lowerLetter"/>
      <w:start w:val="2"/>
    </w:lvl>
  </w:abstractNum>
  <w:abstractNum w:abstractNumId="71">
    <w:nsid w:val="6A3DD3E8"/>
    <w:multiLevelType w:val="hybridMultilevel"/>
    <w:lvl w:ilvl="0">
      <w:lvlJc w:val="left"/>
      <w:lvlText w:val="(%1)"/>
      <w:numFmt w:val="lowerLetter"/>
      <w:start w:val="2"/>
    </w:lvl>
  </w:abstractNum>
  <w:abstractNum w:abstractNumId="72">
    <w:nsid w:val="71C91298"/>
    <w:multiLevelType w:val="hybridMultilevel"/>
    <w:lvl w:ilvl="0">
      <w:lvlJc w:val="left"/>
      <w:lvlText w:val="(%1)"/>
      <w:numFmt w:val="lowerLetter"/>
      <w:start w:val="2"/>
    </w:lvl>
  </w:abstractNum>
  <w:abstractNum w:abstractNumId="73">
    <w:nsid w:val="9DAF632"/>
    <w:multiLevelType w:val="hybridMultilevel"/>
    <w:lvl w:ilvl="0">
      <w:lvlJc w:val="left"/>
      <w:lvlText w:val="(%1)"/>
      <w:numFmt w:val="lowerLetter"/>
      <w:start w:val="2"/>
    </w:lvl>
  </w:abstractNum>
  <w:abstractNum w:abstractNumId="74">
    <w:nsid w:val="53299938"/>
    <w:multiLevelType w:val="hybridMultilevel"/>
    <w:lvl w:ilvl="0">
      <w:lvlJc w:val="left"/>
      <w:lvlText w:val="(%1)"/>
      <w:numFmt w:val="lowerRoman"/>
      <w:start w:val="1"/>
    </w:lvl>
  </w:abstractNum>
  <w:abstractNum w:abstractNumId="75">
    <w:nsid w:val="1FBFE8E0"/>
    <w:multiLevelType w:val="hybridMultilevel"/>
    <w:lvl w:ilvl="0">
      <w:lvlJc w:val="left"/>
      <w:lvlText w:val="(%1)"/>
      <w:numFmt w:val="lowerRoman"/>
      <w:start w:val="1"/>
    </w:lvl>
  </w:abstractNum>
  <w:abstractNum w:abstractNumId="76">
    <w:nsid w:val="5092CA79"/>
    <w:multiLevelType w:val="hybridMultilevel"/>
    <w:lvl w:ilvl="0">
      <w:lvlJc w:val="left"/>
      <w:lvlText w:val="(%1)"/>
      <w:numFmt w:val="lowerLetter"/>
      <w:start w:val="2"/>
    </w:lvl>
  </w:abstractNum>
  <w:abstractNum w:abstractNumId="77">
    <w:nsid w:val="1D545C4D"/>
    <w:multiLevelType w:val="hybridMultilevel"/>
    <w:lvl w:ilvl="0">
      <w:lvlJc w:val="left"/>
      <w:lvlText w:val="(%1)"/>
      <w:numFmt w:val="lowerLetter"/>
      <w:start w:val="3"/>
    </w:lvl>
  </w:abstractNum>
  <w:abstractNum w:abstractNumId="78">
    <w:nsid w:val="59ADEA3D"/>
    <w:multiLevelType w:val="hybridMultilevel"/>
    <w:lvl w:ilvl="0">
      <w:lvlJc w:val="left"/>
      <w:lvlText w:val="(%1)"/>
      <w:numFmt w:val="decimal"/>
      <w:start w:val="1"/>
    </w:lvl>
    <w:lvl w:ilvl="1">
      <w:lvlJc w:val="left"/>
      <w:lvlText w:val="(%2)"/>
      <w:numFmt w:val="lowerLetter"/>
      <w:start w:val="2"/>
    </w:lvl>
  </w:abstractNum>
  <w:abstractNum w:abstractNumId="79">
    <w:nsid w:val="288F1A34"/>
    <w:multiLevelType w:val="hybridMultilevel"/>
    <w:lvl w:ilvl="0">
      <w:lvlJc w:val="left"/>
      <w:lvlText w:val="(%1)"/>
      <w:numFmt w:val="lowerLetter"/>
      <w:start w:val="5"/>
    </w:lvl>
  </w:abstractNum>
  <w:abstractNum w:abstractNumId="80">
    <w:nsid w:val="2A155DBC"/>
    <w:multiLevelType w:val="hybridMultilevel"/>
    <w:lvl w:ilvl="0">
      <w:lvlJc w:val="left"/>
      <w:lvlText w:val="%1"/>
      <w:numFmt w:val="lowerLetter"/>
      <w:start w:val="1"/>
    </w:lvl>
    <w:lvl w:ilvl="1">
      <w:lvlJc w:val="left"/>
      <w:lvlText w:val="(%2)"/>
      <w:numFmt w:val="lowerLetter"/>
      <w:start w:val="1"/>
    </w:lvl>
  </w:abstractNum>
  <w:abstractNum w:abstractNumId="81">
    <w:nsid w:val="1D9F6E5F"/>
    <w:multiLevelType w:val="hybridMultilevel"/>
    <w:lvl w:ilvl="0">
      <w:lvlJc w:val="left"/>
      <w:lvlText w:val="(%1)"/>
      <w:numFmt w:val="lowerLetter"/>
      <w:start w:val="9"/>
    </w:lvl>
    <w:lvl w:ilvl="1">
      <w:lvlJc w:val="left"/>
      <w:lvlText w:val="%2"/>
      <w:numFmt w:val="lowerLetter"/>
      <w:start w:val="1"/>
    </w:lvl>
  </w:abstractNum>
  <w:abstractNum w:abstractNumId="82">
    <w:nsid w:val="97E1B4E"/>
    <w:multiLevelType w:val="hybridMultilevel"/>
    <w:lvl w:ilvl="0">
      <w:lvlJc w:val="left"/>
      <w:lvlText w:val="(%1)"/>
      <w:numFmt w:val="lowerLetter"/>
      <w:start w:val="61"/>
    </w:lvl>
    <w:lvl w:ilvl="1">
      <w:lvlJc w:val="left"/>
      <w:lvlText w:val="%2"/>
      <w:numFmt w:val="lowerLetter"/>
      <w:start w:val="1"/>
    </w:lvl>
  </w:abstractNum>
  <w:abstractNum w:abstractNumId="83">
    <w:nsid w:val="51088277"/>
    <w:multiLevelType w:val="hybridMultilevel"/>
    <w:lvl w:ilvl="0">
      <w:lvlJc w:val="left"/>
      <w:lvlText w:val="(%1)"/>
      <w:numFmt w:val="lowerLetter"/>
      <w:start w:val="2"/>
    </w:lvl>
  </w:abstractNum>
  <w:abstractNum w:abstractNumId="84">
    <w:nsid w:val="1CA0C5FA"/>
    <w:multiLevelType w:val="hybridMultilevel"/>
    <w:lvl w:ilvl="0">
      <w:lvlJc w:val="left"/>
      <w:lvlText w:val="(%1)"/>
      <w:numFmt w:val="lowerRoman"/>
      <w:start w:val="2"/>
    </w:lvl>
  </w:abstractNum>
  <w:abstractNum w:abstractNumId="85">
    <w:nsid w:val="53584BCB"/>
    <w:multiLevelType w:val="hybridMultilevel"/>
    <w:lvl w:ilvl="0">
      <w:lvlJc w:val="left"/>
      <w:lvlText w:val="(%1)"/>
      <w:numFmt w:val="lowerLetter"/>
      <w:start w:val="1"/>
    </w:lvl>
  </w:abstractNum>
  <w:abstractNum w:abstractNumId="86">
    <w:nsid w:val="415E286C"/>
    <w:multiLevelType w:val="hybridMultilevel"/>
    <w:lvl w:ilvl="0">
      <w:lvlJc w:val="left"/>
      <w:lvlText w:val="(%1)"/>
      <w:numFmt w:val="lowerLetter"/>
      <w:start w:val="1"/>
    </w:lvl>
  </w:abstractNum>
  <w:abstractNum w:abstractNumId="87">
    <w:nsid w:val="7C58FD05"/>
    <w:multiLevelType w:val="hybridMultilevel"/>
    <w:lvl w:ilvl="0">
      <w:lvlJc w:val="left"/>
      <w:lvlText w:val="(%1)"/>
      <w:numFmt w:val="lowerLetter"/>
      <w:start w:val="2"/>
    </w:lvl>
  </w:abstractNum>
  <w:abstractNum w:abstractNumId="88">
    <w:nsid w:val="23D86AAC"/>
    <w:multiLevelType w:val="hybridMultilevel"/>
    <w:lvl w:ilvl="0">
      <w:lvlJc w:val="left"/>
      <w:lvlText w:val="(%1)"/>
      <w:numFmt w:val="lowerLetter"/>
      <w:start w:val="1"/>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lowerLetter"/>
      <w:start w:val="2"/>
    </w:lvl>
  </w:abstractNum>
  <w:abstractNum w:abstractNumId="91">
    <w:nsid w:val="E7FFA2B"/>
    <w:multiLevelType w:val="hybridMultilevel"/>
    <w:lvl w:ilvl="0">
      <w:lvlJc w:val="left"/>
      <w:lvlText w:val="(%1)"/>
      <w:numFmt w:val="lowerLetter"/>
      <w:start w:val="1"/>
    </w:lvl>
  </w:abstractNum>
  <w:abstractNum w:abstractNumId="92">
    <w:nsid w:val="3C5991AA"/>
    <w:multiLevelType w:val="hybridMultilevel"/>
    <w:lvl w:ilvl="0">
      <w:lvlJc w:val="left"/>
      <w:lvlText w:val="(%1)"/>
      <w:numFmt w:val="lowerLetter"/>
      <w:start w:val="2"/>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4"/>
    </w:lvl>
  </w:abstractNum>
  <w:abstractNum w:abstractNumId="96">
    <w:nsid w:val="2B0D8DBE"/>
    <w:multiLevelType w:val="hybridMultilevel"/>
    <w:lvl w:ilvl="0">
      <w:lvlJc w:val="left"/>
      <w:lvlText w:val="(%1)"/>
      <w:numFmt w:val="lowerLetter"/>
      <w:start w:val="1"/>
    </w:lvl>
  </w:abstractNum>
  <w:abstractNum w:abstractNumId="97">
    <w:nsid w:val="6C80EC70"/>
    <w:multiLevelType w:val="hybridMultilevel"/>
    <w:lvl w:ilvl="0">
      <w:lvlJc w:val="left"/>
      <w:lvlText w:val="(%1)"/>
      <w:numFmt w:val="lowerLetter"/>
      <w:start w:val="2"/>
    </w:lvl>
  </w:abstractNum>
  <w:abstractNum w:abstractNumId="98">
    <w:nsid w:val="379E21B5"/>
    <w:multiLevelType w:val="hybridMultilevel"/>
    <w:lvl w:ilvl="0">
      <w:lvlJc w:val="left"/>
      <w:lvlText w:val="(%1)"/>
      <w:numFmt w:val="lowerLetter"/>
      <w:start w:val="14"/>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1)"/>
      <w:numFmt w:val="lowerLetter"/>
      <w:start w:val="1"/>
    </w:lvl>
  </w:abstractNum>
  <w:abstractNum w:abstractNumId="101">
    <w:nsid w:val="4C9B0904"/>
    <w:multiLevelType w:val="hybridMultilevel"/>
    <w:lvl w:ilvl="0">
      <w:lvlJc w:val="left"/>
      <w:lvlText w:val="(%1)"/>
      <w:numFmt w:val="lowerLetter"/>
      <w:start w:val="2"/>
    </w:lvl>
  </w:abstractNum>
  <w:abstractNum w:abstractNumId="102">
    <w:nsid w:val="6AA7B75C"/>
    <w:multiLevelType w:val="hybridMultilevel"/>
    <w:lvl w:ilvl="0">
      <w:lvlJc w:val="left"/>
      <w:lvlText w:val="%1"/>
      <w:numFmt w:val="lowerLetter"/>
      <w:start w:val="1"/>
    </w:lvl>
    <w:lvl w:ilvl="1">
      <w:lvlJc w:val="left"/>
      <w:lvlText w:val="(%2)"/>
      <w:numFmt w:val="lowerLetter"/>
      <w:start w:val="1"/>
    </w:lvl>
  </w:abstractNum>
  <w:abstractNum w:abstractNumId="103">
    <w:nsid w:val="1DF029D3"/>
    <w:multiLevelType w:val="hybridMultilevel"/>
    <w:lvl w:ilvl="0">
      <w:lvlJc w:val="left"/>
      <w:lvlText w:val="(%1)"/>
      <w:numFmt w:val="lowerLetter"/>
      <w:start w:val="61"/>
    </w:lvl>
    <w:lvl w:ilvl="1">
      <w:lvlJc w:val="left"/>
      <w:lvlText w:val="%2"/>
      <w:numFmt w:val="lowerLetter"/>
      <w:start w:val="1"/>
    </w:lvl>
  </w:abstractNum>
  <w:abstractNum w:abstractNumId="104">
    <w:nsid w:val="5675FF36"/>
    <w:multiLevelType w:val="hybridMultilevel"/>
    <w:lvl w:ilvl="0">
      <w:lvlJc w:val="left"/>
      <w:lvlText w:val="%1"/>
      <w:numFmt w:val="lowerLetter"/>
      <w:start w:val="1"/>
    </w:lvl>
    <w:lvl w:ilvl="1">
      <w:lvlJc w:val="left"/>
      <w:lvlText w:val="(%2)"/>
      <w:numFmt w:val="lowerLetter"/>
      <w:start w:val="8"/>
    </w:lvl>
  </w:abstractNum>
  <w:abstractNum w:abstractNumId="105">
    <w:nsid w:val="3DD15094"/>
    <w:multiLevelType w:val="hybridMultilevel"/>
    <w:lvl w:ilvl="0">
      <w:lvlJc w:val="left"/>
      <w:lvlText w:val="(%1)"/>
      <w:numFmt w:val="lowerLetter"/>
      <w:start w:val="35"/>
    </w:lvl>
    <w:lvl w:ilvl="1">
      <w:lvlJc w:val="left"/>
      <w:lvlText w:val="(%2)"/>
      <w:numFmt w:val="lowerLetter"/>
      <w:start w:val="10"/>
    </w:lvl>
  </w:abstractNum>
  <w:abstractNum w:abstractNumId="106">
    <w:nsid w:val="3DB012B3"/>
    <w:multiLevelType w:val="hybridMultilevel"/>
    <w:lvl w:ilvl="0">
      <w:lvlJc w:val="left"/>
      <w:lvlText w:val="(%1)"/>
      <w:numFmt w:val="lowerRoman"/>
      <w:start w:val="1"/>
    </w:lvl>
  </w:abstractNum>
  <w:abstractNum w:abstractNumId="107">
    <w:nsid w:val="2708C9AF"/>
    <w:multiLevelType w:val="hybridMultilevel"/>
    <w:lvl w:ilvl="0">
      <w:lvlJc w:val="left"/>
      <w:lvlText w:val="(%1)"/>
      <w:numFmt w:val="lowerLetter"/>
      <w:start w:val="2"/>
    </w:lvl>
  </w:abstractNum>
  <w:abstractNum w:abstractNumId="108">
    <w:nsid w:val="5B25ACE2"/>
    <w:multiLevelType w:val="hybridMultilevel"/>
    <w:lvl w:ilvl="0">
      <w:lvlJc w:val="left"/>
      <w:lvlText w:val="(%1)"/>
      <w:numFmt w:val="lowerLetter"/>
      <w:start w:val="3"/>
    </w:lvl>
  </w:abstractNum>
  <w:abstractNum w:abstractNumId="109">
    <w:nsid w:val="175DFCF0"/>
    <w:multiLevelType w:val="hybridMultilevel"/>
    <w:lvl w:ilvl="0">
      <w:lvlJc w:val="left"/>
      <w:lvlText w:val="(%1)"/>
      <w:numFmt w:val="upperLetter"/>
      <w:start w:val="1"/>
    </w:lvl>
  </w:abstractNum>
  <w:abstractNum w:abstractNumId="110">
    <w:nsid w:val="4F97E3E4"/>
    <w:multiLevelType w:val="hybridMultilevel"/>
    <w:lvl w:ilvl="0">
      <w:lvlJc w:val="left"/>
      <w:lvlText w:val="(%1)"/>
      <w:numFmt w:val="upperLetter"/>
      <w:start w:val="1"/>
    </w:lvl>
  </w:abstractNum>
  <w:abstractNum w:abstractNumId="111">
    <w:nsid w:val="53B0A9E"/>
    <w:multiLevelType w:val="hybridMultilevel"/>
    <w:lvl w:ilvl="0">
      <w:lvlJc w:val="left"/>
      <w:lvlText w:val="(%1)"/>
      <w:numFmt w:val="upperLetter"/>
      <w:start w:val="1"/>
    </w:lvl>
  </w:abstractNum>
  <w:abstractNum w:abstractNumId="112">
    <w:nsid w:val="34FD6B4F"/>
    <w:multiLevelType w:val="hybridMultilevel"/>
    <w:lvl w:ilvl="0">
      <w:lvlJc w:val="left"/>
      <w:lvlText w:val="(%1)"/>
      <w:numFmt w:val="upperLetter"/>
      <w:start w:val="2"/>
    </w:lvl>
  </w:abstractNum>
  <w:abstractNum w:abstractNumId="113">
    <w:nsid w:val="5915FF32"/>
    <w:multiLevelType w:val="hybridMultilevel"/>
    <w:lvl w:ilvl="0">
      <w:lvlJc w:val="left"/>
      <w:lvlText w:val="(%1)"/>
      <w:numFmt w:val="lowerRoman"/>
      <w:start w:val="3"/>
    </w:lvl>
  </w:abstractNum>
  <w:abstractNum w:abstractNumId="114">
    <w:nsid w:val="56438D15"/>
    <w:multiLevelType w:val="hybridMultilevel"/>
    <w:lvl w:ilvl="0">
      <w:lvlJc w:val="left"/>
      <w:lvlText w:val="(%1)"/>
      <w:numFmt w:val="lowerRoman"/>
      <w:start w:val="2"/>
    </w:lvl>
  </w:abstractNum>
  <w:abstractNum w:abstractNumId="115">
    <w:nsid w:val="519E3149"/>
    <w:multiLevelType w:val="hybridMultilevel"/>
    <w:lvl w:ilvl="0">
      <w:lvlJc w:val="left"/>
      <w:lvlText w:val="(%1)"/>
      <w:numFmt w:val="lowerLetter"/>
      <w:start w:val="4"/>
    </w:lvl>
  </w:abstractNum>
  <w:abstractNum w:abstractNumId="116">
    <w:nsid w:val="2C6E4AFD"/>
    <w:multiLevelType w:val="hybridMultilevel"/>
    <w:lvl w:ilvl="0">
      <w:lvlJc w:val="left"/>
      <w:lvlText w:val="(%1)"/>
      <w:numFmt w:val="lowerRoman"/>
      <w:start w:val="6"/>
    </w:lvl>
  </w:abstractNum>
  <w:abstractNum w:abstractNumId="117">
    <w:nsid w:val="17A1B582"/>
    <w:multiLevelType w:val="hybridMultilevel"/>
    <w:lvl w:ilvl="0">
      <w:lvlJc w:val="left"/>
      <w:lvlText w:val="(%1)"/>
      <w:numFmt w:val="lowerLetter"/>
      <w:start w:val="2"/>
    </w:lvl>
  </w:abstractNum>
  <w:abstractNum w:abstractNumId="118">
    <w:nsid w:val="4DF72E4E"/>
    <w:multiLevelType w:val="hybridMultilevel"/>
    <w:lvl w:ilvl="0">
      <w:lvlJc w:val="left"/>
      <w:lvlText w:val="(%1)"/>
      <w:numFmt w:val="lowerLetter"/>
      <w:start w:val="1"/>
    </w:lvl>
  </w:abstractNum>
  <w:abstractNum w:abstractNumId="119">
    <w:nsid w:val="5046B5A9"/>
    <w:multiLevelType w:val="hybridMultilevel"/>
    <w:lvl w:ilvl="0">
      <w:lvlJc w:val="left"/>
      <w:lvlText w:val="(%1)"/>
      <w:numFmt w:val="lowerLetter"/>
      <w:start w:val="4"/>
    </w:lvl>
  </w:abstractNum>
  <w:abstractNum w:abstractNumId="120">
    <w:nsid w:val="5D888A08"/>
    <w:multiLevelType w:val="hybridMultilevel"/>
    <w:lvl w:ilvl="0">
      <w:lvlJc w:val="left"/>
      <w:lvlText w:val="%1."/>
      <w:numFmt w:val="decimal"/>
      <w:start w:val="1"/>
    </w:lvl>
  </w:abstractNum>
  <w:abstractNum w:abstractNumId="121">
    <w:nsid w:val="2A082C70"/>
    <w:multiLevelType w:val="hybridMultilevel"/>
    <w:lvl w:ilvl="0">
      <w:lvlJc w:val="left"/>
      <w:lvlText w:val="%1."/>
      <w:numFmt w:val="decimal"/>
      <w:start w:val="3"/>
    </w:lvl>
  </w:abstractNum>
  <w:abstractNum w:abstractNumId="122">
    <w:nsid w:val="5EC6AFD4"/>
    <w:multiLevelType w:val="hybridMultilevel"/>
    <w:lvl w:ilvl="0">
      <w:lvlJc w:val="left"/>
      <w:lvlText w:val="%1"/>
      <w:numFmt w:val="lowerLetter"/>
      <w:start w:val="1"/>
    </w:lvl>
    <w:lvl w:ilvl="1">
      <w:lvlJc w:val="left"/>
      <w:lvlText w:val="(%2)"/>
      <w:numFmt w:val="lowerLetter"/>
      <w:start w:val="9"/>
    </w:lvl>
  </w:abstractNum>
  <w:abstractNum w:abstractNumId="123">
    <w:nsid w:val="19E21BB2"/>
    <w:multiLevelType w:val="hybridMultilevel"/>
    <w:lvl w:ilvl="0">
      <w:lvlJc w:val="left"/>
      <w:lvlText w:val="(%1)"/>
      <w:numFmt w:val="lowerLetter"/>
      <w:start w:val="25"/>
    </w:lvl>
    <w:lvl w:ilvl="1">
      <w:lvlJc w:val="left"/>
      <w:lvlText w:val="%2"/>
      <w:numFmt w:val="lowerLetter"/>
      <w:start w:val="1"/>
    </w:lvl>
  </w:abstractNum>
  <w:abstractNum w:abstractNumId="124">
    <w:nsid w:val="75E0858A"/>
    <w:multiLevelType w:val="hybridMultilevel"/>
    <w:lvl w:ilvl="0">
      <w:lvlJc w:val="left"/>
      <w:lvlText w:val="(%1)"/>
      <w:numFmt w:val="lowerRoman"/>
      <w:start w:val="2"/>
    </w:lvl>
  </w:abstractNum>
  <w:abstractNum w:abstractNumId="125">
    <w:nsid w:val="57A61A29"/>
    <w:multiLevelType w:val="hybridMultilevel"/>
    <w:lvl w:ilvl="0">
      <w:lvlJc w:val="left"/>
      <w:lvlText w:val="(%1)"/>
      <w:numFmt w:val="lowerLetter"/>
      <w:start w:val="25"/>
    </w:lvl>
  </w:abstractNum>
  <w:abstractNum w:abstractNumId="126">
    <w:nsid w:val="5399C654"/>
    <w:multiLevelType w:val="hybridMultilevel"/>
    <w:lvl w:ilvl="0">
      <w:lvlJc w:val="left"/>
      <w:lvlText w:val="(%1)"/>
      <w:numFmt w:val="lowerRoman"/>
      <w:start w:val="3"/>
    </w:lvl>
  </w:abstractNum>
  <w:abstractNum w:abstractNumId="127">
    <w:nsid w:val="20EE1348"/>
    <w:multiLevelType w:val="hybridMultilevel"/>
    <w:lvl w:ilvl="0">
      <w:lvlJc w:val="left"/>
      <w:lvlText w:val="%1."/>
      <w:numFmt w:val="decimal"/>
      <w:start w:val="5"/>
    </w:lvl>
  </w:abstractNum>
  <w:abstractNum w:abstractNumId="128">
    <w:nsid w:val="4427069A"/>
    <w:multiLevelType w:val="hybridMultilevel"/>
    <w:lvl w:ilvl="0">
      <w:lvlJc w:val="left"/>
      <w:lvlText w:val="%1."/>
      <w:numFmt w:val="decimal"/>
      <w:start w:val="6"/>
    </w:lvl>
  </w:abstractNum>
  <w:abstractNum w:abstractNumId="129">
    <w:nsid w:val="B37E80A"/>
    <w:multiLevelType w:val="hybridMultilevel"/>
    <w:lvl w:ilvl="0">
      <w:lvlJc w:val="left"/>
      <w:lvlText w:val="%1."/>
      <w:numFmt w:val="decimal"/>
      <w:start w:val="7"/>
    </w:lvl>
  </w:abstractNum>
  <w:abstractNum w:abstractNumId="130">
    <w:nsid w:val="2157F6BC"/>
    <w:multiLevelType w:val="hybridMultilevel"/>
    <w:lvl w:ilvl="0">
      <w:lvlJc w:val="left"/>
      <w:lvlText w:val="%1."/>
      <w:numFmt w:val="decimal"/>
      <w:start w:val="8"/>
    </w:lvl>
  </w:abstractNum>
  <w:abstractNum w:abstractNumId="131">
    <w:nsid w:val="704E1DD5"/>
    <w:multiLevelType w:val="hybridMultilevel"/>
    <w:lvl w:ilvl="0">
      <w:lvlJc w:val="left"/>
      <w:lvlText w:val="(%1)"/>
      <w:numFmt w:val="lowerRoman"/>
      <w:start w:val="1"/>
    </w:lvl>
  </w:abstractNum>
  <w:abstractNum w:abstractNumId="132">
    <w:nsid w:val="57D2F10E"/>
    <w:multiLevelType w:val="hybridMultilevel"/>
    <w:lvl w:ilvl="0">
      <w:lvlJc w:val="left"/>
      <w:lvlText w:val="%1."/>
      <w:numFmt w:val="decimal"/>
      <w:start w:val="9"/>
    </w:lvl>
  </w:abstractNum>
  <w:abstractNum w:abstractNumId="133">
    <w:nsid w:val="BFFAE18"/>
    <w:multiLevelType w:val="hybridMultilevel"/>
    <w:lvl w:ilvl="0">
      <w:lvlJc w:val="left"/>
      <w:lvlText w:val="(%1)"/>
      <w:numFmt w:val="lowerLetter"/>
      <w:start w:val="1"/>
    </w:lvl>
    <w:lvl w:ilvl="1">
      <w:lvlJc w:val="left"/>
      <w:lvlText w:val="•"/>
      <w:numFmt w:val="bullet"/>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2019-12-09T16:42:56Z</dcterms:created>
  <dcterms:modified xsi:type="dcterms:W3CDTF">2019-12-09T16:42:56Z</dcterms:modified>
</cp:coreProperties>
</file>