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56515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77470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3" w:lineRule="exact"/>
        <w:rPr>
          <w:rFonts w:ascii="MS PGothic" w:cs="MS PGothic" w:eastAsia="MS PGothic" w:hAnsi="MS PGothic"/>
          <w:sz w:val="16"/>
          <w:szCs w:val="16"/>
          <w:color w:val="auto"/>
          <w:highlight w:val="black"/>
        </w:rPr>
      </w:pPr>
    </w:p>
    <w:p>
      <w:pPr>
        <w:ind w:left="436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2019</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tbl>
      <w:tblPr>
        <w:tblLayout w:type="fixed"/>
        <w:tblInd w:w="422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173"/>
        </w:trPr>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001-32492</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6"/>
        </w:trPr>
        <w:tc>
          <w:tcPr>
            <w:tcW w:w="27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41910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9" w:lineRule="exact"/>
        <w:rPr>
          <w:sz w:val="24"/>
          <w:szCs w:val="24"/>
          <w:color w:val="auto"/>
        </w:rPr>
      </w:pPr>
    </w:p>
    <w:tbl>
      <w:tblPr>
        <w:tblLayout w:type="fixed"/>
        <w:tblInd w:w="10" w:type="dxa"/>
        <w:tblCellMar>
          <w:top w:w="0" w:type="dxa"/>
          <w:left w:w="0" w:type="dxa"/>
          <w:bottom w:w="0" w:type="dxa"/>
          <w:right w:w="0" w:type="dxa"/>
        </w:tblCellMar>
      </w:tblPr>
      <w:tr>
        <w:trPr>
          <w:trHeight w:val="418"/>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2"/>
          </w:tcPr>
          <w:p>
            <w:pPr>
              <w:jc w:val="center"/>
              <w:ind w:right="420"/>
              <w:spacing w:after="0"/>
              <w:rPr>
                <w:sz w:val="20"/>
                <w:szCs w:val="20"/>
                <w:color w:val="auto"/>
              </w:rPr>
            </w:pPr>
            <w:r>
              <w:rPr>
                <w:rFonts w:ascii="Arial" w:cs="Arial" w:eastAsia="Arial" w:hAnsi="Arial"/>
                <w:sz w:val="34"/>
                <w:szCs w:val="34"/>
                <w:b w:val="1"/>
                <w:bCs w:val="1"/>
                <w:color w:val="auto"/>
              </w:rPr>
              <w:t>LAZARD LTD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140" w:type="dxa"/>
            <w:vAlign w:val="bottom"/>
            <w:gridSpan w:val="2"/>
            <w:vMerge w:val="restart"/>
          </w:tcPr>
          <w:p>
            <w:pPr>
              <w:jc w:val="center"/>
              <w:ind w:left="1531"/>
              <w:spacing w:after="0"/>
              <w:rPr>
                <w:sz w:val="20"/>
                <w:szCs w:val="20"/>
                <w:color w:val="auto"/>
              </w:rPr>
            </w:pPr>
            <w:r>
              <w:rPr>
                <w:rFonts w:ascii="Arial" w:cs="Arial" w:eastAsia="Arial" w:hAnsi="Arial"/>
                <w:sz w:val="14"/>
                <w:szCs w:val="14"/>
                <w:b w:val="1"/>
                <w:bCs w:val="1"/>
                <w:color w:val="auto"/>
                <w:w w:val="95"/>
              </w:rPr>
              <w:t>Bermuda</w:t>
            </w:r>
          </w:p>
        </w:tc>
        <w:tc>
          <w:tcPr>
            <w:tcW w:w="26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vMerge w:val="restart"/>
          </w:tcPr>
          <w:p>
            <w:pPr>
              <w:jc w:val="right"/>
              <w:ind w:right="2368"/>
              <w:spacing w:after="0"/>
              <w:rPr>
                <w:sz w:val="20"/>
                <w:szCs w:val="20"/>
                <w:color w:val="auto"/>
              </w:rPr>
            </w:pPr>
            <w:r>
              <w:rPr>
                <w:rFonts w:ascii="Arial" w:cs="Arial" w:eastAsia="Arial" w:hAnsi="Arial"/>
                <w:sz w:val="14"/>
                <w:szCs w:val="14"/>
                <w:b w:val="1"/>
                <w:bCs w:val="1"/>
                <w:color w:val="auto"/>
              </w:rPr>
              <w:t>98-0437848</w:t>
            </w:r>
          </w:p>
        </w:tc>
        <w:tc>
          <w:tcPr>
            <w:tcW w:w="0" w:type="dxa"/>
            <w:vAlign w:val="bottom"/>
          </w:tcPr>
          <w:p>
            <w:pPr>
              <w:spacing w:after="0"/>
              <w:rPr>
                <w:sz w:val="1"/>
                <w:szCs w:val="1"/>
                <w:color w:val="auto"/>
              </w:rPr>
            </w:pPr>
          </w:p>
        </w:tc>
      </w:tr>
      <w:tr>
        <w:trPr>
          <w:trHeight w:val="201"/>
        </w:trPr>
        <w:tc>
          <w:tcPr>
            <w:tcW w:w="41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40" w:type="dxa"/>
            <w:vAlign w:val="bottom"/>
            <w:gridSpan w:val="2"/>
          </w:tcPr>
          <w:p>
            <w:pPr>
              <w:jc w:val="center"/>
              <w:ind w:left="1511"/>
              <w:spacing w:after="0" w:line="135" w:lineRule="exact"/>
              <w:rPr>
                <w:sz w:val="20"/>
                <w:szCs w:val="20"/>
                <w:color w:val="auto"/>
              </w:rPr>
            </w:pPr>
            <w:r>
              <w:rPr>
                <w:rFonts w:ascii="Arial" w:cs="Arial" w:eastAsia="Arial" w:hAnsi="Arial"/>
                <w:sz w:val="12"/>
                <w:szCs w:val="12"/>
                <w:b w:val="1"/>
                <w:bCs w:val="1"/>
                <w:color w:val="auto"/>
                <w:w w:val="89"/>
              </w:rPr>
              <w:t>(State or Other Jurisdiction of Incorporation</w:t>
            </w:r>
          </w:p>
        </w:tc>
        <w:tc>
          <w:tcPr>
            <w:tcW w:w="2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80" w:type="dxa"/>
            <w:vAlign w:val="bottom"/>
            <w:gridSpan w:val="3"/>
          </w:tcPr>
          <w:p>
            <w:pPr>
              <w:jc w:val="right"/>
              <w:ind w:right="1888"/>
              <w:spacing w:after="0" w:line="135" w:lineRule="exact"/>
              <w:rPr>
                <w:sz w:val="20"/>
                <w:szCs w:val="20"/>
                <w:color w:val="auto"/>
              </w:rPr>
            </w:pPr>
            <w:r>
              <w:rPr>
                <w:rFonts w:ascii="Arial" w:cs="Arial" w:eastAsia="Arial" w:hAnsi="Arial"/>
                <w:sz w:val="12"/>
                <w:szCs w:val="12"/>
                <w:b w:val="1"/>
                <w:bCs w:val="1"/>
                <w:color w:val="auto"/>
                <w:w w:val="91"/>
              </w:rPr>
              <w:t>(I.R.S. Employer Identification No.)</w:t>
            </w:r>
          </w:p>
        </w:tc>
        <w:tc>
          <w:tcPr>
            <w:tcW w:w="0" w:type="dxa"/>
            <w:vAlign w:val="bottom"/>
          </w:tcPr>
          <w:p>
            <w:pPr>
              <w:spacing w:after="0"/>
              <w:rPr>
                <w:sz w:val="1"/>
                <w:szCs w:val="1"/>
                <w:color w:val="auto"/>
              </w:rPr>
            </w:pPr>
          </w:p>
        </w:tc>
      </w:tr>
      <w:tr>
        <w:trPr>
          <w:trHeight w:val="150"/>
        </w:trPr>
        <w:tc>
          <w:tcPr>
            <w:tcW w:w="4140" w:type="dxa"/>
            <w:vAlign w:val="bottom"/>
            <w:gridSpan w:val="2"/>
          </w:tcPr>
          <w:p>
            <w:pPr>
              <w:jc w:val="center"/>
              <w:ind w:left="1511"/>
              <w:spacing w:after="0"/>
              <w:rPr>
                <w:sz w:val="20"/>
                <w:szCs w:val="20"/>
                <w:color w:val="auto"/>
              </w:rPr>
            </w:pPr>
            <w:r>
              <w:rPr>
                <w:rFonts w:ascii="Arial" w:cs="Arial" w:eastAsia="Arial" w:hAnsi="Arial"/>
                <w:sz w:val="12"/>
                <w:szCs w:val="12"/>
                <w:b w:val="1"/>
                <w:bCs w:val="1"/>
                <w:color w:val="auto"/>
                <w:w w:val="90"/>
              </w:rPr>
              <w:t>or Organization)</w:t>
            </w:r>
          </w:p>
        </w:tc>
        <w:tc>
          <w:tcPr>
            <w:tcW w:w="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Clarendon House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2 Church Street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Hamilton HM11, Bermuda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Registrant’s telephone number: (441) 295-1422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40" w:type="dxa"/>
            <w:vAlign w:val="bottom"/>
            <w:gridSpan w:val="2"/>
            <w:vMerge w:val="restart"/>
          </w:tcPr>
          <w:p>
            <w:pPr>
              <w:ind w:left="600"/>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60" w:type="dxa"/>
            <w:vAlign w:val="bottom"/>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414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3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20" w:type="dxa"/>
            <w:vAlign w:val="bottom"/>
            <w:tcBorders>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4"/>
                <w:szCs w:val="14"/>
                <w:color w:val="auto"/>
              </w:rPr>
              <w:t>Title of each class</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4"/>
              </w:rPr>
              <w:t>Trading Symbol(s)</w:t>
            </w:r>
          </w:p>
        </w:tc>
        <w:tc>
          <w:tcPr>
            <w:tcW w:w="1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96"/>
        </w:trPr>
        <w:tc>
          <w:tcPr>
            <w:tcW w:w="3820" w:type="dxa"/>
            <w:vAlign w:val="bottom"/>
            <w:tcBorders>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4"/>
                <w:szCs w:val="14"/>
                <w:color w:val="auto"/>
              </w:rPr>
              <w:t>Class A Common Stock</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LAZ</w:t>
            </w:r>
          </w:p>
        </w:tc>
        <w:tc>
          <w:tcPr>
            <w:tcW w:w="1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8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79"/>
        </w:trPr>
        <w:tc>
          <w:tcPr>
            <w:tcW w:w="7460" w:type="dxa"/>
            <w:vAlign w:val="bottom"/>
            <w:gridSpan w:val="5"/>
          </w:tcPr>
          <w:p>
            <w:pPr>
              <w:ind w:left="600"/>
              <w:spacing w:after="0"/>
              <w:rPr>
                <w:sz w:val="20"/>
                <w:szCs w:val="20"/>
                <w:color w:val="auto"/>
              </w:rPr>
            </w:pPr>
            <w:r>
              <w:rPr>
                <w:rFonts w:ascii="Arial" w:cs="Arial" w:eastAsia="Arial" w:hAnsi="Arial"/>
                <w:sz w:val="14"/>
                <w:szCs w:val="14"/>
                <w:color w:val="auto"/>
              </w:rPr>
              <w:t>Securities Registered Pursuant to Section 12(g) of the Act: None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440" w:type="dxa"/>
            <w:vAlign w:val="bottom"/>
          </w:tcPr>
          <w:p>
            <w:pPr>
              <w:jc w:val="right"/>
              <w:ind w:right="28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3440" w:type="dxa"/>
            <w:vAlign w:val="bottom"/>
          </w:tcPr>
          <w:p>
            <w:pPr>
              <w:jc w:val="right"/>
              <w:ind w:right="32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6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80"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8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60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9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9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80" w:type="dxa"/>
            <w:vAlign w:val="bottom"/>
          </w:tcPr>
          <w:p>
            <w:pPr>
              <w:ind w:left="12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3" w:lineRule="exact"/>
        <w:rPr>
          <w:sz w:val="24"/>
          <w:szCs w:val="24"/>
          <w:color w:val="auto"/>
        </w:rPr>
      </w:pPr>
    </w:p>
    <w:p>
      <w:pPr>
        <w:ind w:right="140" w:firstLine="598"/>
        <w:spacing w:after="0" w:line="187"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600"/>
        <w:spacing w:after="0" w:line="161" w:lineRule="exact"/>
        <w:tabs>
          <w:tab w:leader="none" w:pos="732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aggregate market value of the common stock held by non-affiliates of the Registrant as of June 30, 2019 was approximately $3,646,066,351.</w:t>
      </w:r>
    </w:p>
    <w:p>
      <w:pPr>
        <w:spacing w:after="0" w:line="42"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January 29, 2020, there were 112,766,091 shares of the Registrant’s Class A common stock outstanding (including 9,023,493 shares held by subsidiaries).</w:t>
      </w:r>
    </w:p>
    <w:p>
      <w:pPr>
        <w:spacing w:after="0" w:line="3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left="600"/>
        <w:spacing w:after="0"/>
        <w:rPr>
          <w:sz w:val="20"/>
          <w:szCs w:val="20"/>
          <w:color w:val="auto"/>
        </w:rPr>
      </w:pPr>
      <w:r>
        <w:rPr>
          <w:rFonts w:ascii="Arial" w:cs="Arial" w:eastAsia="Arial" w:hAnsi="Arial"/>
          <w:sz w:val="13"/>
          <w:szCs w:val="13"/>
          <w:color w:val="auto"/>
        </w:rPr>
        <w:t>Portions of the Registrant’s proxy statement for its 2020 annual general meeting of shareholders are incorporated by reference in this Form 10-K in response to Part III Items 10, 11, 12, 13</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549910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 w:name="page2"/>
    <w:bookmarkEnd w:id="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29"/>
          </w:tcPr>
          <w:p>
            <w:pPr>
              <w:spacing w:after="0"/>
              <w:rPr>
                <w:sz w:val="20"/>
                <w:szCs w:val="20"/>
                <w:color w:val="auto"/>
              </w:rPr>
            </w:pPr>
            <w:r>
              <w:rPr>
                <w:rFonts w:ascii="Arial" w:cs="Arial" w:eastAsia="Arial" w:hAnsi="Arial"/>
                <w:sz w:val="14"/>
                <w:szCs w:val="14"/>
                <w:b w:val="1"/>
                <w:bCs w:val="1"/>
                <w:color w:val="auto"/>
              </w:rPr>
              <w:t>Form 10-K Item Number</w:t>
            </w:r>
          </w:p>
        </w:tc>
        <w:tc>
          <w:tcPr>
            <w:tcW w:w="94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 No.</w:t>
            </w:r>
          </w:p>
        </w:tc>
      </w:tr>
      <w:tr>
        <w:trPr>
          <w:trHeight w:val="291"/>
        </w:trPr>
        <w:tc>
          <w:tcPr>
            <w:tcW w:w="920" w:type="dxa"/>
            <w:vAlign w:val="bottom"/>
            <w:tcBorders>
              <w:top w:val="single" w:sz="8" w:color="auto"/>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920" w:type="dxa"/>
            <w:vAlign w:val="bottom"/>
            <w:gridSpan w:val="2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1680" w:type="dxa"/>
            <w:vAlign w:val="bottom"/>
            <w:tcBorders>
              <w:top w:val="single" w:sz="8" w:color="0000EE"/>
            </w:tcBorders>
            <w:gridSpan w:val="7"/>
          </w:tcPr>
          <w:p>
            <w:pPr>
              <w:spacing w:after="0"/>
              <w:rPr>
                <w:sz w:val="24"/>
                <w:szCs w:val="24"/>
                <w:color w:val="auto"/>
              </w:rPr>
            </w:pPr>
          </w:p>
        </w:tc>
        <w:tc>
          <w:tcPr>
            <w:tcW w:w="698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Unresolved Staff Comments</w:t>
              </w:r>
            </w:hyperlink>
          </w:p>
        </w:tc>
        <w:tc>
          <w:tcPr>
            <w:tcW w:w="752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56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56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56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92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66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Market for Registrant’s Common Equity, Related Stockholder Matters and Issuer Purchases</w:t>
              </w:r>
            </w:hyperlink>
          </w:p>
        </w:tc>
        <w:tc>
          <w:tcPr>
            <w:tcW w:w="29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of Equity Securities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9560" w:type="dxa"/>
            <w:vAlign w:val="bottom"/>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Quantitative and Qualitative Disclosures About Market Risk</w:t>
              </w:r>
            </w:hyperlink>
          </w:p>
        </w:tc>
        <w:tc>
          <w:tcPr>
            <w:tcW w:w="520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560" w:type="dxa"/>
            <w:vAlign w:val="bottom"/>
            <w:gridSpan w:val="2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9560" w:type="dxa"/>
            <w:vAlign w:val="bottom"/>
            <w:gridSpan w:val="24"/>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Other Information</w:t>
              </w:r>
            </w:hyperlink>
          </w:p>
        </w:tc>
        <w:tc>
          <w:tcPr>
            <w:tcW w:w="780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318"/>
        </w:trPr>
        <w:tc>
          <w:tcPr>
            <w:tcW w:w="920" w:type="dxa"/>
            <w:vAlign w:val="bottom"/>
            <w:gridSpan w:val="5"/>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PART III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560" w:type="dxa"/>
            <w:vAlign w:val="bottom"/>
            <w:gridSpan w:val="24"/>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582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37">
              <w:r>
                <w:rPr>
                  <w:rFonts w:ascii="Arial" w:cs="Arial" w:eastAsia="Arial" w:hAnsi="Arial"/>
                  <w:sz w:val="18"/>
                  <w:szCs w:val="18"/>
                  <w:color w:val="0000EE"/>
                  <w:w w:val="91"/>
                </w:rPr>
                <w:t>Security Ownership of Certain Beneficial Owners and Management and Related</w:t>
              </w:r>
            </w:hyperlink>
          </w:p>
        </w:tc>
        <w:tc>
          <w:tcPr>
            <w:tcW w:w="374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Stockholder Matters</w:t>
              </w:r>
            </w:hyperlink>
          </w:p>
        </w:tc>
        <w:tc>
          <w:tcPr>
            <w:tcW w:w="786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9560" w:type="dxa"/>
            <w:vAlign w:val="bottom"/>
            <w:gridSpan w:val="24"/>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Principal Accounting Fees and Services</w:t>
              </w:r>
            </w:hyperlink>
          </w:p>
        </w:tc>
        <w:tc>
          <w:tcPr>
            <w:tcW w:w="412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PART IV</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Exhibits and Financial Statement Schedules</w:t>
              </w:r>
            </w:hyperlink>
          </w:p>
        </w:tc>
        <w:tc>
          <w:tcPr>
            <w:tcW w:w="64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Index to Financial Statements and Financial Statement Schedule Items 15(a)(1) and 15(a)(2)</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9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60" w:type="dxa"/>
            <w:vAlign w:val="bottom"/>
            <w:gridSpan w:val="21"/>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10480" w:type="dxa"/>
            <w:vAlign w:val="bottom"/>
            <w:gridSpan w:val="2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December 31, 2019 of all of the common membership interests in Lazard Group and its controlling interest in Lazard Group.</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34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more than 40 cities and 25 countries across key business and financial centers in North America, Europe, Asia, Australia, and Central and South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8" w:lineRule="exact"/>
        <w:rPr>
          <w:sz w:val="20"/>
          <w:szCs w:val="20"/>
          <w:color w:val="auto"/>
        </w:rPr>
      </w:pPr>
    </w:p>
    <w:p>
      <w:pPr>
        <w:ind w:right="360" w:firstLine="598"/>
        <w:spacing w:after="0" w:line="279"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7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78"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We earned $1 million or more from 288 clients, 287 clients and 304 clients for the years ended December 31, 2019, 2018 and 2017, respectively. For the years ended December 31, 2019, 2018 and 2017, the ten largest fee paying clients constituted approximately 17%, 19% and 22%, respectively, of our Financial Advisory segment net revenue, with no client individually contributing more than 10% of segment net revenue during any of these years.</w:t>
      </w:r>
    </w:p>
    <w:p>
      <w:pPr>
        <w:spacing w:after="0" w:line="14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(the “U.S.”), the United Kingdom (the “U.K.”) and France, including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right="360"/>
        <w:spacing w:after="0" w:line="308" w:lineRule="auto"/>
        <w:rPr>
          <w:sz w:val="20"/>
          <w:szCs w:val="20"/>
          <w:color w:val="auto"/>
        </w:rPr>
      </w:pPr>
      <w:r>
        <w:rPr>
          <w:rFonts w:ascii="Arial" w:cs="Arial" w:eastAsia="Arial" w:hAnsi="Arial"/>
          <w:sz w:val="17"/>
          <w:szCs w:val="17"/>
          <w:color w:val="auto"/>
        </w:rPr>
        <w:t>network of regional branch offices in the U.S., as well as a presence in Argentina, Australia, Belgium, Brazil, Canada, Chile, China, Colombia, Germany, Hong Kong, Italy, Japan, Mexico, the Netherlands, Panama, Singapore, Spain, Sweden, Switzerland and the Middle East region.</w:t>
      </w:r>
    </w:p>
    <w:p>
      <w:pPr>
        <w:spacing w:after="0" w:line="14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Services Offered</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When we advise clients that are contemplating the sale of certain businesses, assets or an entire company, our services include advising on the sale process for the situation, providing valuation analyses, assisting in preparing an information memorandum or other appropriate sale materials and rendering, if appropriate, fairness opinions. We also identify and contact selected qualified potential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73" w:lineRule="exact"/>
        <w:rPr>
          <w:sz w:val="20"/>
          <w:szCs w:val="20"/>
          <w:color w:val="auto"/>
        </w:rPr>
      </w:pPr>
    </w:p>
    <w:p>
      <w:pPr>
        <w:ind w:right="120" w:firstLine="598"/>
        <w:spacing w:after="0" w:line="270" w:lineRule="auto"/>
        <w:rPr>
          <w:sz w:val="20"/>
          <w:szCs w:val="20"/>
          <w:color w:val="auto"/>
        </w:rPr>
      </w:pPr>
      <w:r>
        <w:rPr>
          <w:rFonts w:ascii="Arial" w:cs="Arial" w:eastAsia="Arial" w:hAnsi="Arial"/>
          <w:sz w:val="17"/>
          <w:szCs w:val="17"/>
          <w:color w:val="auto"/>
        </w:rPr>
        <w:t>With respect to companies in financial distress, we provide services to the company, creditors or other interested parties, which services may include reviewing and analyzing the business, operations, properties, financial condition and prospects of the company, evaluating debt capacity, assisting in the determination of an appropriate capital structure, assisting in structuring and effecting the financial aspects of exchange offers, evaluating financial and strategic alternatives and assisting and participating in negotiations with affected entities or groups.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other consideration or other inducements to be offered or issued, as well as assisting and participating in negotiations with affected entities or groups.</w:t>
      </w:r>
    </w:p>
    <w:p>
      <w:pPr>
        <w:spacing w:after="0" w:line="18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When we assist clients in connection with shareholder advisory and corporate preparedness matters, our services may include reviewing and analyzing the business and financial condition of the company, providing insights on the company’s shareholders, assisting in the evaluation of corporate governance matters, and advising on defense measures and strategic alternatives potentially available to the company. Our advice may relate to a broad range of matters including M&amp;A, capital markets, corporate governance and data analytics.</w:t>
      </w:r>
    </w:p>
    <w:p>
      <w:pPr>
        <w:spacing w:after="0" w:line="18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70"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When we assist clients in raising private or public market financing or capital, our services include assisting clients in connection with securing, refinancing or restructuring bank loans or other debt, originating and executing, or participating in, public underwritings and private placements of securities, and originating and executing private placements of partnership and similar interests in alternative investment funds such as leveraged buyout, mezzanine or real estate focused funds.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left="600"/>
        <w:spacing w:after="0"/>
        <w:rPr>
          <w:sz w:val="20"/>
          <w:szCs w:val="20"/>
          <w:color w:val="auto"/>
        </w:rPr>
      </w:pPr>
      <w:r>
        <w:rPr>
          <w:rFonts w:ascii="Arial" w:cs="Arial" w:eastAsia="Arial" w:hAnsi="Arial"/>
          <w:sz w:val="16"/>
          <w:szCs w:val="16"/>
          <w:color w:val="auto"/>
        </w:rPr>
        <w:t>We are at the forefront of providing independent advice to governments and governmental agencies in connection with economic developments.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Lazard’s Sovereign Advisory Group has advised a number of countries and institutions with respect to sovereign debt and other financial matters.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Staffing</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staff each of our assignments with a team of quality professionals who have appropriate product, industry and geographic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shareholder advisory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2019, our Financial Advisory segment had 163 managing directors and 1,355 other professionals and support staff.</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Industries Served</w:t>
      </w:r>
    </w:p>
    <w:p>
      <w:pPr>
        <w:spacing w:after="0" w:line="117" w:lineRule="exact"/>
        <w:rPr>
          <w:sz w:val="20"/>
          <w:szCs w:val="20"/>
          <w:color w:val="auto"/>
        </w:rPr>
      </w:pPr>
    </w:p>
    <w:p>
      <w:pPr>
        <w:ind w:right="740" w:firstLine="598"/>
        <w:spacing w:after="0" w:line="342" w:lineRule="auto"/>
        <w:rPr>
          <w:sz w:val="20"/>
          <w:szCs w:val="20"/>
          <w:color w:val="auto"/>
        </w:rPr>
      </w:pPr>
      <w:r>
        <w:rPr>
          <w:rFonts w:ascii="Arial" w:cs="Arial" w:eastAsia="Arial" w:hAnsi="Arial"/>
          <w:sz w:val="16"/>
          <w:szCs w:val="16"/>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16"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In addition to our Mergers and Acquisitions and Restructuring practices, we also maintain specialties in the following distinct practice areas within our Financial Advisory business:</w:t>
      </w:r>
    </w:p>
    <w:p>
      <w:pPr>
        <w:spacing w:after="0" w:line="62" w:lineRule="exact"/>
        <w:rPr>
          <w:sz w:val="20"/>
          <w:szCs w:val="20"/>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shareholder and corporate preparedness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fund-raising for alternative investment funds; and</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280" w:firstLine="598"/>
        <w:spacing w:after="0" w:line="277"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investing in our intellectual capital through senior professionals who we believe have strong client relationships and industry expertise;</w:t>
      </w:r>
    </w:p>
    <w:p>
      <w:pPr>
        <w:spacing w:after="0" w:line="128" w:lineRule="exact"/>
        <w:rPr>
          <w:rFonts w:ascii="Arial" w:cs="Arial" w:eastAsia="Arial" w:hAnsi="Arial"/>
          <w:sz w:val="17"/>
          <w:szCs w:val="17"/>
          <w:color w:val="auto"/>
        </w:rPr>
      </w:pPr>
    </w:p>
    <w:p>
      <w:pPr>
        <w:ind w:left="1200" w:right="76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contacts with existing clients to further enhance our long-term relationships and our efforts in developing new client relationships;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Advisory, Shareholder Advisory and Sovereign Advisory groups;</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where opportunities arise;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in our technology infrastructure and data science capabilities to enhance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62"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independent, sophisticated financial advice;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recapitalization and related activities in developed and emerging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M&amp;A activity that may result from tax, regulatory and similar reform.</w:t>
      </w:r>
    </w:p>
    <w:p>
      <w:pPr>
        <w:spacing w:after="0" w:line="225"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Asset Management business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through the active management of their portfolios. Our investment teams construct and manage portfolios using various techniques and investment philosophies, including traditional fundamental research and analysis and quantitative tools.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40" w:firstLine="598"/>
        <w:spacing w:after="0" w:line="255" w:lineRule="auto"/>
        <w:rPr>
          <w:sz w:val="20"/>
          <w:szCs w:val="20"/>
          <w:color w:val="auto"/>
        </w:rPr>
      </w:pPr>
      <w:r>
        <w:rPr>
          <w:rFonts w:ascii="Arial" w:cs="Arial" w:eastAsia="Arial" w:hAnsi="Arial"/>
          <w:sz w:val="18"/>
          <w:szCs w:val="18"/>
          <w:color w:val="auto"/>
        </w:rPr>
        <w:t>Our top ten clients accounted for 28%, 26% and 25% of our total assets under management (“AUM”) for the years ended December 31, 2019, 2018 and 2017, respectively, with no client individually contributing more than 10% of our Asset Management segment net revenue during any of the respective years. Approximately 86% of our AUM as of December 31, 2019 was managed on behalf of institutional clients, including corporations, labor unions, public pension funds, insurance companies and banks, and through sub-advisory relationships, mutual fund sponsors, broker-dealers and registered advisors, and approximately 14% of our AUM was managed on behalf of individual client relationships, which are principally with family offices and high-net worth individuals.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charts below illustrate the mix of our AUM as of December 31, 2019,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152400</wp:posOffset>
            </wp:positionV>
            <wp:extent cx="4725035" cy="132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2503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Asset Management business maintains offices in New York, Amsterdam, Bordeaux, Boston, Brussels, Chicago, Dubai, Dublin, Frankfurt, Geneva, Hamburg, Hong Kong, London, Lyon, Madrid, Melbourne, Milan, Montreal, Nantes, Paris, San Francisco, Seoul, Singapore, Sydney, Tokyo, Toronto and Zurich. These operations, with 104 managing directors and 986 other professionals and support staff as of December 31, 2019, provide our Asset Management business with both a global presence and a local identity.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Investment Philosophy, Process and Research</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Our investment philosophy is generally based upon a fundamental security selection approach to investing. Across many of our products, we apply three key principles to investment portfolios:</w:t>
      </w:r>
    </w:p>
    <w:p>
      <w:pPr>
        <w:spacing w:after="0" w:line="62"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225" w:lineRule="exact"/>
        <w:rPr>
          <w:sz w:val="20"/>
          <w:szCs w:val="20"/>
          <w:color w:val="auto"/>
        </w:rPr>
      </w:pPr>
    </w:p>
    <w:p>
      <w:pPr>
        <w:ind w:right="1060" w:firstLine="598"/>
        <w:spacing w:after="0" w:line="277" w:lineRule="auto"/>
        <w:rPr>
          <w:sz w:val="20"/>
          <w:szCs w:val="20"/>
          <w:color w:val="auto"/>
        </w:rPr>
      </w:pPr>
      <w:r>
        <w:rPr>
          <w:rFonts w:ascii="Arial" w:cs="Arial" w:eastAsia="Arial" w:hAnsi="Arial"/>
          <w:sz w:val="18"/>
          <w:szCs w:val="18"/>
          <w:color w:val="auto"/>
        </w:rPr>
        <w:t>In searching for investment opportunities, many of our investment professionals follow an investment process that incorporates several interconnected components that may include:</w:t>
      </w:r>
    </w:p>
    <w:p>
      <w:pPr>
        <w:spacing w:after="0" w:line="62"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quantitative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 w:name="page8"/>
    <w:bookmarkEnd w:id="7"/>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social and governance factors.</w:t>
      </w:r>
    </w:p>
    <w:p>
      <w:pPr>
        <w:spacing w:after="0" w:line="225"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global industry sectors.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Our Asset Management business provides equity, fixed income, cash management and alternative investment strategies to our clients, paying close attention to our clients’ varying and expanding investment needs. We offer the following product platform of investment strategies: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Global</w:t>
            </w:r>
          </w:p>
        </w:tc>
        <w:tc>
          <w:tcPr>
            <w:tcW w:w="2400" w:type="dxa"/>
            <w:vAlign w:val="bottom"/>
            <w:gridSpan w:val="2"/>
          </w:tcPr>
          <w:p>
            <w:pPr>
              <w:ind w:left="660"/>
              <w:spacing w:after="0"/>
              <w:rPr>
                <w:sz w:val="20"/>
                <w:szCs w:val="20"/>
                <w:color w:val="auto"/>
              </w:rPr>
            </w:pPr>
            <w:r>
              <w:rPr>
                <w:rFonts w:ascii="Arial" w:cs="Arial" w:eastAsia="Arial" w:hAnsi="Arial"/>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89"/>
        </w:trPr>
        <w:tc>
          <w:tcPr>
            <w:tcW w:w="1920" w:type="dxa"/>
            <w:vAlign w:val="bottom"/>
            <w:vMerge w:val="continue"/>
          </w:tcPr>
          <w:p>
            <w:pPr>
              <w:spacing w:after="0"/>
              <w:rPr>
                <w:sz w:val="16"/>
                <w:szCs w:val="16"/>
                <w:color w:val="auto"/>
              </w:rPr>
            </w:pPr>
          </w:p>
        </w:tc>
        <w:tc>
          <w:tcPr>
            <w:tcW w:w="2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Large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Small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Thematic</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  Value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Quantitative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Listed Infrastructure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Multi-Asset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Other</w:t>
            </w:r>
          </w:p>
        </w:tc>
        <w:tc>
          <w:tcPr>
            <w:tcW w:w="2260" w:type="dxa"/>
            <w:vAlign w:val="bottom"/>
          </w:tcPr>
          <w:p>
            <w:pPr>
              <w:ind w:left="10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Multi-Asset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Managed Volatility</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(Small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Assets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Quantitative</w:t>
            </w:r>
          </w:p>
        </w:tc>
        <w:tc>
          <w:tcPr>
            <w:tcW w:w="2260" w:type="dxa"/>
            <w:vAlign w:val="bottom"/>
          </w:tcPr>
          <w:p>
            <w:pPr>
              <w:ind w:left="100"/>
              <w:spacing w:after="0"/>
              <w:rPr>
                <w:sz w:val="20"/>
                <w:szCs w:val="20"/>
                <w:color w:val="auto"/>
              </w:rPr>
            </w:pPr>
            <w:r>
              <w:rPr>
                <w:rFonts w:ascii="Arial" w:cs="Arial" w:eastAsia="Arial" w:hAnsi="Arial"/>
                <w:sz w:val="16"/>
                <w:szCs w:val="16"/>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Multi-Factor</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Sustainable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(Large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(Small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 Ex</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Ex-U.K.</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Ex-Japan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Eurozone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Ex-Australia</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Euro-Trend (Thematic)</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Ex-U.S.</w:t>
            </w:r>
          </w:p>
        </w:tc>
        <w:tc>
          <w:tcPr>
            <w:tcW w:w="2400" w:type="dxa"/>
            <w:vAlign w:val="bottom"/>
            <w:gridSpan w:val="2"/>
            <w:vMerge w:val="restart"/>
          </w:tcPr>
          <w:p>
            <w:pPr>
              <w:ind w:left="100"/>
              <w:spacing w:after="0"/>
              <w:rPr>
                <w:sz w:val="20"/>
                <w:szCs w:val="20"/>
                <w:color w:val="auto"/>
              </w:rPr>
            </w:pPr>
            <w:r>
              <w:rPr>
                <w:rFonts w:ascii="Arial" w:cs="Arial" w:eastAsia="Arial" w:hAnsi="Arial"/>
                <w:sz w:val="16"/>
                <w:szCs w:val="16"/>
                <w:b w:val="1"/>
                <w:bCs w:val="1"/>
                <w:i w:val="1"/>
                <w:iCs w:val="1"/>
                <w:color w:val="auto"/>
              </w:rPr>
              <w:t>Asian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Asia Ex-Japan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1920" w:type="dxa"/>
            <w:vAlign w:val="bottom"/>
          </w:tcPr>
          <w:p>
            <w:pPr>
              <w:spacing w:after="0"/>
              <w:rPr>
                <w:sz w:val="20"/>
                <w:szCs w:val="20"/>
                <w:color w:val="auto"/>
              </w:rPr>
            </w:pPr>
            <w:r>
              <w:rPr>
                <w:rFonts w:ascii="Arial" w:cs="Arial" w:eastAsia="Arial" w:hAnsi="Arial"/>
                <w:sz w:val="16"/>
                <w:szCs w:val="16"/>
                <w:b w:val="1"/>
                <w:bCs w:val="1"/>
                <w:color w:val="auto"/>
              </w:rPr>
              <w:t>Fixed Income and Cash</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7"/>
        </w:trPr>
        <w:tc>
          <w:tcPr>
            <w:tcW w:w="1920" w:type="dxa"/>
            <w:vAlign w:val="bottom"/>
          </w:tcPr>
          <w:p>
            <w:pPr>
              <w:spacing w:after="0"/>
              <w:rPr>
                <w:sz w:val="20"/>
                <w:szCs w:val="20"/>
                <w:color w:val="auto"/>
              </w:rPr>
            </w:pPr>
            <w:r>
              <w:rPr>
                <w:rFonts w:ascii="Arial" w:cs="Arial" w:eastAsia="Arial" w:hAnsi="Arial"/>
                <w:sz w:val="16"/>
                <w:szCs w:val="16"/>
                <w:b w:val="1"/>
                <w:bCs w:val="1"/>
                <w:color w:val="auto"/>
              </w:rPr>
              <w:t>Management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Core/Core Plus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Core/Core Plus</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Corporate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Duration Overlay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Scandinavian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Corporate Bonds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920" w:type="dxa"/>
            <w:vAlign w:val="bottom"/>
          </w:tcPr>
          <w:p>
            <w:pPr>
              <w:spacing w:after="0"/>
              <w:rPr>
                <w:sz w:val="20"/>
                <w:szCs w:val="20"/>
                <w:color w:val="auto"/>
              </w:rPr>
            </w:pPr>
            <w:r>
              <w:rPr>
                <w:rFonts w:ascii="Arial" w:cs="Arial" w:eastAsia="Arial" w:hAnsi="Arial"/>
                <w:sz w:val="16"/>
                <w:szCs w:val="16"/>
                <w:b w:val="1"/>
                <w:bCs w:val="1"/>
                <w:color w:val="auto"/>
              </w:rPr>
              <w:t>Alternative</w:t>
            </w: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Systematic (Long/Short)</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Income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Market Neutral</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Arbitrage/Relative Value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International</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Multi-Asset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Commodities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80" w:firstLine="598"/>
        <w:spacing w:after="0" w:line="312" w:lineRule="auto"/>
        <w:rPr>
          <w:sz w:val="20"/>
          <w:szCs w:val="20"/>
          <w:color w:val="auto"/>
        </w:rPr>
      </w:pPr>
      <w:r>
        <w:rPr>
          <w:rFonts w:ascii="Arial" w:cs="Arial" w:eastAsia="Arial" w:hAnsi="Arial"/>
          <w:sz w:val="16"/>
          <w:szCs w:val="16"/>
          <w:color w:val="auto"/>
        </w:rPr>
        <w:t>In addition to the primary investment strategies listed above, we also provide other asset management services to our clients, including asset allocation and other investment advisory services, as well as locally customized investment solutions. In many cases, we also offer both diversified and more concentrated versions of our products. These products are generally offered on a separate account basis, as well as through pooled vehicles.</w:t>
      </w:r>
    </w:p>
    <w:p>
      <w:pPr>
        <w:spacing w:after="0" w:line="147"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i w:val="1"/>
          <w:iCs w:val="1"/>
          <w:color w:val="auto"/>
        </w:rPr>
        <w:t xml:space="preserve">Distribution. </w:t>
      </w:r>
      <w:r>
        <w:rPr>
          <w:rFonts w:ascii="Arial" w:cs="Arial" w:eastAsia="Arial" w:hAnsi="Arial"/>
          <w:sz w:val="17"/>
          <w:szCs w:val="17"/>
          <w:color w:val="auto"/>
        </w:rPr>
        <w:t>We distribute our products through a broad array of marketing channels on a global basis. Marketing, sales and client service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are organized through a global market delivery and service network, with distribution professionals located in cities including New York, Amsterdam, Bordeaux, Boston, Brussels, Chicago, Dubai, Frankfurt, Geneva, Hamburg, Hong Kong, London, Lyon, Madrid, Melbourne, Milan, Montreal, Nantes, Paris,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7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also have become a leading firm in managing mutual funds, sub-advisory funds, and separately managed accounts for many of the world’s largest broker-dealers, insurance companies, registered advisors and other financial intermediaries.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73"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improved our investment management platform by adding a number of senior investment professionals (including portfolio managers and analysts);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117"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quantitative equity strategies, explainable AI capabilities, and an international value equity team;</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invested in our technology infrastructure and data science capabilities to enhance our business; and</w:t>
      </w:r>
    </w:p>
    <w:p>
      <w:pPr>
        <w:spacing w:after="0" w:line="117" w:lineRule="exact"/>
        <w:rPr>
          <w:rFonts w:ascii="Arial" w:cs="Arial" w:eastAsia="Arial" w:hAnsi="Arial"/>
          <w:sz w:val="18"/>
          <w:szCs w:val="18"/>
          <w:color w:val="auto"/>
        </w:rPr>
      </w:pPr>
    </w:p>
    <w:p>
      <w:pPr>
        <w:ind w:left="1200" w:right="72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Amsterdam and Melbourne.</w:t>
      </w:r>
    </w:p>
    <w:p>
      <w:pPr>
        <w:spacing w:after="0" w:line="17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 where opportunities arise.</w:t>
      </w:r>
    </w:p>
    <w:p>
      <w:pPr>
        <w:spacing w:after="0" w:line="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2019, Edgewater had approximately $1 billion of AUM and unfunded fee-earning commitments.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right="40" w:firstLine="598"/>
        <w:spacing w:after="0" w:line="276" w:lineRule="auto"/>
        <w:rPr>
          <w:sz w:val="20"/>
          <w:szCs w:val="20"/>
          <w:color w:val="auto"/>
        </w:rPr>
      </w:pPr>
      <w:r>
        <w:rPr>
          <w:rFonts w:ascii="Arial" w:cs="Arial" w:eastAsia="Arial" w:hAnsi="Arial"/>
          <w:sz w:val="17"/>
          <w:szCs w:val="17"/>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performance-based incentive fees for the sponsor of such funds.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20" w:firstLine="598"/>
        <w:spacing w:after="0" w:line="302" w:lineRule="auto"/>
        <w:rPr>
          <w:sz w:val="20"/>
          <w:szCs w:val="20"/>
          <w:color w:val="auto"/>
        </w:rPr>
      </w:pPr>
      <w:r>
        <w:rPr>
          <w:rFonts w:ascii="Arial" w:cs="Arial" w:eastAsia="Arial" w:hAnsi="Arial"/>
          <w:sz w:val="16"/>
          <w:szCs w:val="16"/>
          <w:color w:val="auto"/>
        </w:rPr>
        <w:t>We believe that our people are our most important asset. Their talent, integrity and engagement have shaped our success in the past and they are instrumental in our ability to achieve sustainable growth and deliver value for our shareholders in the future. We strive to create a culture that fosters excellence, collaboration, innovation, empowerment, inclusion, and engagement. We generally undertake an annual performance review process, which is instrumental to measuring individual performance, determining compensation and providing guidance on opportunities for career development.</w:t>
      </w:r>
    </w:p>
    <w:p>
      <w:pPr>
        <w:spacing w:after="0" w:line="46"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As of December 31, 2019, we employed 3,018 people, which included 163 managing directors and 1,355 other professionals and support staff in our Financial Advisory segment and 104 managing directors and 986 other professionals and support staff in our Asset Management segment.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private banks and other financial institutions. We compete with some of them globally and with others on a regional, product or niche basis. We compete on the basis of a number of factors, including industry and product expertise, innovative insights of our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7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While we believe our independent advisory perspective and global footprint offers a uniquely competitive position, many of our competitors are large, consolidated financial institutions that have the ability to offer a wider range of products, including loans, insurance, foreign exchange, hedging, research, brokerage and underwriting services, which may enhance their competitive position. They also may have the ability to support clients with other financial services in an effort to gain market share, which could result in pricing pressure in our business or loss of opportunities for us. At the same time, demand for independent financial advice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 In some circumstances, our competitors may offer financial products or services that we do not offer, such as low-cost passive investment vehicles. We compete based on the quality and breadth of our products and innovative solutions we offer, which is derived from our objectivity, differentiated insights, and fundamental research orientation.</w:t>
      </w:r>
    </w:p>
    <w:p>
      <w:pPr>
        <w:spacing w:after="0" w:line="182"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among other factors, on the level and nature of compensation and long-term incentives, workplace culture, and opportunities for professional and personal development for our employees. Our ability to continue to compete effectively in our businesses will depend upon our ability to attract new employees and retain and motivate our existing employees, in each case, at appropriate compensation levels.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left="600"/>
        <w:spacing w:after="0"/>
        <w:rPr>
          <w:sz w:val="20"/>
          <w:szCs w:val="20"/>
          <w:color w:val="auto"/>
        </w:rPr>
      </w:pPr>
      <w:r>
        <w:rPr>
          <w:rFonts w:ascii="Arial" w:cs="Arial" w:eastAsia="Arial" w:hAnsi="Arial"/>
          <w:sz w:val="17"/>
          <w:szCs w:val="17"/>
          <w:color w:val="auto"/>
        </w:rPr>
        <w:t>See Item 1A, “Risk Factors—The financial services industry, and all of the businesses in which we compete, are intensely competitive”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businesses, like the financial services industry generally, are subject to extensive regulation throughout the world. As a matter of public policy, regulatory bodies are generally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6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continually changing. The effect of any such changes cannot be predicted and may impact the manner of operation and profitability of our businesses.</w:t>
      </w:r>
    </w:p>
    <w:p>
      <w:pPr>
        <w:spacing w:after="0" w:line="158"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regulations regarding minimum capital retention requirements, record-keeping and reporting procedures, relationships with customers, experience and training requirements for certain employees, and business procedures with firms that are not members of certain regulatory bodies. Lazard Asset Management Securities LLC (“LAM Securities”), a subsidiary of Lazard Asset Management LLC (“LAM LLC”), is registered 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9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firstLine="598"/>
        <w:spacing w:after="0" w:line="259" w:lineRule="auto"/>
        <w:rPr>
          <w:sz w:val="20"/>
          <w:szCs w:val="20"/>
          <w:color w:val="auto"/>
        </w:rPr>
      </w:pPr>
      <w:r>
        <w:rPr>
          <w:rFonts w:ascii="Arial" w:cs="Arial" w:eastAsia="Arial" w:hAnsi="Arial"/>
          <w:sz w:val="18"/>
          <w:szCs w:val="18"/>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w:t>
      </w:r>
    </w:p>
    <w:p>
      <w:pPr>
        <w:spacing w:after="0" w:line="18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LLC serves as an investment advisor to several U.S.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LAM Securities serves as an underwriter or distributor for mutual funds and private funds managed by LAM LLC and its subsidiaries (collectively, “LAM”), and as an introducing broker to Pershing LLC for unmanaged accounts of certain of LAM LLC’s private clients.</w:t>
      </w:r>
    </w:p>
    <w:p>
      <w:pPr>
        <w:spacing w:after="0" w:line="16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Lazard Frères Gestion SAS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8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right="120" w:firstLine="598"/>
        <w:spacing w:after="0" w:line="273" w:lineRule="auto"/>
        <w:rPr>
          <w:sz w:val="20"/>
          <w:szCs w:val="20"/>
          <w:color w:val="auto"/>
        </w:rPr>
      </w:pPr>
      <w:r>
        <w:rPr>
          <w:rFonts w:ascii="Arial" w:cs="Arial" w:eastAsia="Arial" w:hAnsi="Arial"/>
          <w:sz w:val="17"/>
          <w:szCs w:val="17"/>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the Italian Companies and Stock Exchange Commission and the German Federal Financial Supervisory Authority, among others, regulate relevant operating subsidiaries of the Company and also have capital standards and other requirements broadly comparable to the rules of the SEC. Our business is also subject to regulation by other non-U.S. governmental and regulatory bodies and self-regulatory authorities in other countries in which we operate.</w:t>
      </w:r>
    </w:p>
    <w:p>
      <w:pPr>
        <w:spacing w:after="0" w:line="178" w:lineRule="exact"/>
        <w:rPr>
          <w:sz w:val="20"/>
          <w:szCs w:val="20"/>
          <w:color w:val="auto"/>
        </w:rPr>
      </w:pPr>
    </w:p>
    <w:p>
      <w:pPr>
        <w:jc w:val="both"/>
        <w:ind w:right="160" w:firstLine="598"/>
        <w:spacing w:after="0" w:line="342" w:lineRule="auto"/>
        <w:rPr>
          <w:sz w:val="20"/>
          <w:szCs w:val="20"/>
          <w:color w:val="auto"/>
        </w:rPr>
      </w:pPr>
      <w:r>
        <w:rPr>
          <w:rFonts w:ascii="Arial" w:cs="Arial" w:eastAsia="Arial" w:hAnsi="Arial"/>
          <w:sz w:val="16"/>
          <w:szCs w:val="16"/>
          <w:color w:val="auto"/>
        </w:rPr>
        <w:t>Regulators are empowered to conduct periodic examinations and initiate administrative proceedings that can result, among other things, in censure, fine, the issuance of cease-and-desist orders or the suspension or expulsion or other disciplining of a regulated entity or its directors, officers or employees.</w:t>
      </w:r>
    </w:p>
    <w:p>
      <w:pPr>
        <w:spacing w:after="0" w:line="124"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Similar rules and regulations exist in other jurisdictions in which we operate.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18, 2020, all of whom have been appointed by, and serve at the discretion of,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61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Jacobs has served as a Managing Director of Lazard since 1991 and had been a Deputy Chairman of Lazard from January 2002 until November 2009.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Jacobs also served as Chief Executive Officer of Lazard North America from January 2002 until November 2009. Mr. Jacobs initially joined Lazard in 1988.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Jacobs is a member of the Board of Trustees of the University of Chicago and the Brookings Institution.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 L. Russo, 45</w:t>
      </w:r>
    </w:p>
    <w:p>
      <w:pPr>
        <w:spacing w:after="0" w:line="12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Mr. Russo has served as Chief Financial Officer of Lazard Ltd and Lazard Group since October 2017. Mr. Russo has served as a Managing Director of Lazard since 2009, and, prior to becoming Chief Financial Officer, was Co-Head of Lazard’s Capital Markets and Capital Structure Advisory practice. Mr. Russo joined Lazard as a Director in 2007. Prior to joining Lazard, Mr. Russo worked for Goldman, Sachs &amp; Co. in the Investment Banking Division, and prior to that, for Barclays Capital. Mr. Russo began his career as an attorney at Milbank, Tweed, Hadley &amp; McCloy.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59</w:t>
      </w:r>
    </w:p>
    <w:p>
      <w:pPr>
        <w:spacing w:after="0" w:line="121"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 Mr. Bhutani is also a member of the Board of Directors of City Harvest.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57</w:t>
      </w:r>
    </w:p>
    <w:p>
      <w:pPr>
        <w:spacing w:after="0" w:line="121"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Mr. Hoffman has served as Chief Administrative Officer of Lazard Ltd and Lazard Group since July 2017 and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 and a member of the Board of Directors of Film at Lincoln Center.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Alexandra Soto, 50</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Ms. Soto </w:t>
      </w:r>
      <w:r>
        <w:rPr>
          <w:rFonts w:ascii="Arial" w:cs="Arial" w:eastAsia="Arial" w:hAnsi="Arial"/>
          <w:sz w:val="18"/>
          <w:szCs w:val="18"/>
          <w:color w:val="23283C"/>
        </w:rPr>
        <w:t>became Group Executive, Human Capital and Workplace Innovation, of Lazard Ltd and Lazard Group in June 2019. She became the Global</w:t>
      </w:r>
      <w:r>
        <w:rPr>
          <w:rFonts w:ascii="Arial" w:cs="Arial" w:eastAsia="Arial" w:hAnsi="Arial"/>
          <w:sz w:val="18"/>
          <w:szCs w:val="18"/>
          <w:color w:val="auto"/>
        </w:rPr>
        <w:t xml:space="preserve"> </w:t>
      </w:r>
      <w:r>
        <w:rPr>
          <w:rFonts w:ascii="Arial" w:cs="Arial" w:eastAsia="Arial" w:hAnsi="Arial"/>
          <w:sz w:val="18"/>
          <w:szCs w:val="18"/>
          <w:color w:val="23283C"/>
        </w:rPr>
        <w:t>Chief Operating Officer of Financial Advisory in July 2018 and has served as a Managing Director of Lazard since January 2001. Ms. Soto was previously Chief Operating Officer of Lazard Europe Financial Advisory from January 2006 to July 2018, and Chief Operating Officer of Lazard Paris Financial Advisory from October 2009 to August 2013. Prior to joining Lazard in June 1993, Ms. Soto worked for Morgan Stanley. She is a member of the Supervisory Board of Metro AG.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Alexander F. Stern, 53</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Mr. Stern became President of Lazard Ltd and Lazard Group in June 2019. Mr. Stern has served as a Managing Director of Lazard since January 2002, and prior to becoming President was Chief Executive Officer, Financial Advisory since April 2015, Chief Operating Officer of Lazard Ltd and Lazard Group since November 2008, and Global Head of Strategy since February 2006. Mr. Stern joined Lazard in 1994 and previously held various positions with Patricof &amp; Co. Ventures and IBM. Mr. Stern is the chairman of the Board of Directors of LUNGevity Foundation and a member of the Board of Overseers for the School of Engineering and Applied Sciences of the University of Pennsylvania.</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The Company’s SEC filings are available to the public from the SEC’s internet site at </w:t>
      </w:r>
      <w:r>
        <w:rPr>
          <w:rFonts w:ascii="Arial" w:cs="Arial" w:eastAsia="Arial" w:hAnsi="Arial"/>
          <w:sz w:val="18"/>
          <w:szCs w:val="18"/>
          <w:i w:val="1"/>
          <w:iCs w:val="1"/>
          <w:color w:val="auto"/>
        </w:rPr>
        <w:t>http://www.sec.gov.</w:t>
      </w:r>
    </w:p>
    <w:p>
      <w:pPr>
        <w:spacing w:after="0" w:line="170"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 xml:space="preserve">Our public website is </w:t>
      </w:r>
      <w:r>
        <w:rPr>
          <w:rFonts w:ascii="Arial" w:cs="Arial" w:eastAsia="Arial" w:hAnsi="Arial"/>
          <w:sz w:val="17"/>
          <w:szCs w:val="17"/>
          <w:i w:val="1"/>
          <w:iCs w:val="1"/>
          <w:color w:val="auto"/>
        </w:rPr>
        <w:t>http://www.lazard.com</w:t>
      </w:r>
      <w:r>
        <w:rPr>
          <w:rFonts w:ascii="Arial" w:cs="Arial" w:eastAsia="Arial" w:hAnsi="Arial"/>
          <w:sz w:val="17"/>
          <w:szCs w:val="17"/>
          <w:color w:val="auto"/>
        </w:rPr>
        <w:t xml:space="preserve"> and the investor relations section hosts our SEC filings</w:t>
      </w:r>
      <w:r>
        <w:rPr>
          <w:rFonts w:ascii="Arial" w:cs="Arial" w:eastAsia="Arial" w:hAnsi="Arial"/>
          <w:sz w:val="17"/>
          <w:szCs w:val="17"/>
          <w:i w:val="1"/>
          <w:iCs w:val="1"/>
          <w:color w:val="auto"/>
        </w:rPr>
        <w:t>.</w:t>
      </w:r>
      <w:r>
        <w:rPr>
          <w:rFonts w:ascii="Arial" w:cs="Arial" w:eastAsia="Arial" w:hAnsi="Arial"/>
          <w:sz w:val="17"/>
          <w:szCs w:val="17"/>
          <w:color w:val="auto"/>
        </w:rPr>
        <w:t xml:space="preserve"> We will make available free of charge, on or through the investor relations section of our website,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Nominating &amp; Governance Committee and Workplace and Culture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5" w:lineRule="exact"/>
        <w:rPr>
          <w:sz w:val="20"/>
          <w:szCs w:val="20"/>
          <w:color w:val="auto"/>
        </w:rPr>
      </w:pPr>
    </w:p>
    <w:p>
      <w:pPr>
        <w:ind w:firstLine="598"/>
        <w:spacing w:after="0" w:line="289"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54"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disruption or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58"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78"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8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79"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17" w:lineRule="exact"/>
        <w:rPr>
          <w:rFonts w:ascii="Arial" w:cs="Arial" w:eastAsia="Arial" w:hAnsi="Arial"/>
          <w:sz w:val="18"/>
          <w:szCs w:val="18"/>
          <w:color w:val="auto"/>
        </w:rPr>
      </w:pPr>
    </w:p>
    <w:p>
      <w:pPr>
        <w:ind w:left="1200" w:right="180" w:hanging="598"/>
        <w:spacing w:after="0" w:line="342"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AUM has declined from time to time during recent periods. For example, average AUM for the year ended December 31, 2019 was $234 billion, a decrease of 3% as compared to average AUM for the year ended December 31, 2018. 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293" w:lineRule="exact"/>
        <w:rPr>
          <w:sz w:val="20"/>
          <w:szCs w:val="20"/>
          <w:color w:val="auto"/>
        </w:rPr>
      </w:pPr>
    </w:p>
    <w:p>
      <w:pPr>
        <w:ind w:right="420" w:firstLine="598"/>
        <w:spacing w:after="0" w:line="282"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8"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80" w:firstLine="598"/>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the daily, monthly or quarterly average AUM. As a result, a reduction in AUM at the end of a day, month or quarter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of such fluctuations, it may be difficult for us to achieve steady revenue and earnings growth on a quarterly basis.</w:t>
      </w:r>
    </w:p>
    <w:p>
      <w:pPr>
        <w:spacing w:after="0" w:line="329" w:lineRule="exact"/>
        <w:rPr>
          <w:sz w:val="20"/>
          <w:szCs w:val="20"/>
          <w:color w:val="auto"/>
        </w:rPr>
      </w:pPr>
    </w:p>
    <w:p>
      <w:pPr>
        <w:ind w:right="140" w:firstLine="598"/>
        <w:spacing w:after="0" w:line="266" w:lineRule="auto"/>
        <w:rPr>
          <w:sz w:val="20"/>
          <w:szCs w:val="20"/>
          <w:color w:val="auto"/>
        </w:rPr>
      </w:pPr>
      <w:r>
        <w:rPr>
          <w:rFonts w:ascii="Arial" w:cs="Arial" w:eastAsia="Arial" w:hAnsi="Arial"/>
          <w:sz w:val="18"/>
          <w:szCs w:val="18"/>
          <w:b w:val="1"/>
          <w:bCs w:val="1"/>
          <w:color w:val="auto"/>
        </w:rPr>
        <w:t>Our ability to retain our managing directors and other key professional employees is critical to the success of our business, including maintaining compensation levels at an appropriate level, and failure to do so may materially adversely affect our results of operations and financial position.</w:t>
      </w:r>
    </w:p>
    <w:p>
      <w:pPr>
        <w:spacing w:after="0" w:line="72"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retirement or the pursuit of philanthropic, civic or similar service opportunities, or other individual reasons, some of which may be beyond our control. If managing directors and other key professional employees were to retire, join an existing competitor, form a competing company or otherwise leave us, we could need to replace them, and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83"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restricted stock awards, profits interest participation rights or other equity-based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jc w:val="both"/>
        <w:ind w:left="1200" w:right="24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our practices and products are newly established and relatively small.</w:t>
      </w:r>
    </w:p>
    <w:p>
      <w:pPr>
        <w:spacing w:after="0" w:line="225"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results of operations and financial condition.</w:t>
      </w:r>
    </w:p>
    <w:p>
      <w:pPr>
        <w:spacing w:after="0" w:line="275" w:lineRule="exact"/>
        <w:rPr>
          <w:sz w:val="20"/>
          <w:szCs w:val="20"/>
          <w:color w:val="auto"/>
        </w:rPr>
      </w:pPr>
    </w:p>
    <w:p>
      <w:pPr>
        <w:ind w:right="80" w:firstLine="598"/>
        <w:spacing w:after="0" w:line="266"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7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2019, Financial Advisory services accounted for approximately 53% of our consolidated net revenue. We expect that we will continue to rely on Financial Advisory fees for a substantial portion of our revenue for the foreseeable future, and a decline in our Financial Advisory engagements or the market for financial advisory services would adversely affect our business, financial condition and results of operations.</w:t>
      </w:r>
    </w:p>
    <w:p>
      <w:pPr>
        <w:spacing w:after="0" w:line="18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62"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5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left="600"/>
        <w:spacing w:after="0"/>
        <w:rPr>
          <w:sz w:val="20"/>
          <w:szCs w:val="20"/>
          <w:color w:val="auto"/>
        </w:rPr>
      </w:pPr>
      <w:r>
        <w:rPr>
          <w:rFonts w:ascii="Arial" w:cs="Arial" w:eastAsia="Arial" w:hAnsi="Arial"/>
          <w:sz w:val="18"/>
          <w:szCs w:val="18"/>
          <w:b w:val="1"/>
          <w:bCs w:val="1"/>
          <w:color w:val="auto"/>
        </w:rPr>
        <w:t>Potential underwriting activities may expose us to risk.</w:t>
      </w:r>
    </w:p>
    <w:p>
      <w:pPr>
        <w:spacing w:after="0" w:line="121"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We seek to manage the risks associated with underwriting activities through screening, internal review and diligence procedures and processes, but such efforts may not be effective in all cases.</w:t>
      </w:r>
    </w:p>
    <w:p>
      <w:pPr>
        <w:spacing w:after="0" w:line="283"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72"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challenging market environments or other difficulties, the underperformance of our investment style may result in significant client or asset departures or a reduction in AUM.</w:t>
      </w:r>
    </w:p>
    <w:p>
      <w:pPr>
        <w:spacing w:after="0" w:line="273" w:lineRule="exact"/>
        <w:rPr>
          <w:sz w:val="20"/>
          <w:szCs w:val="20"/>
          <w:color w:val="auto"/>
        </w:rPr>
      </w:pPr>
    </w:p>
    <w:p>
      <w:pPr>
        <w:ind w:right="800" w:firstLine="598"/>
        <w:spacing w:after="0" w:line="282"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62" w:lineRule="exact"/>
        <w:rPr>
          <w:sz w:val="20"/>
          <w:szCs w:val="20"/>
          <w:color w:val="auto"/>
        </w:rPr>
      </w:pPr>
    </w:p>
    <w:p>
      <w:pPr>
        <w:ind w:left="1200" w:right="3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62"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62" w:lineRule="exact"/>
        <w:rPr>
          <w:rFonts w:ascii="Arial" w:cs="Arial" w:eastAsia="Arial" w:hAnsi="Arial"/>
          <w:sz w:val="18"/>
          <w:szCs w:val="18"/>
          <w:color w:val="auto"/>
        </w:rPr>
      </w:pPr>
    </w:p>
    <w:p>
      <w:pPr>
        <w:ind w:left="1200" w:right="7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firms with which we have strategic alliances may terminate such relationships with us, and future strategic alliances may be unavailable.</w:t>
      </w:r>
    </w:p>
    <w:p>
      <w:pPr>
        <w:spacing w:after="0" w:line="23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Over certain time periods, we may have a higher concentration of assets in certain strategies. To the extent that this is the case, underperformance, changes in investment personnel or other changes in these strategies, as well as changes in a variety of macroeconomic and other factors, may result in a withdrawal of assets. If a significant amount of clients withdraw from these strategies for any reason, our revenues would decline and our operating results would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right="80" w:firstLine="598"/>
        <w:spacing w:after="0" w:line="282"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5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or to other investment management firms for a number of reasons, including investment performance relative to the market, prior years or other investment management firms, departures from or changes to the teams that manage our investment products, changes in prevailing interest rates and financial market performance, or for no stated reason. In addition, the ability to terminate relationships may allow clients to renegotiate for lower fees paid for asset management services.</w:t>
      </w:r>
    </w:p>
    <w:p>
      <w:pPr>
        <w:spacing w:after="0" w:line="193"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62" w:lineRule="exact"/>
        <w:rPr>
          <w:sz w:val="20"/>
          <w:szCs w:val="20"/>
          <w:color w:val="auto"/>
        </w:rPr>
      </w:pPr>
    </w:p>
    <w:p>
      <w:pPr>
        <w:ind w:right="240" w:firstLine="598"/>
        <w:spacing w:after="0" w:line="266" w:lineRule="auto"/>
        <w:rPr>
          <w:sz w:val="20"/>
          <w:szCs w:val="20"/>
          <w:color w:val="auto"/>
        </w:rPr>
      </w:pPr>
      <w:r>
        <w:rPr>
          <w:rFonts w:ascii="Arial" w:cs="Arial" w:eastAsia="Arial" w:hAnsi="Arial"/>
          <w:sz w:val="18"/>
          <w:szCs w:val="18"/>
          <w:b w:val="1"/>
          <w:bCs w:val="1"/>
          <w:color w:val="auto"/>
        </w:rPr>
        <w:t>Access to clients through intermediaries and consultants is important to our Asset Management business, and reductions in referrals from such intermediaries or consultants or poor reviews of our products or our organization by such intermediaries or consultants could materially reduce our revenue and impair our ability to attract new clients.</w:t>
      </w:r>
    </w:p>
    <w:p>
      <w:pPr>
        <w:spacing w:after="0" w:line="7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and consultants review and evaluate our products and our organization. Poor reviews or evaluations of either the particular product or of us may result in client withdrawals or an inability to attract new assets through such intermediaries or consultants.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right="100" w:firstLine="598"/>
        <w:spacing w:after="0" w:line="282"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2019, we received a portion of our consolidated net revenue in other currencies, predominantly in Euros, British Pounds and Australian Dollars. In addition, we pay a portion of our expenses in such other currencies. The exchange rates of these currencies versus the U.S. Dollar affect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65"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2019, AUM with foreign currency exposure represented approximately 67% of our total AUM.</w:t>
      </w:r>
    </w:p>
    <w:p>
      <w:pPr>
        <w:spacing w:after="0" w:line="165"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See Note 15 of Notes to Consolidated Financial Statements for additional information regarding the impact on stockholders’ equity from currency translation adjustments and Note 2 of Notes to Consolidated Financial Statements for additional information regarding the impact on operating results from currency transaction adjustments.</w:t>
      </w:r>
    </w:p>
    <w:p>
      <w:pPr>
        <w:spacing w:after="0" w:line="285" w:lineRule="exact"/>
        <w:rPr>
          <w:sz w:val="20"/>
          <w:szCs w:val="20"/>
          <w:color w:val="auto"/>
        </w:rPr>
      </w:pPr>
    </w:p>
    <w:p>
      <w:pPr>
        <w:ind w:right="120" w:firstLine="598"/>
        <w:spacing w:after="0" w:line="313" w:lineRule="auto"/>
        <w:rPr>
          <w:sz w:val="20"/>
          <w:szCs w:val="20"/>
          <w:color w:val="auto"/>
        </w:rPr>
      </w:pPr>
      <w:r>
        <w:rPr>
          <w:rFonts w:ascii="Arial" w:cs="Arial" w:eastAsia="Arial" w:hAnsi="Arial"/>
          <w:sz w:val="17"/>
          <w:szCs w:val="17"/>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34"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69"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Our revenue from our private equity business is derived in part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2" w:name="page23"/>
    <w:bookmarkEnd w:id="22"/>
    <w:p>
      <w:pPr>
        <w:ind w:right="60" w:firstLine="598"/>
        <w:spacing w:after="0" w:line="282"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regulated entity from registration or membership. The requirements imposed by our regulators are generally designed to ensure the integrity of the financial markets and to protect customers and other third parties who deal with us, and not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continually monitor and react to these changes.</w:t>
      </w:r>
    </w:p>
    <w:p>
      <w:pPr>
        <w:spacing w:after="0" w:line="192"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The U.S. and other governments and institutions have taken actions, and may in the future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financial condition and results of operations. While we continue to examine the requirements of new regulations that may become applicable to us in the U.S. and in the European Union (see “Business—Regulation”), and previously announced actual or potential regulations that may be modified, we are not able to predict the ultimate effect on us.</w:t>
      </w:r>
    </w:p>
    <w:p>
      <w:pPr>
        <w:spacing w:after="0" w:line="178"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many tax laws and regulations have been modified, or are otherwise under review, in the U.S. and in many other jurisdictions in which we and our clients operate. Actual and proposed changes to these laws and regulations may affect the level of M&amp;A activity, including cross-border M&amp;A activity.</w:t>
      </w:r>
    </w:p>
    <w:p>
      <w:pPr>
        <w:spacing w:after="0" w:line="154"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73"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client trades also pays for research and other eligible services that are used by investment advisors, is being reexamined by different regulatory bodies and industry participants. Although a substantial portion of the research relied on by our Asset Management business in its investment decision-making processes is generated internally by our investment personnel, external research, including external research and other eligible services traditionally paid for with soft dollars, is also important to the process. This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external research includes materials provided by broker-dealers and research firms, as well as eligible data and analytics services from various sources. In connection with the implementation of the EU Markets in Financial Instruments Directive II (“MiFID II”) in 2018, our Asset Management affiliates in France, Germany and the U.K. decided to pay for broker research services from their own resources. The ultimate impact of MiFID II and potential similar, future regulatory changes on our Asset Management business and on the financial industry as a whole remains uncertain, although it has reduced our ability to utilize commissions to pay for research services and other soft dollar services in certain European jurisdictions. Similar pressures may come from changes in the asset management industry itself, which may further increase our costs related to external research services. For the year ended December 31, 2019, our Asset Management business obtained research and other eligible services through third-party soft dollar arrangements, the total value of which we estimate to be approximately $25 million.</w:t>
      </w:r>
    </w:p>
    <w:p>
      <w:pPr>
        <w:spacing w:after="0" w:line="19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 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182"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“Business—Regulation” above for a further discussion of the regulatory environment in which we conduct our businesses.</w:t>
      </w:r>
    </w:p>
    <w:p>
      <w:pPr>
        <w:spacing w:after="0" w:line="329"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58"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increased.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or misrepresentations made in connection with securities and other transactions, including private placements.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20" w:firstLine="598"/>
        <w:spacing w:after="0" w:line="290" w:lineRule="auto"/>
        <w:rPr>
          <w:sz w:val="20"/>
          <w:szCs w:val="20"/>
          <w:color w:val="auto"/>
        </w:rPr>
      </w:pPr>
      <w:r>
        <w:rPr>
          <w:rFonts w:ascii="Arial" w:cs="Arial" w:eastAsia="Arial" w:hAnsi="Arial"/>
          <w:sz w:val="16"/>
          <w:szCs w:val="16"/>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which could have the effect of limiting our business opportunities.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 We may also face competition from time to time from other financial services firms that do not operate under similar policies, controls and procedures.</w:t>
      </w:r>
    </w:p>
    <w:p>
      <w:pPr>
        <w:spacing w:after="0" w:line="16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7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may incur significant legal expenses in defending ourselves against litigation or regulatory action.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5" w:lineRule="exact"/>
        <w:rPr>
          <w:sz w:val="20"/>
          <w:szCs w:val="20"/>
          <w:color w:val="auto"/>
        </w:rPr>
      </w:pPr>
    </w:p>
    <w:p>
      <w:pPr>
        <w:ind w:right="740" w:firstLine="598"/>
        <w:spacing w:after="0" w:line="282"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confidences of great significance to our clients or their counterparties, improper use of which may harm our clients or our relationships with our clients. Any breach of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7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condition and results of operations.</w:t>
      </w:r>
    </w:p>
    <w:p>
      <w:pPr>
        <w:spacing w:after="0" w:line="297" w:lineRule="exact"/>
        <w:rPr>
          <w:sz w:val="20"/>
          <w:szCs w:val="20"/>
          <w:color w:val="auto"/>
        </w:rPr>
      </w:pPr>
    </w:p>
    <w:p>
      <w:pPr>
        <w:ind w:right="80" w:firstLine="598"/>
        <w:spacing w:after="0" w:line="347" w:lineRule="auto"/>
        <w:rPr>
          <w:sz w:val="20"/>
          <w:szCs w:val="20"/>
          <w:color w:val="auto"/>
        </w:rPr>
      </w:pPr>
      <w:r>
        <w:rPr>
          <w:rFonts w:ascii="Arial" w:cs="Arial" w:eastAsia="Arial" w:hAnsi="Arial"/>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12"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involving our computer systems, hardware, software and networks, which we refer to as information systems,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t>involving the information systems of third parties with which we do business. Such information systems, which frequently include “cloud”-based networks and services, may be subject to unauthorized or fraudulent access, computer viruses or other malicious code or other threats, including “phishing” attempts, that are constantly evolving and that could have a security impact on us. There can be no assurance that we will not suffer material losses relating to cyber attacks on, or other security breaches involving, our information systems, or the information systems of third parties with which we do business,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Additionally, as geopolitical tensions rise, cyber retaliation between nation states can impact the business of those countries which could adversely affect our business. As cyber threats continue to multiply, become more sophisticated and threaten additional aspects of our businesses,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system modification or upgrade or a delay of any modification or upgrade, or otherwise, could materially adversely affect our business. Although back-up systems are in place, our back-up procedures and capabilities in the event of a failure or interruption may not be adequate.</w:t>
      </w:r>
    </w:p>
    <w:p>
      <w:pPr>
        <w:spacing w:after="0" w:line="171"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and any such system upgrades or expansions could result in significant costs to us. We may need to hire additional staff in order to continue to upgrade or expand the capabilities of our systems and failure to attract and retain staff with the proper skillset could disrupt or constrain our operations. Certain investment teams within our Asset Management business employ proprietary systems, including quantitative models, in connection with their investment processes. These systems and models are often designed and, with assistance from technology personnel, maintained by employees who are members of those investment teams. If any of the foregoing systems fail to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73"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and remote accessibility to our computer, telecommunications, transaction processing and other information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73"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6" w:name="page27"/>
    <w:bookmarkEnd w:id="26"/>
    <w:p>
      <w:pPr>
        <w:ind w:left="60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44"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and settlement risk may be exacerbated when the collateral held by us, if any, cannot be fully realized or is liquidated at prices not sufficient to recover the full amount of the loan or derivative exposure due to us.</w:t>
      </w:r>
    </w:p>
    <w:p>
      <w:pPr>
        <w:spacing w:after="0" w:line="292" w:lineRule="exact"/>
        <w:rPr>
          <w:sz w:val="20"/>
          <w:szCs w:val="20"/>
          <w:color w:val="auto"/>
        </w:rPr>
      </w:pPr>
    </w:p>
    <w:p>
      <w:pPr>
        <w:ind w:right="260" w:firstLine="598"/>
        <w:spacing w:after="0" w:line="282"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5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2019.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69" w:lineRule="exact"/>
        <w:rPr>
          <w:sz w:val="20"/>
          <w:szCs w:val="20"/>
          <w:color w:val="auto"/>
        </w:rPr>
      </w:pPr>
    </w:p>
    <w:p>
      <w:pPr>
        <w:ind w:right="180" w:firstLine="598"/>
        <w:spacing w:after="0" w:line="282" w:lineRule="auto"/>
        <w:rPr>
          <w:sz w:val="20"/>
          <w:szCs w:val="20"/>
          <w:color w:val="auto"/>
        </w:rPr>
      </w:pPr>
      <w:r>
        <w:rPr>
          <w:rFonts w:ascii="Arial" w:cs="Arial" w:eastAsia="Arial" w:hAnsi="Arial"/>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8"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4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7"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To the extent that we pursue business opportunities outside of the United States and our other principal business locations,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73"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In addition, our clients and other stakeholders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growth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7" w:name="page28"/>
    <w:bookmarkEnd w:id="27"/>
    <w:p>
      <w:pPr>
        <w:ind w:right="100" w:firstLine="598"/>
        <w:spacing w:after="0" w:line="282" w:lineRule="auto"/>
        <w:rPr>
          <w:sz w:val="20"/>
          <w:szCs w:val="20"/>
          <w:color w:val="auto"/>
        </w:rPr>
      </w:pPr>
      <w:r>
        <w:rPr>
          <w:rFonts w:ascii="Arial" w:cs="Arial" w:eastAsia="Arial" w:hAnsi="Arial"/>
          <w:sz w:val="18"/>
          <w:szCs w:val="18"/>
          <w:b w:val="1"/>
          <w:bCs w:val="1"/>
          <w:color w:val="auto"/>
        </w:rPr>
        <w:t>An inability to access the debt and equity capital markets as a result of our debt obligations, credit ratings or other factors could impair our liquidity, increase our borrowing costs or otherwise adversely affect our financial position or results of operations.</w:t>
      </w:r>
    </w:p>
    <w:p>
      <w:pPr>
        <w:spacing w:after="0" w:line="5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As of December 31, 2019, Lazard Group and its subsidiaries had approximately $1.7 billion in debt outstanding, of which $400 million, $300 million, $500 million and $500 million relate to Lazard Group senior notes that mature in 2025, 2027, 2028 and 2029,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for a variety of other possible reasons.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286" w:lineRule="exact"/>
        <w:rPr>
          <w:sz w:val="20"/>
          <w:szCs w:val="20"/>
          <w:color w:val="auto"/>
        </w:rPr>
      </w:pPr>
    </w:p>
    <w:p>
      <w:pPr>
        <w:ind w:right="320" w:firstLine="598"/>
        <w:spacing w:after="0" w:line="282"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Lazard Ltd is a holding company and has no independent means of generating significant revenue. We control Lazard Group through our indirect control of both of the managing members of Lazard Group. Our subsidiaries incur income taxes on the net taxable income of Lazard Group in their respective tax jurisdictions. We intend to continue to cause Lazard Group to make distributions to our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269" w:lineRule="exact"/>
        <w:rPr>
          <w:sz w:val="20"/>
          <w:szCs w:val="20"/>
          <w:color w:val="auto"/>
        </w:rPr>
      </w:pPr>
    </w:p>
    <w:p>
      <w:pPr>
        <w:ind w:right="160" w:firstLine="598"/>
        <w:spacing w:after="0" w:line="282"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8" w:lineRule="exact"/>
        <w:rPr>
          <w:sz w:val="20"/>
          <w:szCs w:val="20"/>
          <w:color w:val="auto"/>
        </w:rPr>
      </w:pPr>
    </w:p>
    <w:p>
      <w:pPr>
        <w:ind w:right="100" w:firstLine="598"/>
        <w:spacing w:after="0" w:line="253" w:lineRule="auto"/>
        <w:rPr>
          <w:sz w:val="20"/>
          <w:szCs w:val="20"/>
          <w:color w:val="auto"/>
        </w:rPr>
      </w:pPr>
      <w:r>
        <w:rPr>
          <w:rFonts w:ascii="Arial" w:cs="Arial" w:eastAsia="Arial" w:hAnsi="Arial"/>
          <w:sz w:val="18"/>
          <w:szCs w:val="18"/>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and the group of entities that constitute Lazard Group’s subsidiaries may change over time.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including regulatory capital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301" w:lineRule="exact"/>
        <w:rPr>
          <w:sz w:val="20"/>
          <w:szCs w:val="20"/>
          <w:color w:val="auto"/>
        </w:rPr>
      </w:pPr>
    </w:p>
    <w:p>
      <w:pPr>
        <w:ind w:right="200" w:firstLine="598"/>
        <w:spacing w:after="0" w:line="313"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34"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and current judicial and administrative interpretations of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Those income tax laws, regulations and treaties, and the administrative and judicial interpretations of them, are subject to change at any time, and any such change may be retroactive.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ind w:right="120" w:firstLine="598"/>
        <w:spacing w:after="0" w:line="279"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w:t>
      </w:r>
    </w:p>
    <w:p>
      <w:pPr>
        <w:spacing w:after="0" w:line="17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international tax provisions of the Tax Act are complex and the ultimate impact on us of the international provisions, such as the base erosion and anti-abuse tax (“BEAT”), the tax on global intangible low-taxed income (“GILTI”) and the other provisions of the Tax Act is uncertain. The U.S. Internal Revenue Service (“IRS”) issued final and proposed regulations in 2019 that affect how BEAT, GILTI and certain other international provisions of the Tax Act are interpreted. These regulations are complex and are subject to varying interpretations and change that could adversely affect us. In addition, if we were to convert into a U.S. corporation, we could be subject to additional U.S. taxes, and future payments required under our tax receivable agreement could be accelerated, both of which could reduce the amount of our cash available for distribution or reinvestment.</w:t>
      </w:r>
    </w:p>
    <w:p>
      <w:pPr>
        <w:spacing w:after="0" w:line="178"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In addition, 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5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Multiple levels of government, foreign legislatures and international organizations, such as the Organization for Economic Co-operation and Development (“OECD”) and the European Union, are increasingly focused on tax reform and have proposed and implemented tax legislation and regulations that could affect the taxation of multinational companies. For example, the enactment of all or part of the recommendations set forth or that may be introduced in the OECD project on Base Erosion and Profit Shifting by tax authorities in the countries in which we operate could unfavorably impact our overall tax rate. In addition, the Economic Substance Act came into effect in Bermuda on January 1, 2019. This new law requires companies registered in Bermuda carrying on one or more “relevant activities” to maintain a substantial economic presence in Bermuda and to satisfy economic substance requirements. The list of “relevant activities” includes carrying on as a business any one or more of: banking, insurance, fund management, financing, leasing, headquarters, shipping, distribution and service center, intellectual property and holding entities. At present, it is unclear which additional measures, if any, we would be required to take in order to satisfy the relevant requirements in Bermuda. Any implementation of, or changes to, any such laws, regulations and treaties that impact us could materially adversely affect our business, financial condition or results of operations.</w:t>
      </w:r>
    </w:p>
    <w:p>
      <w:pPr>
        <w:spacing w:after="0" w:line="282" w:lineRule="exact"/>
        <w:rPr>
          <w:sz w:val="20"/>
          <w:szCs w:val="20"/>
          <w:color w:val="auto"/>
        </w:rPr>
      </w:pPr>
    </w:p>
    <w:p>
      <w:pPr>
        <w:ind w:right="80" w:firstLine="598"/>
        <w:spacing w:after="0" w:line="282"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5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under the tax receivable agreement described below.</w:t>
      </w:r>
    </w:p>
    <w:p>
      <w:pPr>
        <w:spacing w:after="0" w:line="15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addition, there are additional transfer pricing and standardized country by country reporting requirements being implemented. Additional information from country by country reporting, certain local information sharing arrangements, and other documentation held by tax authorities is expected to be subject to greater information sharing arrangements and any challenges from tax authorities reviewing such information could adversely impact our overall tax obligations or our business,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120" w:firstLine="598"/>
        <w:spacing w:after="0" w:line="282" w:lineRule="auto"/>
        <w:rPr>
          <w:sz w:val="20"/>
          <w:szCs w:val="20"/>
          <w:color w:val="auto"/>
        </w:rPr>
      </w:pPr>
      <w:r>
        <w:rPr>
          <w:rFonts w:ascii="Arial" w:cs="Arial" w:eastAsia="Arial" w:hAnsi="Arial"/>
          <w:sz w:val="18"/>
          <w:szCs w:val="18"/>
          <w:b w:val="1"/>
          <w:bCs w:val="1"/>
          <w:color w:val="auto"/>
        </w:rPr>
        <w:t>Uncertainty regarding the outcome of future arrangements between the European Union and the United Kingdom may adversely affect our business.</w:t>
      </w:r>
    </w:p>
    <w:p>
      <w:pPr>
        <w:spacing w:after="0" w:line="58"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 xml:space="preserve">The Company has a significant presence in many European Union countries, including the United Kingdom. The U.K. left the European Union on January 31, 2020. The Withdrawal Agreement between the U.K. Government and the European Union </w:t>
      </w:r>
      <w:r>
        <w:rPr>
          <w:rFonts w:ascii="Arial" w:cs="Arial" w:eastAsia="Arial" w:hAnsi="Arial"/>
          <w:sz w:val="16"/>
          <w:szCs w:val="16"/>
          <w:color w:val="222222"/>
        </w:rPr>
        <w:t>includes transitional arrangements that apply following</w:t>
      </w:r>
      <w:r>
        <w:rPr>
          <w:rFonts w:ascii="Arial" w:cs="Arial" w:eastAsia="Arial" w:hAnsi="Arial"/>
          <w:sz w:val="16"/>
          <w:szCs w:val="16"/>
          <w:color w:val="auto"/>
        </w:rPr>
        <w:t xml:space="preserve"> </w:t>
      </w:r>
      <w:r>
        <w:rPr>
          <w:rFonts w:ascii="Arial" w:cs="Arial" w:eastAsia="Arial" w:hAnsi="Arial"/>
          <w:sz w:val="16"/>
          <w:szCs w:val="16"/>
          <w:color w:val="222222"/>
        </w:rPr>
        <w:t xml:space="preserve">the U.K.’s departure until December 31, 2020. A Political Declaration setting out the Framework for the Future Relationship between the European Union and the United Kingdom has also been signed between the U.K. and European Union which keeps open a range of options after the expiration of the transition period, including continuing U.K. participation in the European Union single market and customs union, although the U.K. Government has stated that the U.K. must leave the single market and customs union. The Withdrawal Agreement rules out any extension of the transition period beyond December 31, 2020, creating the risk that if no trade deal between the U.K. and the European Union has been agreed by that date, the U.K could face the prospect of tariffs on exports to the European Union. After expiration of the transition period, the commercial, regulatory and legal environment that would exist, and to which the Company’s U.K. operations would be subject, will be impacted by whether or not a trade deal has been agreed and the nature of the arrangements that are set out in any trade deal. </w:t>
      </w:r>
      <w:r>
        <w:rPr>
          <w:rFonts w:ascii="Arial" w:cs="Arial" w:eastAsia="Arial" w:hAnsi="Arial"/>
          <w:sz w:val="16"/>
          <w:szCs w:val="16"/>
          <w:color w:val="000000"/>
        </w:rPr>
        <w:t>The details of these arrangements are hard to predict, and uncertainty regarding their outcome may continue. The Company currently</w:t>
      </w:r>
      <w:r>
        <w:rPr>
          <w:rFonts w:ascii="Arial" w:cs="Arial" w:eastAsia="Arial" w:hAnsi="Arial"/>
          <w:sz w:val="16"/>
          <w:szCs w:val="16"/>
          <w:color w:val="222222"/>
        </w:rPr>
        <w:t xml:space="preserve"> </w:t>
      </w:r>
      <w:r>
        <w:rPr>
          <w:rFonts w:ascii="Arial" w:cs="Arial" w:eastAsia="Arial" w:hAnsi="Arial"/>
          <w:sz w:val="16"/>
          <w:szCs w:val="16"/>
          <w:color w:val="000000"/>
        </w:rPr>
        <w:t>does not believe that any of the potential arrangements that are likely to be agreed will have a material adverse impact on the Company’s business. These potential arrangements may, however, result in certain changes in the way that we conduct our businesses, which could result in increased costs. In addition, the fact that the U.K. left the European Union and the uncertainty it has produced has impacted, and may continue to impact, geopolitical perspectives and macroeconomic factors including interest rates, foreign currency exchange rates and equity markets, and it has increased volatility in certain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above.</w:t>
      </w:r>
    </w:p>
    <w:p>
      <w:pPr>
        <w:spacing w:after="0" w:line="277" w:lineRule="exact"/>
        <w:rPr>
          <w:sz w:val="20"/>
          <w:szCs w:val="20"/>
          <w:color w:val="auto"/>
        </w:rPr>
      </w:pPr>
    </w:p>
    <w:p>
      <w:pPr>
        <w:jc w:val="both"/>
        <w:ind w:right="200" w:firstLine="598"/>
        <w:spacing w:after="0" w:line="289" w:lineRule="auto"/>
        <w:rPr>
          <w:sz w:val="20"/>
          <w:szCs w:val="20"/>
          <w:color w:val="auto"/>
        </w:rPr>
      </w:pPr>
      <w:r>
        <w:rPr>
          <w:rFonts w:ascii="Arial" w:cs="Arial" w:eastAsia="Arial" w:hAnsi="Arial"/>
          <w:sz w:val="17"/>
          <w:szCs w:val="17"/>
          <w:b w:val="1"/>
          <w:bCs w:val="1"/>
          <w:color w:val="auto"/>
        </w:rPr>
        <w:t>Our subsidiaries may be required to make payments under the Amended and Restated Tax Receivable Agreement. The IRS may challenge the tax benefits that give rise to such payments and, under certain circumstances, our subsidiaries may have made or could make payments under the Amended and Restated Tax Receivable Agreement in excess of our subsidiaries’ cash tax savings.</w:t>
      </w:r>
    </w:p>
    <w:p>
      <w:pPr>
        <w:spacing w:after="0" w:line="54"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As further discussed in “Management’s Discussion and Analysis of Financial Condition and Results of Operations—Critical Accounting Policies and Estimates—Income Taxes” and Note 21 of Notes to Consolidated Financial Statements, the Second Amended and Restated Tax Receivable Agreement, dated as of October 26, 2015 (the “Amended and Restated Tax Receivable Agreement”), between Lazard and LTBP Trust, a Delaware statutory trust (the “Trust”), provides for the payment by our subsidiaries to the Trust of a significant portion of the cash savings, if any, in U.S. federal, state and local income tax or franchise tax that we actually realize as a result of certain tax benefits that are subject to the Amended and Restated Tax Receivable Agreement. Any amount paid by our subsidiaries to the Trust will generally be distributed to the owners of the Trust, including certain of our executive officers, in proportion to their beneficial interests in the Trust. If the IRS successfully challenges the tax benefits described above, under certain circumstances, our subsidiaries may have made or could make payments under the Amended and Restated Tax Receivable Agreement in excess of our subsidiaries’ cash tax savings.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59" w:lineRule="exact"/>
        <w:rPr>
          <w:sz w:val="20"/>
          <w:szCs w:val="20"/>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1" w:name="page32"/>
    <w:bookmarkEnd w:id="31"/>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200" w:right="520" w:hanging="598"/>
        <w:spacing w:after="0" w:line="308"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 xml:space="preserve">http://www.lazard.com. </w:t>
      </w:r>
      <w:r>
        <w:rPr>
          <w:rFonts w:ascii="Arial" w:cs="Arial" w:eastAsia="Arial" w:hAnsi="Arial"/>
          <w:sz w:val="18"/>
          <w:szCs w:val="18"/>
          <w:color w:val="auto"/>
        </w:rPr>
        <w:t>Our websites and social media sites and the information contained therein or connected thereto shall not be deemed to be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Form 10-K.</w:t>
      </w:r>
    </w:p>
    <w:p>
      <w:pPr>
        <w:spacing w:after="0" w:line="29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2019 relating to our periodic or current reports under the Exchange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Lazard has offices located around the world. The following table lists the principal properties used for the Lazard organization as of December 31, 2019. As a general matter, one or both of our Financial Advisory and Asset Management segments (as well as our Corporate segment) uses the following properties. Our London office subleases 71,207 square feet to third parties. We remain fully liable for the subleased space to the extent that the subtenants fail to perform their obligations under the subleases for any reason.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Square Footage</w:t>
            </w:r>
          </w:p>
        </w:tc>
        <w:tc>
          <w:tcPr>
            <w:tcW w:w="210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Arial" w:cs="Arial" w:eastAsia="Arial" w:hAnsi="Arial"/>
                <w:sz w:val="14"/>
                <w:szCs w:val="14"/>
                <w:b w:val="1"/>
                <w:bCs w:val="1"/>
                <w:color w:val="auto"/>
              </w:rPr>
              <w:t>Offices</w:t>
            </w:r>
          </w:p>
        </w:tc>
      </w:tr>
      <w:tr>
        <w:trPr>
          <w:trHeight w:val="209"/>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York City</w:t>
            </w: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438,870 square feet of</w:t>
            </w:r>
          </w:p>
        </w:tc>
        <w:tc>
          <w:tcPr>
            <w:tcW w:w="160" w:type="dxa"/>
            <w:vAlign w:val="bottom"/>
            <w:tcBorders>
              <w:top w:val="single" w:sz="8" w:color="CFF0FC"/>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Principal office located at 30</w:t>
            </w:r>
          </w:p>
        </w:tc>
        <w:tc>
          <w:tcPr>
            <w:tcW w:w="2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Rockefeller Plaza</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210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Paris</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269,333 square feet of</w:t>
            </w:r>
          </w:p>
        </w:tc>
        <w:tc>
          <w:tcPr>
            <w:tcW w:w="5080" w:type="dxa"/>
            <w:vAlign w:val="bottom"/>
            <w:gridSpan w:val="2"/>
          </w:tcPr>
          <w:p>
            <w:pPr>
              <w:spacing w:after="0"/>
              <w:rPr>
                <w:sz w:val="20"/>
                <w:szCs w:val="20"/>
                <w:color w:val="auto"/>
              </w:rPr>
            </w:pPr>
            <w:r>
              <w:rPr>
                <w:rFonts w:ascii="Arial" w:cs="Arial" w:eastAsia="Arial" w:hAnsi="Arial"/>
                <w:sz w:val="18"/>
                <w:szCs w:val="18"/>
                <w:color w:val="auto"/>
                <w:w w:val="92"/>
              </w:rPr>
              <w:t>Principal offices located at 121 Boulevard Haussmann and 25 rue de</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owned and leased space</w:t>
            </w:r>
          </w:p>
        </w:tc>
        <w:tc>
          <w:tcPr>
            <w:tcW w:w="2100" w:type="dxa"/>
            <w:vAlign w:val="bottom"/>
          </w:tcPr>
          <w:p>
            <w:pPr>
              <w:spacing w:after="0"/>
              <w:rPr>
                <w:sz w:val="20"/>
                <w:szCs w:val="20"/>
                <w:color w:val="auto"/>
              </w:rPr>
            </w:pPr>
            <w:r>
              <w:rPr>
                <w:rFonts w:ascii="Arial" w:cs="Arial" w:eastAsia="Arial" w:hAnsi="Arial"/>
                <w:sz w:val="18"/>
                <w:szCs w:val="18"/>
                <w:color w:val="auto"/>
              </w:rPr>
              <w:t>Courcelles</w:t>
            </w:r>
          </w:p>
        </w:tc>
        <w:tc>
          <w:tcPr>
            <w:tcW w:w="298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London</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144,548 square feet of</w:t>
            </w: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w w:val="92"/>
              </w:rPr>
              <w:t>Principal office located at 50</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Stratton Street</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2100" w:type="dxa"/>
            <w:vAlign w:val="bottom"/>
            <w:shd w:val="clear" w:color="auto" w:fill="CFF0FC"/>
          </w:tcPr>
          <w:p>
            <w:pPr>
              <w:spacing w:after="0"/>
              <w:rPr>
                <w:sz w:val="20"/>
                <w:szCs w:val="20"/>
                <w:color w:val="auto"/>
              </w:rPr>
            </w:pPr>
          </w:p>
        </w:tc>
        <w:tc>
          <w:tcPr>
            <w:tcW w:w="2980" w:type="dxa"/>
            <w:vAlign w:val="bottom"/>
            <w:shd w:val="clear" w:color="auto" w:fill="CFF0FC"/>
          </w:tcPr>
          <w:p>
            <w:pPr>
              <w:spacing w:after="0"/>
              <w:rPr>
                <w:sz w:val="20"/>
                <w:szCs w:val="20"/>
                <w:color w:val="auto"/>
              </w:rPr>
            </w:pPr>
          </w:p>
        </w:tc>
      </w:tr>
    </w:tbl>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an annual basis. Accordingly, the results of any pending matter or matters could be significant when compared to the Company’s earnings in any particular fiscal year.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Class A common stock is traded on The New York Stock Exchange under the symbol “LAZ.”</w:t>
      </w:r>
    </w:p>
    <w:p>
      <w:pPr>
        <w:spacing w:after="0" w:line="225" w:lineRule="exact"/>
        <w:rPr>
          <w:sz w:val="20"/>
          <w:szCs w:val="20"/>
          <w:color w:val="auto"/>
        </w:rPr>
      </w:pPr>
    </w:p>
    <w:p>
      <w:pPr>
        <w:ind w:right="840" w:firstLine="598"/>
        <w:spacing w:after="0" w:line="277" w:lineRule="auto"/>
        <w:rPr>
          <w:sz w:val="20"/>
          <w:szCs w:val="20"/>
          <w:color w:val="auto"/>
        </w:rPr>
      </w:pPr>
      <w:r>
        <w:rPr>
          <w:rFonts w:ascii="Arial" w:cs="Arial" w:eastAsia="Arial" w:hAnsi="Arial"/>
          <w:sz w:val="18"/>
          <w:szCs w:val="18"/>
          <w:color w:val="auto"/>
        </w:rPr>
        <w:t>As of January 31, 2020, there were approximately 23 holders of record of our Class A common stock. This does not include the number of shareholders that hold shares in “street-name” through banks or broker-dealers.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January 31, 2020, the last reported sales price for our Class A common stock on the New York Stock Exchange was $41.96 per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2019</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fourth quarter of 2019.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9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Publicly</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Plans or</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per Share</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Programs</w:t>
            </w:r>
          </w:p>
        </w:tc>
        <w:tc>
          <w:tcPr>
            <w:tcW w:w="160" w:type="dxa"/>
            <w:vAlign w:val="bottom"/>
          </w:tcPr>
          <w:p>
            <w:pPr>
              <w:spacing w:after="0"/>
              <w:rPr>
                <w:sz w:val="14"/>
                <w:szCs w:val="14"/>
                <w:color w:val="auto"/>
              </w:rPr>
            </w:pPr>
          </w:p>
        </w:tc>
        <w:tc>
          <w:tcPr>
            <w:tcW w:w="14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October 1 – October 31, 2019</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tcPr>
          <w:p>
            <w:pPr>
              <w:jc w:val="right"/>
              <w:spacing w:after="0"/>
              <w:rPr>
                <w:sz w:val="20"/>
                <w:szCs w:val="20"/>
                <w:color w:val="auto"/>
              </w:rPr>
            </w:pPr>
            <w:r>
              <w:rPr>
                <w:rFonts w:ascii="Arial" w:cs="Arial" w:eastAsia="Arial" w:hAnsi="Arial"/>
                <w:sz w:val="18"/>
                <w:szCs w:val="18"/>
                <w:color w:val="auto"/>
              </w:rPr>
              <w:t>800,000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35.89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800,000</w:t>
            </w:r>
          </w:p>
        </w:tc>
        <w:tc>
          <w:tcPr>
            <w:tcW w:w="3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436.5</w:t>
            </w:r>
          </w:p>
        </w:tc>
        <w:tc>
          <w:tcPr>
            <w:tcW w:w="600" w:type="dxa"/>
            <w:vAlign w:val="bottom"/>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13,310</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34.69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November 1 – November 30, 2019</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539,996</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539,996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416.0</w:t>
            </w:r>
          </w:p>
        </w:tc>
        <w:tc>
          <w:tcPr>
            <w:tcW w:w="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tcPr>
          <w:p>
            <w:pPr>
              <w:jc w:val="right"/>
              <w:spacing w:after="0"/>
              <w:rPr>
                <w:sz w:val="20"/>
                <w:szCs w:val="20"/>
                <w:color w:val="auto"/>
              </w:rPr>
            </w:pPr>
            <w:r>
              <w:rPr>
                <w:rFonts w:ascii="Arial" w:cs="Arial" w:eastAsia="Arial" w:hAnsi="Arial"/>
                <w:sz w:val="18"/>
                <w:szCs w:val="18"/>
                <w:color w:val="auto"/>
              </w:rPr>
              <w:t>3,089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36.72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December 1 – December 31, 2019</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tcPr>
          <w:p>
            <w:pPr>
              <w:jc w:val="right"/>
              <w:spacing w:after="0"/>
              <w:rPr>
                <w:sz w:val="20"/>
                <w:szCs w:val="20"/>
                <w:color w:val="auto"/>
              </w:rPr>
            </w:pPr>
            <w:r>
              <w:rPr>
                <w:rFonts w:ascii="Arial" w:cs="Arial" w:eastAsia="Arial" w:hAnsi="Arial"/>
                <w:sz w:val="18"/>
                <w:szCs w:val="18"/>
                <w:color w:val="auto"/>
              </w:rPr>
              <w:t>387,500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39.10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387,500</w:t>
            </w:r>
          </w:p>
        </w:tc>
        <w:tc>
          <w:tcPr>
            <w:tcW w:w="3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400.8</w:t>
            </w:r>
          </w:p>
        </w:tc>
        <w:tc>
          <w:tcPr>
            <w:tcW w:w="600" w:type="dxa"/>
            <w:vAlign w:val="bottom"/>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62,873</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38.63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1,727,496</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37.28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1,727,496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400.8</w:t>
            </w:r>
          </w:p>
        </w:tc>
        <w:tc>
          <w:tcPr>
            <w:tcW w:w="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tcPr>
          <w:p>
            <w:pPr>
              <w:jc w:val="right"/>
              <w:spacing w:after="0"/>
              <w:rPr>
                <w:sz w:val="20"/>
                <w:szCs w:val="20"/>
                <w:color w:val="auto"/>
              </w:rPr>
            </w:pPr>
            <w:r>
              <w:rPr>
                <w:rFonts w:ascii="Arial" w:cs="Arial" w:eastAsia="Arial" w:hAnsi="Arial"/>
                <w:sz w:val="18"/>
                <w:szCs w:val="18"/>
                <w:color w:val="auto"/>
              </w:rPr>
              <w:t>79,272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37.89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ind w:left="600" w:right="200" w:hanging="59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year ended December 31, 2019 and since 2017, the Board of Directors of Lazard authorized the repurchase of Class A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Repurchase</w:t>
            </w:r>
          </w:p>
        </w:tc>
        <w:tc>
          <w:tcPr>
            <w:tcW w:w="27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Expiration</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Authorization</w:t>
            </w:r>
          </w:p>
        </w:tc>
        <w:tc>
          <w:tcPr>
            <w:tcW w:w="27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700" w:type="dxa"/>
            <w:vAlign w:val="bottom"/>
            <w:tcBorders>
              <w:top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October 2017</w:t>
            </w:r>
          </w:p>
        </w:tc>
        <w:tc>
          <w:tcPr>
            <w:tcW w:w="8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CFF0FC"/>
          </w:tcPr>
          <w:p>
            <w:pPr>
              <w:spacing w:after="0"/>
              <w:rPr>
                <w:sz w:val="19"/>
                <w:szCs w:val="19"/>
                <w:color w:val="auto"/>
              </w:rPr>
            </w:pPr>
          </w:p>
        </w:tc>
        <w:tc>
          <w:tcPr>
            <w:tcW w:w="2700" w:type="dxa"/>
            <w:vAlign w:val="bottom"/>
            <w:shd w:val="clear" w:color="auto" w:fill="CFF0FC"/>
          </w:tcPr>
          <w:p>
            <w:pPr>
              <w:ind w:left="1280"/>
              <w:spacing w:after="0"/>
              <w:rPr>
                <w:sz w:val="20"/>
                <w:szCs w:val="20"/>
                <w:color w:val="auto"/>
              </w:rPr>
            </w:pPr>
            <w:r>
              <w:rPr>
                <w:rFonts w:ascii="Arial" w:cs="Arial" w:eastAsia="Arial" w:hAnsi="Arial"/>
                <w:sz w:val="18"/>
                <w:szCs w:val="18"/>
                <w:color w:val="auto"/>
                <w:w w:val="88"/>
              </w:rPr>
              <w:t>December 31, 2019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April 2018</w:t>
            </w:r>
          </w:p>
        </w:tc>
        <w:tc>
          <w:tcPr>
            <w:tcW w:w="8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9"/>
                <w:szCs w:val="19"/>
                <w:color w:val="auto"/>
              </w:rPr>
            </w:pPr>
          </w:p>
        </w:tc>
        <w:tc>
          <w:tcPr>
            <w:tcW w:w="2700" w:type="dxa"/>
            <w:vAlign w:val="bottom"/>
          </w:tcPr>
          <w:p>
            <w:pPr>
              <w:ind w:left="1280"/>
              <w:spacing w:after="0"/>
              <w:rPr>
                <w:sz w:val="20"/>
                <w:szCs w:val="20"/>
                <w:color w:val="auto"/>
              </w:rPr>
            </w:pPr>
            <w:r>
              <w:rPr>
                <w:rFonts w:ascii="Arial" w:cs="Arial" w:eastAsia="Arial" w:hAnsi="Arial"/>
                <w:sz w:val="18"/>
                <w:szCs w:val="18"/>
                <w:color w:val="auto"/>
                <w:w w:val="88"/>
              </w:rPr>
              <w:t>December 31, 2020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October 2018</w:t>
            </w:r>
          </w:p>
        </w:tc>
        <w:tc>
          <w:tcPr>
            <w:tcW w:w="8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19"/>
                <w:szCs w:val="19"/>
                <w:color w:val="auto"/>
              </w:rPr>
            </w:pPr>
          </w:p>
        </w:tc>
        <w:tc>
          <w:tcPr>
            <w:tcW w:w="2700" w:type="dxa"/>
            <w:vAlign w:val="bottom"/>
            <w:shd w:val="clear" w:color="auto" w:fill="CFF0FC"/>
          </w:tcPr>
          <w:p>
            <w:pPr>
              <w:ind w:left="1280"/>
              <w:spacing w:after="0"/>
              <w:rPr>
                <w:sz w:val="20"/>
                <w:szCs w:val="20"/>
                <w:color w:val="auto"/>
              </w:rPr>
            </w:pPr>
            <w:r>
              <w:rPr>
                <w:rFonts w:ascii="Arial" w:cs="Arial" w:eastAsia="Arial" w:hAnsi="Arial"/>
                <w:sz w:val="18"/>
                <w:szCs w:val="18"/>
                <w:color w:val="auto"/>
                <w:w w:val="88"/>
              </w:rPr>
              <w:t>December 31, 2020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February 2019</w:t>
            </w:r>
          </w:p>
        </w:tc>
        <w:tc>
          <w:tcPr>
            <w:tcW w:w="8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9"/>
                <w:szCs w:val="19"/>
                <w:color w:val="auto"/>
              </w:rPr>
            </w:pPr>
          </w:p>
        </w:tc>
        <w:tc>
          <w:tcPr>
            <w:tcW w:w="2700" w:type="dxa"/>
            <w:vAlign w:val="bottom"/>
          </w:tcPr>
          <w:p>
            <w:pPr>
              <w:ind w:left="1280"/>
              <w:spacing w:after="0"/>
              <w:rPr>
                <w:sz w:val="20"/>
                <w:szCs w:val="20"/>
                <w:color w:val="auto"/>
              </w:rPr>
            </w:pPr>
            <w:r>
              <w:rPr>
                <w:rFonts w:ascii="Arial" w:cs="Arial" w:eastAsia="Arial" w:hAnsi="Arial"/>
                <w:sz w:val="18"/>
                <w:szCs w:val="18"/>
                <w:color w:val="auto"/>
                <w:w w:val="88"/>
              </w:rPr>
              <w:t>December 31, 2020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October 2019</w:t>
            </w:r>
          </w:p>
        </w:tc>
        <w:tc>
          <w:tcPr>
            <w:tcW w:w="80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19"/>
                <w:szCs w:val="19"/>
                <w:color w:val="auto"/>
              </w:rPr>
            </w:pPr>
          </w:p>
        </w:tc>
        <w:tc>
          <w:tcPr>
            <w:tcW w:w="2700" w:type="dxa"/>
            <w:vAlign w:val="bottom"/>
            <w:shd w:val="clear" w:color="auto" w:fill="CFF0FC"/>
          </w:tcPr>
          <w:p>
            <w:pPr>
              <w:ind w:left="1280"/>
              <w:spacing w:after="0"/>
              <w:rPr>
                <w:sz w:val="20"/>
                <w:szCs w:val="20"/>
                <w:color w:val="auto"/>
              </w:rPr>
            </w:pPr>
            <w:r>
              <w:rPr>
                <w:rFonts w:ascii="Arial" w:cs="Arial" w:eastAsia="Arial" w:hAnsi="Arial"/>
                <w:sz w:val="18"/>
                <w:szCs w:val="18"/>
                <w:color w:val="auto"/>
                <w:w w:val="88"/>
              </w:rPr>
              <w:t>December 31, 2021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rPr>
              <w:t>32</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600" w:right="60"/>
        <w:spacing w:after="0" w:line="273" w:lineRule="auto"/>
        <w:rPr>
          <w:sz w:val="20"/>
          <w:szCs w:val="20"/>
          <w:color w:val="auto"/>
        </w:rPr>
      </w:pPr>
      <w:r>
        <w:rPr>
          <w:rFonts w:ascii="Arial" w:cs="Arial" w:eastAsia="Arial" w:hAnsi="Arial"/>
          <w:sz w:val="17"/>
          <w:szCs w:val="17"/>
          <w:color w:val="auto"/>
        </w:rPr>
        <w:t>A significant portion of the Company’s purchases under the share repurchase program are used to offset a portion of the shares that have been or will be issued under Lazard Ltd’s 2008 Incentive Compensation Plan (the” 2008 Plan”) and 2018 Incentive Compensation Plan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3" w:lineRule="exact"/>
        <w:rPr>
          <w:sz w:val="20"/>
          <w:szCs w:val="20"/>
          <w:color w:val="auto"/>
        </w:rPr>
      </w:pPr>
    </w:p>
    <w:p>
      <w:pPr>
        <w:ind w:left="600" w:right="40" w:hanging="592"/>
        <w:spacing w:after="0" w:line="25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the terms of the 2008 Plan and the 2018 Plan, upon the vesting of RSUs, PRSUs, deferred stock units (“DSUs”) and delivery of restricted Class A common stock, shares of Class A common stock may be withheld by the Company to meet the minimum statutory tax withholding requirements. During the three month period ended December 31, 2019, the Company satisfied such obligations in lieu of issuing (i) 17,140 shares of Class A common stock upon the vesting or settlement of 50,004 RSUs and PRSUs and (ii) 62,132 shares of Class A common stock upon the vesting of 144,329 shares of restricted Class A common stock.</w:t>
      </w:r>
    </w:p>
    <w:p>
      <w:pPr>
        <w:spacing w:after="0" w:line="188"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During the year ended December 31, 2019, the Company had in place trading plans under Rule 10b5-1 of the Securities Exchange Act of 1934, as amended (the “Exchange Act”), pursuant to which it effected stock repurchases in the open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stock performance graph below compares the performance of an investment in our Class A common stock, from December 31, 2014 through December 31, 2019, with that of the S&amp;P 500 Index and the S&amp;P Financial Index. The graph assumes $100 was invested at the close of business on December 31, 2014 in each of our Class A common stock, the S&amp;P 500 Index and the S&amp;P Financial Index.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342890" cy="2143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289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2019 have been derived from Lazard Ltd’s consolidated financial statements. The audited consolidated statements of financial condition as of December 31, 2019 and 2018 and audited consolidated statements of operations for each of the years in the three year period ended December 31, 2019 are included in this Form 10-K. The audited consolidated statements of financial condition as of December 31, 2017, 2016 and 2015, and the audited consolidated statements of operations for the years ended December 31, 2016 and 2015, are not included in this Form 10-K. Historical results should not be considered an indication of results for any future period.</w:t>
      </w:r>
    </w:p>
    <w:p>
      <w:pPr>
        <w:spacing w:after="0" w:line="193" w:lineRule="exact"/>
        <w:rPr>
          <w:sz w:val="20"/>
          <w:szCs w:val="20"/>
          <w:color w:val="auto"/>
        </w:rPr>
      </w:pPr>
    </w:p>
    <w:p>
      <w:pPr>
        <w:ind w:right="420" w:firstLine="598"/>
        <w:spacing w:after="0" w:line="34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4"/>
              </w:rPr>
              <w:t>As Of Or For The Year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8"/>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(dollars in thousands, except for per share amounts)</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 (a)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1,374,036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1,555,526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1,387,682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1,237,390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1,331,801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1,255,820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1,051,316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(c)</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(24,653)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(60,975)</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(18,989)</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(37,125)</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2,586,773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2,826,352</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2,644,311</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2,333,371</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2,353,608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1,563,395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1,514,735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1,512,873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1,340,543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Operating Expenses (d)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630,680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630,851</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305,992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475,367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1,050,482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2,194,075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2,145,586</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1,818,865</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1,815,910</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2,370,228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392,698</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680,766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825,446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517,461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(16,620)</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297,716</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532,449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259,847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393,692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992,932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286,500</w:t>
            </w:r>
          </w:p>
        </w:tc>
        <w:tc>
          <w:tcPr>
            <w:tcW w:w="14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527,125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253,583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387,698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986,373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Per Share of</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Common Stock:</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Dividends Declared Per Share of Class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tcPr>
          <w:p>
            <w:pPr>
              <w:ind w:left="120"/>
              <w:spacing w:after="0"/>
              <w:rPr>
                <w:sz w:val="20"/>
                <w:szCs w:val="20"/>
                <w:color w:val="auto"/>
              </w:rPr>
            </w:pPr>
            <w:r>
              <w:rPr>
                <w:rFonts w:ascii="Arial" w:cs="Arial" w:eastAsia="Arial" w:hAnsi="Arial"/>
                <w:sz w:val="16"/>
                <w:szCs w:val="16"/>
                <w:color w:val="auto"/>
              </w:rPr>
              <w:t>A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Financial</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5,639,581</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4,997,241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4,928,677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4,556,508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4,477,774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Debt (e)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1,679,562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1,434,260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1,190,444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1,195,805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Lazard Ltd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609,991</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916,851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1,199,803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1,235,987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1,313,455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681,574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970,093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1,258,905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1,293,813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 of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248,239,000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214,734,000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249,459,000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197,910,000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186,380,000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234,374,000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241,247,000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226,525,000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194,808,000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195,987,000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20"/>
                <w:szCs w:val="20"/>
                <w:color w:val="auto"/>
              </w:rPr>
            </w:pPr>
            <w:r>
              <w:rPr>
                <w:rFonts w:ascii="Arial" w:cs="Arial" w:eastAsia="Arial" w:hAnsi="Arial"/>
                <w:sz w:val="16"/>
                <w:szCs w:val="16"/>
                <w:color w:val="auto"/>
              </w:rPr>
              <w:t>Total Headcount, As of December 31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(in thousands of dollars)</w:t>
      </w:r>
      <w:r>
        <w:rPr>
          <w:rFonts w:ascii="Arial" w:cs="Arial" w:eastAsia="Arial" w:hAnsi="Arial"/>
          <w:sz w:val="18"/>
          <w:szCs w:val="18"/>
          <w:b w:val="1"/>
          <w:bCs w:val="1"/>
          <w:color w:val="auto"/>
        </w:rPr>
        <w:t>:</w:t>
      </w:r>
    </w:p>
    <w:p>
      <w:pPr>
        <w:spacing w:after="0" w:line="54" w:lineRule="exact"/>
        <w:rPr>
          <w:sz w:val="20"/>
          <w:szCs w:val="20"/>
          <w:color w:val="auto"/>
        </w:rPr>
      </w:pPr>
    </w:p>
    <w:p>
      <w:pPr>
        <w:ind w:left="600" w:right="280" w:hanging="592"/>
        <w:spacing w:after="0" w:line="342"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revenue and other operating expenses data for the years ended December 31, 2019 and 2018 are not comparable to the prior periods due to the adoption of the new revenue recognition guidance on January 1, 2018. See Note 4 of Notes to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Management net revenue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Fees and Other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1,216,115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1,311,286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1,210,016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1,035,726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1,086,030</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Incentive Fees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21,275</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20,515</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45,804</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25,075</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Management Net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1,237,390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1,331,801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1,255,820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1,051,316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1,111,105</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includes interest expense (net of interest income) and investment income (losses) from certain investments.</w:t>
      </w:r>
    </w:p>
    <w:p>
      <w:pPr>
        <w:spacing w:after="0" w:line="49" w:lineRule="exact"/>
        <w:rPr>
          <w:rFonts w:ascii="Arial" w:cs="Arial" w:eastAsia="Arial" w:hAnsi="Arial"/>
          <w:sz w:val="18"/>
          <w:szCs w:val="18"/>
          <w:color w:val="auto"/>
        </w:rPr>
      </w:pPr>
    </w:p>
    <w:p>
      <w:pPr>
        <w:ind w:left="600" w:hanging="592"/>
        <w:spacing w:after="0" w:line="284"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 in 2019, non-compensation costs of $6,922 relating to expenses associated with business realignment; $17,359 relating to expenses associated with the Enterprise Resource Planning system implementation; $4,711 of incremental rent expense relating to office space reorganization; $76,032 of certain distribution fees and reimbursable deal costs paid to third parties and bad debt expense, which represents fees that are deemed uncollectible; $6,505 relating to the redemption of the remainder of the Company’s 4.25% senior notes maturing on November 14, 2020 (see Note 13 of Notes to Consolidated Financial Statements); and $503 relating to the benefit pursuant to the tax receivable agreement (see Note 21 of Notes to Consolidated Financial Statements), (ii) in 2018, non-compensation costs of $27,495 relating to expenses associated with the Enterprise Resource Planning system implementation; $2,345 of incremental rent expense relating to office space reorganization; $120,995 of certain distribution fees and reimbursable deal costs paid to third parties and bad debt expense, which represents fees that are deemed uncollectible; $10,000 relating to expenses associated with an unconditional commitment to the Lazard Foundation; $6,495 relating to the benefit pursuant to the tax receivable agreement (see Note 21 of Notes to Consolidated Financial Statements); and $6,523 relating to the partial redemption of the Company’s 4.25% senior notes maturing on November 14, 2020 (see Note 13 of Notes to Consolidated Financial Statements), (iii) in 2017, non-compensation costs of $25,308 relating to expenses associated with the Enterprise Resource Planning system implementation; $11,354 of incremental rent expense and lease abandonment costs relating to office space reorganization; and $202,546 relating to the benefit pursuant to the tax receivable agreement (see Note 21 of Notes to Consolidated Financial Statements), (iv) in 2016, non-compensation costs of $30,067 due to the change in fair value of the contingent consideration associated with the Edgewater business acquisition and (v) in 2015, non-compensation costs of $547,691 relating to the provision pursuant to the tax receivable agreement; $60,219 relating to the redemption of a significant portion of the Company’s 6.85% senior notes maturing on June 15, 2017 and $1,114 of expenses relating to the partial extinguishment of the tax receivable obligation.</w:t>
      </w:r>
    </w:p>
    <w:p>
      <w:pPr>
        <w:spacing w:after="0" w:line="12" w:lineRule="exact"/>
        <w:rPr>
          <w:rFonts w:ascii="Arial" w:cs="Arial" w:eastAsia="Arial" w:hAnsi="Arial"/>
          <w:sz w:val="16"/>
          <w:szCs w:val="16"/>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aggregate amount reflected in the Company’s consolidated statements of financial condition relating to senior debt.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more than 40 cities and 25 countries across key business and financial centers in North America, Europe, Asia, Australia, and Central and South America.</w:t>
      </w:r>
    </w:p>
    <w:p>
      <w:pPr>
        <w:spacing w:after="0" w:line="187" w:lineRule="exact"/>
        <w:rPr>
          <w:sz w:val="20"/>
          <w:szCs w:val="20"/>
          <w:color w:val="auto"/>
        </w:rPr>
      </w:pPr>
    </w:p>
    <w:p>
      <w:pPr>
        <w:jc w:val="both"/>
        <w:ind w:right="60" w:firstLine="59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200" w:hanging="598"/>
        <w:spacing w:after="0" w:line="264"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and</w:t>
      </w:r>
    </w:p>
    <w:p>
      <w:pPr>
        <w:spacing w:after="0" w:line="73" w:lineRule="exact"/>
        <w:rPr>
          <w:rFonts w:ascii="Arial" w:cs="Arial" w:eastAsia="Arial" w:hAnsi="Arial"/>
          <w:sz w:val="18"/>
          <w:szCs w:val="18"/>
          <w:color w:val="auto"/>
        </w:rPr>
      </w:pPr>
    </w:p>
    <w:p>
      <w:pPr>
        <w:ind w:left="1200" w:right="460" w:hanging="598"/>
        <w:spacing w:after="0" w:line="286" w:lineRule="auto"/>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color w:val="auto"/>
        </w:rPr>
        <w:t>Edgewater, our Chicago-based private equity firm and (ii) a fund targeting significant noncontrolling-stake investments in established private companies. We also make investments to seed our Asset Management strategies.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On an ongoing basis, regional, macroeconomic and geopolitical factors, including trade policy and regional tax and regulatory reform, may impact our business. Overall, the global macroeconomic environment remains favorable, equity market fundamentals are strong and credit is widely available.</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1200" w:right="220" w:hanging="598"/>
        <w:spacing w:after="0" w:line="290"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and recent trends such as technological disruption and shareholder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activism, which can be a catalyst for global strategic activity, appear to remain in place. We believe our Financial Advisory business is in 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believe our businesses throughout North America, Europe and the emerging markets position us for growth in these markets, while enhancing our relationships with, and the services that we can provide to, clients in other economies. We continue to invest in our Financial Advisory business by selectively hiring talented senior professionals and continuing to focus on our M&amp;A and other advisory services.</w:t>
      </w:r>
    </w:p>
    <w:p>
      <w:pPr>
        <w:spacing w:after="0" w:line="58" w:lineRule="exact"/>
        <w:rPr>
          <w:rFonts w:ascii="Arial" w:cs="Arial" w:eastAsia="Arial" w:hAnsi="Arial"/>
          <w:sz w:val="16"/>
          <w:szCs w:val="16"/>
          <w:color w:val="auto"/>
        </w:rPr>
      </w:pPr>
    </w:p>
    <w:p>
      <w:pPr>
        <w:ind w:left="1200" w:right="20" w:hanging="598"/>
        <w:spacing w:after="0" w:line="270" w:lineRule="auto"/>
        <w:tabs>
          <w:tab w:leader="none" w:pos="12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through financial institutions, and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defined benefit and defined contribution plans in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explainable AI capabilities, a U.S. Systematic Equity strategy, and sustainable investment strategies.</w:t>
      </w:r>
    </w:p>
    <w:p>
      <w:pPr>
        <w:spacing w:after="0" w:line="18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520" w:firstLine="598"/>
        <w:spacing w:after="0" w:line="31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600"/>
        <w:spacing w:after="0"/>
        <w:rPr>
          <w:sz w:val="20"/>
          <w:szCs w:val="20"/>
          <w:color w:val="auto"/>
        </w:rPr>
      </w:pPr>
      <w:r>
        <w:rPr>
          <w:rFonts w:ascii="Arial" w:cs="Arial" w:eastAsia="Arial" w:hAnsi="Arial"/>
          <w:sz w:val="18"/>
          <w:szCs w:val="18"/>
          <w:color w:val="auto"/>
        </w:rPr>
        <w:t>Certain market data with respect to our Financial Advisory and Asset Management businesses is included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2019 as compared to 2018. With respect to announced M&amp;A transactions, the value and number of all transactions, including the subset of announced transactions involving values greater than $500 million, are flat as compared to 2018, apart from the number of announced transactions involving values greater than $500 million, which decreased in 2019 as compared to 2018.</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w w:val="95"/>
              </w:rPr>
              <w:t>Year Ended December 31,</w:t>
            </w: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1"/>
                <w:szCs w:val="11"/>
                <w:color w:val="auto"/>
              </w:rPr>
            </w:pPr>
          </w:p>
        </w:tc>
        <w:tc>
          <w:tcPr>
            <w:tcW w:w="130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w w:val="94"/>
              </w:rPr>
              <w:t>in billions)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4,298</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34,422</w:t>
            </w:r>
          </w:p>
        </w:tc>
        <w:tc>
          <w:tcPr>
            <w:tcW w:w="6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35,755</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2,852</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3,396</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1,320</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4,094</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4,114</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35,299</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35,797</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3,203</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1,222</w:t>
            </w:r>
          </w:p>
        </w:tc>
        <w:tc>
          <w:tcPr>
            <w:tcW w:w="6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1,347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January 3, 2020.</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Global restructuring activity during 2019, as measured by the number of corporate defaults, increased as compared to 2018. The number of defaulting issuers increased to 101 in 2019, according to Moody’s Investors Service, Inc., as compared to 79 in 2018.</w:t>
      </w:r>
    </w:p>
    <w:p>
      <w:pPr>
        <w:spacing w:after="0" w:line="170"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Equity market indices for major markets at December 31, 2019 generally increased as compared to such indices at December 31, 2018. Equity market indices for major markets at December 31, 2018 generally decreased as compared to such indices at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480" w:firstLine="598"/>
        <w:spacing w:after="0" w:line="277" w:lineRule="auto"/>
        <w:rPr>
          <w:sz w:val="20"/>
          <w:szCs w:val="20"/>
          <w:color w:val="auto"/>
        </w:rPr>
      </w:pPr>
      <w:r>
        <w:rPr>
          <w:rFonts w:ascii="Arial" w:cs="Arial" w:eastAsia="Arial" w:hAnsi="Arial"/>
          <w:sz w:val="18"/>
          <w:szCs w:val="18"/>
          <w:color w:val="auto"/>
        </w:rPr>
        <w:t>The percentage change in major equity market indices (i) at December 31, 2019, as compared to such indices at December 31, 2018, and (ii) at December 31, 2018, as compared to such indices at December 31, 2017, is shown in the table below.</w:t>
      </w:r>
    </w:p>
    <w:p>
      <w:pPr>
        <w:spacing w:after="0" w:line="17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Percentage Changes</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69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3"/>
              </w:rPr>
              <w:t>2019 vs. 2018</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 vs. 2017</w:t>
            </w:r>
          </w:p>
        </w:tc>
        <w:tc>
          <w:tcPr>
            <w:tcW w:w="24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bl>
    <w:p>
      <w:pPr>
        <w:spacing w:after="0" w:line="228"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ind w:right="420" w:firstLine="59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debt and equity securities, as well as due to changes in interest and currency exchange rates and in the levels of cash, investments and indebtedness.</w:t>
      </w:r>
    </w:p>
    <w:p>
      <w:pPr>
        <w:spacing w:after="0" w:line="154"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Although Corporate segment net revenue during 2019 is not significant compared to Lazard’s net revenue, total assets in the Corporate segment represented 65% of Lazard’s consolidated total assets as of December 31, 2019,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firstLine="59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16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1200" w:right="48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left="1800" w:right="20" w:hanging="603"/>
        <w:spacing w:after="0" w:line="259"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2020 related to the 2019 year-end compensation process), including performance-based restricted stock unit (“PRSU”) and performance-based restricted participation unit (“PRPU”) awards (based on the target payout level);</w:t>
      </w:r>
    </w:p>
    <w:p>
      <w:pPr>
        <w:spacing w:after="0" w:line="78" w:lineRule="exact"/>
        <w:rPr>
          <w:rFonts w:ascii="Arial" w:cs="Arial" w:eastAsia="Arial" w:hAnsi="Arial"/>
          <w:sz w:val="18"/>
          <w:szCs w:val="18"/>
          <w:color w:val="auto"/>
        </w:rPr>
      </w:pPr>
    </w:p>
    <w:p>
      <w:pPr>
        <w:ind w:left="1800" w:right="100" w:hanging="603"/>
        <w:spacing w:after="0" w:line="277"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800" w:hanging="603"/>
        <w:spacing w:after="0"/>
        <w:tabs>
          <w:tab w:leader="none" w:pos="18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amounts in excess of the target payout level for PRSU and PRPU awards at the end of their respective performance periods;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7"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66"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360" w:firstLine="59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jc w:val="both"/>
        <w:ind w:right="420" w:firstLine="598"/>
        <w:spacing w:after="0" w:line="264" w:lineRule="auto"/>
        <w:rPr>
          <w:sz w:val="20"/>
          <w:szCs w:val="20"/>
          <w:color w:val="auto"/>
        </w:rPr>
      </w:pPr>
      <w:r>
        <w:rPr>
          <w:rFonts w:ascii="Arial" w:cs="Arial" w:eastAsia="Arial" w:hAnsi="Arial"/>
          <w:sz w:val="18"/>
          <w:szCs w:val="18"/>
          <w:color w:val="auto"/>
        </w:rPr>
        <w:t>Our operating expenses also include our “benefit pursuant to the tax receivable agreement” (which, in 2017, was offset by the charges described below relating to the Tax Act) and “amortization and other acquisition-related (benefits) costs”, which includes the change in fair value of the contingent consideration associated with business acquisitions.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conducted a review of our business, which resulted in a realignment that included employee reductions and the closing of subscale offices and investment strategies, most of which were completed during the third quarter of 2019. We believe these actions better align the business with changes in the marketplace and create greater flexibility to focus on strategic growth opportunities. These actions resulted in expenses of $68 million in 2019. See Note 18 of Notes to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left="3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The GILTI provisions impose a tax on certain income from foreign operations and we have elected to account for the tax on GILTI as a current period expense.</w:t>
      </w:r>
    </w:p>
    <w:p>
      <w:pPr>
        <w:spacing w:after="0" w:line="193"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See “Critical Accounting Policies and Estimates—Income Taxes” below and Notes 19 and 21 of Notes to Consolidated Financial Statements for additional information regarding income taxes, the impact of the Tax Act on us, our deferred tax assets and the tax receivable agreement obligation.</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profits interest participation rights and consolidated VIE interests held by employees. See Notes 15 and 24 of Notes to Consolidated Financial Statements for information regarding the Company’s noncontrolling interests and consolidated VIEs.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300" w:firstLine="598"/>
        <w:spacing w:after="0" w:line="293"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consolidated statements of operations.</w:t>
      </w:r>
    </w:p>
    <w:p>
      <w:pPr>
        <w:spacing w:after="0" w:line="165"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Net revenue for the year ended December 31, 2019 was negatively impacted, and net revenue for the year ended December 31, 2018 was positively impacted, by exchange rate movements, in each case in comparison to the relevant prior year period. The majority of the impact to net revenue, in both periods, was offset by the impact of the exchange rate movements on our operating expenses during the years denominated in currencies other than the U.S. Dollar.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44" w:name="page45"/>
    <w:bookmarkEnd w:id="44"/>
    <w:p>
      <w:pPr>
        <w:ind w:right="420" w:firstLine="598"/>
        <w:spacing w:after="0" w:line="342"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derived from the Company’s reported consolidated results of operations is set forth below, followed by a more detailed discussion of both the consolidated and business segment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2,586,773</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2,826,352</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2,644,311</w:t>
            </w:r>
          </w:p>
        </w:tc>
        <w:tc>
          <w:tcPr>
            <w:tcW w:w="180" w:type="dxa"/>
            <w:vAlign w:val="bottom"/>
            <w:shd w:val="clear" w:color="auto" w:fill="CFF0FC"/>
          </w:tcPr>
          <w:p>
            <w:pPr>
              <w:spacing w:after="0"/>
              <w:rPr>
                <w:sz w:val="19"/>
                <w:szCs w:val="19"/>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 (a):</w:t>
            </w: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1,563,395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1,512,873</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Non-compensation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611,773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653,243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499,024</w:t>
            </w:r>
          </w:p>
        </w:tc>
        <w:tc>
          <w:tcPr>
            <w:tcW w:w="18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(15,897)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Benefit pursuant to tax receivable agreement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(6,495)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(202,546)</w:t>
            </w:r>
          </w:p>
        </w:tc>
      </w:tr>
      <w:tr>
        <w:trPr>
          <w:trHeight w:val="223"/>
        </w:trPr>
        <w:tc>
          <w:tcPr>
            <w:tcW w:w="554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2,194,075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2,145,586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1,818,865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392,698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680,766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825,446</w:t>
            </w:r>
          </w:p>
        </w:tc>
        <w:tc>
          <w:tcPr>
            <w:tcW w:w="18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148,317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565,599</w:t>
            </w:r>
          </w:p>
        </w:tc>
        <w:tc>
          <w:tcPr>
            <w:tcW w:w="180" w:type="dxa"/>
            <w:vAlign w:val="bottom"/>
            <w:shd w:val="clear" w:color="auto" w:fill="CFF0FC"/>
          </w:tcPr>
          <w:p>
            <w:pPr>
              <w:spacing w:after="0"/>
              <w:rPr>
                <w:sz w:val="19"/>
                <w:szCs w:val="19"/>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297,716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532,449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259,847</w:t>
            </w:r>
          </w:p>
        </w:tc>
        <w:tc>
          <w:tcPr>
            <w:tcW w:w="180" w:type="dxa"/>
            <w:vAlign w:val="bottom"/>
          </w:tcPr>
          <w:p>
            <w:pPr>
              <w:spacing w:after="0"/>
              <w:rPr>
                <w:sz w:val="19"/>
                <w:szCs w:val="19"/>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80" w:type="dxa"/>
            <w:vAlign w:val="bottom"/>
            <w:shd w:val="clear" w:color="auto" w:fill="CFF0FC"/>
          </w:tcPr>
          <w:p>
            <w:pPr>
              <w:spacing w:after="0"/>
              <w:rPr>
                <w:sz w:val="19"/>
                <w:szCs w:val="19"/>
                <w:color w:val="auto"/>
              </w:rPr>
            </w:pPr>
          </w:p>
        </w:tc>
      </w:tr>
      <w:tr>
        <w:trPr>
          <w:trHeight w:val="263"/>
        </w:trPr>
        <w:tc>
          <w:tcPr>
            <w:tcW w:w="5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10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286,500</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527,125</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253,583</w:t>
            </w:r>
          </w:p>
        </w:tc>
        <w:tc>
          <w:tcPr>
            <w:tcW w:w="180" w:type="dxa"/>
            <w:vAlign w:val="bottom"/>
            <w:tcBorders>
              <w:bottom w:val="single" w:sz="8" w:color="CFF0FC"/>
            </w:tcBorders>
          </w:tcPr>
          <w:p>
            <w:pPr>
              <w:spacing w:after="0"/>
              <w:rPr>
                <w:sz w:val="22"/>
                <w:szCs w:val="22"/>
                <w:color w:val="auto"/>
              </w:rPr>
            </w:pPr>
          </w:p>
        </w:tc>
      </w:tr>
      <w:tr>
        <w:trPr>
          <w:trHeight w:val="210"/>
        </w:trPr>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w:t>
            </w: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18 of Notes to Consolidated Financial Statements for information regarding business realignment.</w:t>
      </w:r>
    </w:p>
    <w:p>
      <w:pPr>
        <w:spacing w:after="0" w:line="225" w:lineRule="exact"/>
        <w:rPr>
          <w:sz w:val="20"/>
          <w:szCs w:val="20"/>
          <w:color w:val="auto"/>
        </w:rPr>
      </w:pPr>
    </w:p>
    <w:p>
      <w:pPr>
        <w:ind w:right="340" w:firstLine="598"/>
        <w:spacing w:after="0" w:line="312" w:lineRule="auto"/>
        <w:rPr>
          <w:sz w:val="20"/>
          <w:szCs w:val="20"/>
          <w:color w:val="auto"/>
        </w:rPr>
      </w:pPr>
      <w:r>
        <w:rPr>
          <w:rFonts w:ascii="Arial" w:cs="Arial" w:eastAsia="Arial" w:hAnsi="Arial"/>
          <w:sz w:val="16"/>
          <w:szCs w:val="16"/>
          <w:color w:val="auto"/>
        </w:rPr>
        <w:t>The tables below describe the components of operating revenue, adjusted and awarded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revenue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2,586,773</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2,826,352</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2,644,311</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 (a)</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tcPr>
          <w:p>
            <w:pPr>
              <w:spacing w:after="0"/>
              <w:rPr>
                <w:sz w:val="19"/>
                <w:szCs w:val="19"/>
                <w:color w:val="auto"/>
              </w:rPr>
            </w:pPr>
          </w:p>
        </w:tc>
      </w:tr>
      <w:tr>
        <w:trPr>
          <w:trHeight w:val="215"/>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1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(76,032)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(120,995)</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(23,426)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(18,787)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(16,228)</w:t>
            </w: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(23,526)</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Private equity investment adjustment (e)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Losses associated with business realignment (f)</w:t>
            </w:r>
          </w:p>
        </w:tc>
        <w:tc>
          <w:tcPr>
            <w:tcW w:w="1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Operating revenue</w:t>
            </w:r>
          </w:p>
        </w:tc>
        <w:tc>
          <w:tcPr>
            <w:tcW w:w="1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2,754,782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2,654,540</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560" w:hanging="592"/>
        <w:spacing w:after="0" w:line="290"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20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600" w:right="2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600" w:right="240" w:hanging="59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write-down of a private equity investment to the potential transaction value.</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losses associated with the closing of certain offices as part of business realignment.</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1,563,395</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1,514,735</w:t>
            </w:r>
          </w:p>
        </w:tc>
        <w:tc>
          <w:tcPr>
            <w:tcW w:w="2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1,512,873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(56,635)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(a)</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(11,175)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(10,999)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(Charges) credits pertaining to LFI (b)</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(31,657)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ERP system implementation (c)</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1,463,928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1,516,632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1,481,062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amortization of deferred incentive compensation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(367,920)</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(375,772)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(367,350)</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 adjusted cash compensation and benefits expense (d)</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1,096,008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1,140,860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1,113,712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Year-end deferred incentive compensation awards (e)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361,345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377,901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350,975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Sign-on and other special incentive awards (f)</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Deduct - adjustments for estimated forfeitures (g)</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(25,928)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Awarded compensation and benefits expense</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1,468,977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1,536,953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1,475,722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 as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Awarded compensation and benefits expense, as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Lazard has no economic interest in such amounts.</w:t>
      </w:r>
    </w:p>
    <w:p>
      <w:pPr>
        <w:spacing w:after="0" w:line="61" w:lineRule="exact"/>
        <w:rPr>
          <w:rFonts w:ascii="Arial" w:cs="Arial" w:eastAsia="Arial" w:hAnsi="Arial"/>
          <w:sz w:val="17"/>
          <w:szCs w:val="17"/>
          <w:color w:val="auto"/>
        </w:rPr>
      </w:pPr>
    </w:p>
    <w:p>
      <w:pPr>
        <w:ind w:left="600" w:right="34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hanging="59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right="20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base salaries and benefits of $705,156, $695,398 and $648,130 for 2019, 2018 and 2017, respectively, and cash incentive compensation of $390,852, $445,462 and $465,582 for the respective years.</w:t>
      </w:r>
    </w:p>
    <w:p>
      <w:pPr>
        <w:ind w:left="600" w:right="360" w:hanging="592"/>
        <w:spacing w:after="0" w:line="290"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Deferred incentive compensation awards applicable to the relevant year-end compensation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deferred incentive compensation awards granted in 2020, 2019 and 2018 related to the 2019, 2018 and 2017 year-end compensation processes, respectively).</w:t>
      </w:r>
    </w:p>
    <w:p>
      <w:pPr>
        <w:ind w:left="600" w:right="16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special deferred incentive awards that are granted outside the year-end compensation process, and includes grants to new hires, retention awards and performance units earned under PRSU grants.</w:t>
      </w:r>
    </w:p>
    <w:p>
      <w:pPr>
        <w:ind w:left="600" w:right="240" w:hanging="592"/>
        <w:spacing w:after="0" w:line="342"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611,773</w:t>
            </w:r>
          </w:p>
        </w:tc>
        <w:tc>
          <w:tcPr>
            <w:tcW w:w="1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653,243</w:t>
            </w:r>
          </w:p>
        </w:tc>
        <w:tc>
          <w:tcPr>
            <w:tcW w:w="2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499,024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business realignment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(6,922)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(17,359)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(27,495)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relating to office space reorganization (b)</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15"/>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(c)</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(76,032)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(120,995)</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(6,523)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the Lazard Foundation (f)</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498,551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484,131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Adjusted non-compensation expense, as</w:t>
            </w:r>
          </w:p>
        </w:tc>
        <w:tc>
          <w:tcPr>
            <w:tcW w:w="1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49" w:lineRule="exact"/>
        <w:rPr>
          <w:rFonts w:ascii="Arial" w:cs="Arial" w:eastAsia="Arial" w:hAnsi="Arial"/>
          <w:sz w:val="18"/>
          <w:szCs w:val="18"/>
          <w:color w:val="auto"/>
        </w:rPr>
      </w:pPr>
    </w:p>
    <w:p>
      <w:pPr>
        <w:ind w:left="600" w:right="200" w:hanging="592"/>
        <w:spacing w:after="0" w:line="27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600" w:hanging="592"/>
        <w:spacing w:after="0" w:line="27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2019 and 2018, represents charges pertaining to the redemption of the Company’s 4.25% senior notes due 2020 (the “2020 Notes”), due to the non-operating nature of such transaction. See “—Liquidity and Capital Resources—Financing Activities.”</w:t>
      </w:r>
    </w:p>
    <w:p>
      <w:pPr>
        <w:ind w:left="600" w:hanging="59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72" w:lineRule="exact"/>
        <w:rPr>
          <w:rFonts w:ascii="Arial" w:cs="Arial" w:eastAsia="Arial" w:hAnsi="Arial"/>
          <w:sz w:val="16"/>
          <w:szCs w:val="16"/>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expenses associated with an unconditional commitment to the Lazard Foundation.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2,545,962</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2,754,782</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2,654,540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(1,463,928)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(1,516,632)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(1,481,062)</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(498,551)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(484,131)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(460,678)</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18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583,483</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754,019</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712,800</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7" w:name="page48"/>
    <w:bookmarkEnd w:id="47"/>
    <w:p>
      <w:pPr>
        <w:ind w:left="600"/>
        <w:spacing w:after="0"/>
        <w:rPr>
          <w:sz w:val="20"/>
          <w:szCs w:val="20"/>
          <w:color w:val="auto"/>
        </w:rPr>
      </w:pPr>
      <w:r>
        <w:rPr>
          <w:rFonts w:ascii="Arial" w:cs="Arial" w:eastAsia="Arial" w:hAnsi="Arial"/>
          <w:sz w:val="18"/>
          <w:szCs w:val="18"/>
          <w:color w:val="auto"/>
        </w:rPr>
        <w:t>Headcount information is set forth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December 31,</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1760" w:type="dxa"/>
            <w:vAlign w:val="bottom"/>
          </w:tcPr>
          <w:p>
            <w:pPr>
              <w:spacing w:after="0"/>
              <w:rPr>
                <w:sz w:val="4"/>
                <w:szCs w:val="4"/>
                <w:color w:val="auto"/>
              </w:rPr>
            </w:pPr>
          </w:p>
        </w:tc>
        <w:tc>
          <w:tcPr>
            <w:tcW w:w="50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6"/>
        </w:trPr>
        <w:tc>
          <w:tcPr>
            <w:tcW w:w="17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920" w:type="dxa"/>
            <w:vAlign w:val="bottom"/>
          </w:tcPr>
          <w:p>
            <w:pPr>
              <w:ind w:left="420"/>
              <w:spacing w:after="0" w:line="155" w:lineRule="exact"/>
              <w:rPr>
                <w:sz w:val="20"/>
                <w:szCs w:val="20"/>
                <w:color w:val="auto"/>
              </w:rPr>
            </w:pPr>
            <w:r>
              <w:rPr>
                <w:rFonts w:ascii="Arial" w:cs="Arial" w:eastAsia="Arial" w:hAnsi="Arial"/>
                <w:sz w:val="14"/>
                <w:szCs w:val="14"/>
                <w:b w:val="1"/>
                <w:bCs w:val="1"/>
                <w:color w:val="auto"/>
                <w:w w:val="91"/>
              </w:rPr>
              <w:t>2019 (a)</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2018 (b)</w:t>
            </w:r>
          </w:p>
        </w:tc>
        <w:tc>
          <w:tcPr>
            <w:tcW w:w="134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gridSpan w:val="3"/>
          </w:tcPr>
          <w:p>
            <w:pPr>
              <w:ind w:left="260"/>
              <w:spacing w:after="0"/>
              <w:rPr>
                <w:sz w:val="20"/>
                <w:szCs w:val="20"/>
                <w:color w:val="auto"/>
              </w:rPr>
            </w:pPr>
            <w:r>
              <w:rPr>
                <w:rFonts w:ascii="Arial" w:cs="Arial" w:eastAsia="Arial" w:hAnsi="Arial"/>
                <w:sz w:val="18"/>
                <w:szCs w:val="18"/>
                <w:color w:val="auto"/>
              </w:rPr>
              <w:t>Managing Directors: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3"/>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gridSpan w:val="2"/>
          </w:tcPr>
          <w:p>
            <w:pPr>
              <w:ind w:left="500"/>
              <w:spacing w:after="0"/>
              <w:rPr>
                <w:sz w:val="20"/>
                <w:szCs w:val="20"/>
                <w:color w:val="auto"/>
              </w:rPr>
            </w:pPr>
            <w:r>
              <w:rPr>
                <w:rFonts w:ascii="Arial" w:cs="Arial" w:eastAsia="Arial" w:hAnsi="Arial"/>
                <w:sz w:val="18"/>
                <w:szCs w:val="18"/>
                <w:color w:val="auto"/>
              </w:rPr>
              <w:t>Total Managing Directors</w:t>
            </w:r>
          </w:p>
        </w:tc>
        <w:tc>
          <w:tcPr>
            <w:tcW w:w="9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3"/>
          </w:tcPr>
          <w:p>
            <w:pPr>
              <w:ind w:left="500"/>
              <w:spacing w:after="0"/>
              <w:rPr>
                <w:sz w:val="20"/>
                <w:szCs w:val="20"/>
                <w:color w:val="auto"/>
              </w:rPr>
            </w:pPr>
            <w:r>
              <w:rPr>
                <w:rFonts w:ascii="Arial" w:cs="Arial" w:eastAsia="Arial" w:hAnsi="Arial"/>
                <w:sz w:val="18"/>
                <w:szCs w:val="18"/>
                <w:color w:val="auto"/>
              </w:rPr>
              <w:t>Financial Advisory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r>
      <w:tr>
        <w:trPr>
          <w:trHeight w:val="230"/>
        </w:trPr>
        <w:tc>
          <w:tcPr>
            <w:tcW w:w="77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3"/>
          </w:tcPr>
          <w:p>
            <w:pPr>
              <w:ind w:left="500"/>
              <w:spacing w:after="0"/>
              <w:rPr>
                <w:sz w:val="20"/>
                <w:szCs w:val="20"/>
                <w:color w:val="auto"/>
              </w:rPr>
            </w:pPr>
            <w:r>
              <w:rPr>
                <w:rFonts w:ascii="Arial" w:cs="Arial" w:eastAsia="Arial" w:hAnsi="Arial"/>
                <w:sz w:val="18"/>
                <w:szCs w:val="18"/>
                <w:color w:val="auto"/>
              </w:rPr>
              <w:t>Corporate</w:t>
            </w: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impact of business realignment as of December 31, 2019.</w:t>
      </w:r>
    </w:p>
    <w:p>
      <w:pPr>
        <w:spacing w:after="0" w:line="49" w:lineRule="exact"/>
        <w:rPr>
          <w:rFonts w:ascii="Arial" w:cs="Arial" w:eastAsia="Arial" w:hAnsi="Arial"/>
          <w:sz w:val="18"/>
          <w:szCs w:val="18"/>
          <w:color w:val="auto"/>
        </w:rPr>
      </w:pPr>
    </w:p>
    <w:p>
      <w:pPr>
        <w:ind w:left="600" w:right="600" w:hanging="59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Reduction in the Corporate segment in 2018 relates to a realignment of certain headcount from Corporate to the Financial Advisory and Asset Management segments.</w:t>
      </w:r>
    </w:p>
    <w:p>
      <w:pPr>
        <w:spacing w:after="0" w:line="6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 review of our operating results for the year ended December 31, 2019 compared to our operating results for the year ended December 31, 2018 appears below. A detailed review of our operating results for the year ended December 31, 2018 compared to the year ended December 31, 2017 is set forth in Part II, Item 7 of our Annual Report on Form 10-K for the year ended December 31, 2018 under the caption “Management’s Discussion and Analysis of Financial Condition and Results of Operations—Operating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reported net income attributable to Lazard Ltd of $287 million, as compared to net income attributable to Lazard Ltd of $527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2018.</w:t>
      </w:r>
    </w:p>
    <w:p>
      <w:pPr>
        <w:spacing w:after="0" w:line="21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Net revenue decreased $240 million, or 8%, with operating revenue decreasing $209 million, or 8%, as compared to 2018. Fee revenue from investment banking and other advisory activities decreased $183 million, or 12%, as compared to 2018. Asset management fees, including incentive fees, decreased $88 million, or 7%, as compared to 2018. In the aggregate, interest income, other revenue and interest expense increased $31 million as compared to 2018.</w:t>
      </w:r>
    </w:p>
    <w:p>
      <w:pPr>
        <w:spacing w:after="0" w:line="18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Compensation and benefits expense, which included $57 million associated with business realignment in 2019, increased $49 million, or 3%, as compared to 2018.</w:t>
      </w:r>
    </w:p>
    <w:p>
      <w:pPr>
        <w:spacing w:after="0" w:line="170"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Adjusted compensation and benefits expense was $1,464 million, a decrease of $53 million, or 3%, as compared to $1,517 million in 2018. The ratio of adjusted compensation and benefits expense to operating revenue was 57.5% for 2019, as compared to 55.1% for 2018. Awarded compensation and benefits expense in 2019 was $1,469 million, a decrease of $68 million, or 4%, when compared to $1,537 million in 2018. The ratio of awarded compensation and benefits expense to operating revenue was 57.7%, as compared to 55.8% for 2018. The year-end deferred incentive compensation awarded for 2019 was $361 million, representing a decrease of $17 million, or 4%, as compared to 2018.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78"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Non-compensation expense decreased $41 million, or 6%, as compared to 2018, primarily due to higher bad debt expense in 2018 and lower fund administration fees in 2019, partially offset by investments in technology infrastructure and increased business development expenses in 2019. Adjusted non-compensation expense increased $14 million, or 3%, as compared to 2018, primarily due to investments in technology infrastructure and increased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business development expenses in 2019. The ratio of adjusted non-compensation expense to operating revenue was 19.6% for 2019, as compared to 17.6% in 2018.</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Amortization and other acquisition-related (benefits) costs reflect a cost of $19 million in the 2019 period, as compared to a benefit of $16 million in the 2018 period, primarily due to the change in the fair market value of contingent consideration.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income decreased $288 million, or 42%, as compared to 2018.</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Earnings from operations decreased $171 million, or 23%, as compared to 2018, and, as a percentage of operating revenue, was 22.9%, as compared to 27.4% in 2018.</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provision for income taxes reflects an effective tax rate of 24.2%, as compared to 21.8% in 2018. See Note 19 of Notes to Consolidated Financial Statements and “Critical Accounting Policies—Income Taxes” below.</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increased $6 million as compared to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9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1,374,036</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1,555,526</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1,387,682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1,225,795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1,198,807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1,143,586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(a)</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148,241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356,719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244,096</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3060" w:hanging="592"/>
        <w:spacing w:after="0" w:line="611" w:lineRule="auto"/>
        <w:tabs>
          <w:tab w:leader="none" w:pos="596"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See Note 18 of Notes to Consolidated Financial Statements for information regarding business realignment. Certain Lazard fee and transaction statistics for the Financial Advisory segment are set forth below:</w:t>
      </w: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9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166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FF0FC"/>
          </w:tcPr>
          <w:p>
            <w:pPr>
              <w:spacing w:after="0"/>
              <w:rPr>
                <w:sz w:val="19"/>
                <w:szCs w:val="19"/>
                <w:color w:val="auto"/>
              </w:rPr>
            </w:pPr>
          </w:p>
        </w:tc>
      </w:tr>
      <w:tr>
        <w:trPr>
          <w:trHeight w:val="215"/>
        </w:trPr>
        <w:tc>
          <w:tcPr>
            <w:tcW w:w="7540" w:type="dxa"/>
            <w:vAlign w:val="bottom"/>
            <w:gridSpan w:val="2"/>
          </w:tcPr>
          <w:p>
            <w:pPr>
              <w:spacing w:after="0"/>
              <w:rPr>
                <w:sz w:val="20"/>
                <w:szCs w:val="20"/>
                <w:color w:val="auto"/>
              </w:rPr>
            </w:pPr>
            <w:r>
              <w:rPr>
                <w:rFonts w:ascii="Arial" w:cs="Arial" w:eastAsia="Arial" w:hAnsi="Arial"/>
                <w:sz w:val="18"/>
                <w:szCs w:val="18"/>
                <w:color w:val="auto"/>
              </w:rPr>
              <w:t>Percentage of total Financial Advisory net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from top 10 clients (a)</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5"/>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M&amp;A transactions completed with</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values greater than $500 million (b)</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20"/>
                <w:szCs w:val="20"/>
                <w:color w:val="auto"/>
              </w:rPr>
            </w:pPr>
          </w:p>
        </w:tc>
      </w:tr>
      <w:tr>
        <w:trPr>
          <w:trHeight w:val="432"/>
        </w:trPr>
        <w:tc>
          <w:tcPr>
            <w:tcW w:w="6620" w:type="dxa"/>
            <w:vAlign w:val="bottom"/>
          </w:tcPr>
          <w:p>
            <w:pPr>
              <w:ind w:left="5620"/>
              <w:spacing w:after="0"/>
              <w:rPr>
                <w:sz w:val="20"/>
                <w:szCs w:val="20"/>
                <w:color w:val="auto"/>
              </w:rPr>
            </w:pPr>
            <w:r>
              <w:rPr>
                <w:rFonts w:ascii="Arial" w:cs="Arial" w:eastAsia="Arial" w:hAnsi="Arial"/>
                <w:sz w:val="18"/>
                <w:szCs w:val="18"/>
                <w:color w:val="auto"/>
              </w:rPr>
              <w:t>47</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600" w:right="400" w:hanging="592"/>
        <w:spacing w:after="0" w:line="274"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5060" cy="8890"/>
                    </a:xfrm>
                    <a:prstGeom prst="rect">
                      <a:avLst/>
                    </a:prstGeom>
                    <a:noFill/>
                  </pic:spPr>
                </pic:pic>
              </a:graphicData>
            </a:graphic>
          </wp:anchor>
        </w:drawing>
        <w:t>No individual client constituted more than 10% of our Financial Advisory segment net revenue in the years ended December 31, 2019, 2018 and 2017.</w:t>
      </w: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Dealogic as of January 3, 2020.</w:t>
      </w:r>
    </w:p>
    <w:p>
      <w:pPr>
        <w:spacing w:after="0" w:line="22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Canada,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9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Financial Advisory net revenue decreased $181 million, or 12%, as compared to 2018. The decrease in Financial Advisory net revenue was primarily a result of a decrease in the number of fees greater than $5 million as compared to 2018.</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Operating expenses, which included $40 million associated with business realignment in 2019, increased $27 million, or 2%, as compared to 2018.</w:t>
      </w:r>
    </w:p>
    <w:p>
      <w:pPr>
        <w:spacing w:after="0" w:line="248"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Financial Advisory operating income was $148 million, a decrease of $208 million, or 58%, as compared to operating income of $357 million in 2018 and, as a percentage of net revenue, was 10.8%, as compared to 22.9%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40,612</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49,759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43,663</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38,263</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248,239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Total AUM at December 31, 2019 was $248 billion, an increase of $33 billion, or 16%, as compared to total AUM of $215 billion at December 31, 2018, due to market appreciation, partially offset by net outflows and foreign exchange depreciation. Average AUM for the year ended December 31, 2019 decreased $7 billion, or 3%, as compared to 2018.</w:t>
      </w:r>
    </w:p>
    <w:p>
      <w:pPr>
        <w:spacing w:after="0" w:line="181"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As of December 31, 2019 approximately 86% of our AUM was managed on behalf of institutional clients, including corporations, labor unions, public pension funds, insurance companies and banks, and through sub-advisory relationships, mutual fund sponsors, broker-dealers and registered advisors as compared to approximately 88% as of December 31, 2018. As of December 31, 2019, approximately 14% of our AUM was managed on behalf of individual client relationships, which are principally with family offices and individuals, as compared to approximately 12% as of December 31, 2018.</w:t>
      </w:r>
    </w:p>
    <w:p>
      <w:pPr>
        <w:spacing w:after="0" w:line="154"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As of December 31, 2019, AUM with foreign currency exposure represented approximately 67% of our total AUM, as compared to 70% at December 31, 2018.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1" w:name="page52"/>
    <w:bookmarkEnd w:id="51"/>
    <w:p>
      <w:pPr>
        <w:ind w:left="60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2019,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(38,722)</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(9,644)</w:t>
            </w: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38,421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42,979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Inflows in the Equity asset class were primarily attributable to the Global, Local and Multi-Regional platforms, and inflows in the Fixed Income asset class were primarily attributable to the Global, Multi-Regional and Emerging Markets platforms. Outflows in the Equity asset class were primarily attributable to the Emerging Markets, Global and Multi-Regional equity platforms, and outflows in the Fixed Income asset class were primarily attributable to the Emerging Markets and Global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92"/>
              </w:rPr>
              <w:t>Year Ended December 31, 2018</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(5,554)</w:t>
            </w: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(19,967)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(6,839)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(21,298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416"/>
              <w:spacing w:after="0"/>
              <w:rPr>
                <w:sz w:val="20"/>
                <w:szCs w:val="20"/>
                <w:color w:val="auto"/>
              </w:rPr>
            </w:pPr>
            <w:r>
              <w:rPr>
                <w:rFonts w:ascii="Arial" w:cs="Arial" w:eastAsia="Arial" w:hAnsi="Arial"/>
                <w:sz w:val="14"/>
                <w:szCs w:val="14"/>
                <w:b w:val="1"/>
                <w:bCs w:val="1"/>
                <w:color w:val="auto"/>
                <w:w w:val="92"/>
              </w:rPr>
              <w:t>Year Ended December 31, 2017</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As of February 18, 2020, AUM was $247.8 billion, a $0.4 billion decrease since December 31, 2019. The decrease in AUM was due to foreign exchange depreciation of $3.7 billion and net outflows of $1.4 billion, offset by market appreciation of $4.7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340" w:firstLine="598"/>
        <w:spacing w:after="0" w:line="277" w:lineRule="auto"/>
        <w:rPr>
          <w:sz w:val="20"/>
          <w:szCs w:val="20"/>
          <w:color w:val="auto"/>
        </w:rPr>
      </w:pPr>
      <w:r>
        <w:rPr>
          <w:rFonts w:ascii="Arial" w:cs="Arial" w:eastAsia="Arial" w:hAnsi="Arial"/>
          <w:sz w:val="18"/>
          <w:szCs w:val="18"/>
          <w:color w:val="auto"/>
        </w:rPr>
        <w:t>Average AUM for the years ended December 31, 2019, 2018 and 2017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193,091</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201,404</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188,796</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33,187</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234,374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241,247</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1,237,390</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1,331,801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1,255,820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Expenses (a)</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887,522</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912,110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349,868</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419,691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444,950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18 of Notes to Consolidated Financial Statements for information regarding business realignment.</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Our top ten clients accounted for 28%, 26% and 25% of our total AUM at December 31, 2019, 2018 and 2017, respectively, and no individual client constituted more than 10% of our Asset Management segment net revenue during any of the respective years.</w:t>
      </w:r>
    </w:p>
    <w:p>
      <w:pPr>
        <w:spacing w:after="0" w:line="170"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Asset Management net revenue decreased $94 million, or 7%, as compared to 2018. Management fees and other revenue was $1,216 million, a decrease of $95 million, or 7%, as compared to $1,311 million in 2018, primarily due to a decrease in average AUM and change in asset mix. Incentive fees were unchanged as compared to 2018.</w:t>
      </w:r>
    </w:p>
    <w:p>
      <w:pPr>
        <w:spacing w:after="0" w:line="181"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Operating expenses, which included $16 million associated with business realignment in 2019, decreased $25 million, or 3%, as compared to 2018, primarily due to a decrease in compensation and benefits expense associated with decreased operating revenue as well as lower fund administration fees.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$350 million, a decrease of $70 million, or 17%, as compared to operating income of $420 million in 2018 and, as a percentage of net revenue, was 28.3%, as compared to 31.5% in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(75,593)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(51,452)</w:t>
            </w:r>
          </w:p>
        </w:tc>
      </w:tr>
      <w:tr>
        <w:trPr>
          <w:trHeight w:val="223"/>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Other Revenue (Expense)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(17,106)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46,723</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(24,653)</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(60,975)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Expenses (Benefit) (a)</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34,669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(135,591)</w:t>
            </w:r>
          </w:p>
        </w:tc>
      </w:tr>
      <w:tr>
        <w:trPr>
          <w:trHeight w:val="223"/>
        </w:trPr>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(95,644)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 2019, 2018 and 2017, benefits of $503, $6,495 and $202,546, respectively, pursuant to the tax receivable agreement.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versus December 31,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increased $20 million, or 45%, as compared to 2018 due to an increase in senior debt outstanding in 2019.</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revenue increased $56 million as compared to 2018, primarily due to higher income in 2019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Operating expenses, which included (i) in 2019, $8 million associated with business realignment and (ii) in 2018, $10 million relating to expenses associated with an unconditional commitment to the Lazard Foundation, increased $46 million in 2019, primarily due to an increase in compensation and benefits expense, which reflected an increase in charges pertaining to LFI.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were also affected: (i) in 2019, by Lazard Group’s issuance of $500 million aggregate principal amount of its 4.375% senior notes maturing in 2029 (the “2029 Notes”); (ii) in 2018, by Lazard Group’s issuance of $500 million aggregate principal amount of its 4.50% senior notes maturing in 2028 (the “2028 Notes”) and (iii) in 2019 and 2018, the redemption of the 2020 Notes.</w:t>
      </w:r>
    </w:p>
    <w:p>
      <w:pPr>
        <w:spacing w:after="0" w:line="188" w:lineRule="exact"/>
        <w:rPr>
          <w:sz w:val="20"/>
          <w:szCs w:val="20"/>
          <w:color w:val="auto"/>
        </w:rPr>
      </w:pPr>
    </w:p>
    <w:p>
      <w:pPr>
        <w:jc w:val="both"/>
        <w:ind w:right="480" w:firstLine="59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2019,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Summary of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w w:val="94"/>
              </w:rPr>
              <w:t>Adjustments to reconcile net income to net cash provided by operating activities (a)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operating activities (b)</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240" w:type="dxa"/>
            <w:vAlign w:val="bottom"/>
            <w:tcBorders>
              <w:bottom w:val="single" w:sz="8" w:color="CFF0FC"/>
            </w:tcBorders>
          </w:tcPr>
          <w:p>
            <w:pPr>
              <w:spacing w:after="0"/>
              <w:rPr>
                <w:sz w:val="19"/>
                <w:szCs w:val="19"/>
                <w:color w:val="auto"/>
              </w:rPr>
            </w:pPr>
          </w:p>
        </w:tc>
        <w:tc>
          <w:tcPr>
            <w:tcW w:w="6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Financing activities (c)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(318)</w:t>
            </w: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05"/>
        </w:trPr>
        <w:tc>
          <w:tcPr>
            <w:tcW w:w="65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Net Increase (Decrease) in Cash and Cash Equivalents and</w:t>
            </w:r>
          </w:p>
        </w:tc>
        <w:tc>
          <w:tcPr>
            <w:tcW w:w="2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540" w:type="dxa"/>
            <w:vAlign w:val="bottom"/>
            <w:gridSpan w:val="3"/>
          </w:tcPr>
          <w:p>
            <w:pPr>
              <w:ind w:left="140"/>
              <w:spacing w:after="0"/>
              <w:rPr>
                <w:sz w:val="20"/>
                <w:szCs w:val="20"/>
                <w:color w:val="auto"/>
              </w:rPr>
            </w:pPr>
            <w:r>
              <w:rPr>
                <w:rFonts w:ascii="Arial" w:cs="Arial" w:eastAsia="Arial" w:hAnsi="Arial"/>
                <w:sz w:val="18"/>
                <w:szCs w:val="18"/>
                <w:b w:val="1"/>
                <w:bCs w:val="1"/>
                <w:color w:val="auto"/>
              </w:rPr>
              <w:t>Restricted Cash</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30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6300" w:type="dxa"/>
            <w:vAlign w:val="bottom"/>
            <w:gridSpan w:val="2"/>
          </w:tcPr>
          <w:p>
            <w:pPr>
              <w:ind w:left="360"/>
              <w:spacing w:after="0"/>
              <w:rPr>
                <w:sz w:val="20"/>
                <w:szCs w:val="20"/>
                <w:color w:val="auto"/>
              </w:rPr>
            </w:pPr>
            <w:r>
              <w:rPr>
                <w:rFonts w:ascii="Arial" w:cs="Arial" w:eastAsia="Arial" w:hAnsi="Arial"/>
                <w:sz w:val="18"/>
                <w:szCs w:val="18"/>
                <w:color w:val="auto"/>
              </w:rPr>
              <w:t>Consists of the following:</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6"/>
        </w:trPr>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Deferred tax provision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Benefit pursuant to tax receivable agreement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(203)</w:t>
            </w: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49" w:lineRule="exact"/>
        <w:rPr>
          <w:rFonts w:ascii="Arial" w:cs="Arial" w:eastAsia="Arial" w:hAnsi="Arial"/>
          <w:sz w:val="18"/>
          <w:szCs w:val="18"/>
          <w:color w:val="auto"/>
        </w:rPr>
      </w:pPr>
    </w:p>
    <w:p>
      <w:pPr>
        <w:ind w:left="600" w:right="20" w:hanging="592"/>
        <w:spacing w:after="0" w:line="259"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RSUs, vested restricted stock awards and vested PRSUs, Class A common stock dividends, changes in customer deposits, distributions to noncontrolling interest holders, and activity relating to borrowings (including, in 2019 and 2018, the redemption of the 2020 Notes and the issuance of the 2029 and 2028 Notes, respectively).</w:t>
      </w:r>
    </w:p>
    <w:p>
      <w:pPr>
        <w:spacing w:after="0" w:line="11" w:lineRule="exact"/>
        <w:rPr>
          <w:rFonts w:ascii="Arial" w:cs="Arial" w:eastAsia="Arial" w:hAnsi="Arial"/>
          <w:sz w:val="18"/>
          <w:szCs w:val="18"/>
          <w:color w:val="auto"/>
        </w:rPr>
      </w:pPr>
    </w:p>
    <w:p>
      <w:pPr>
        <w:ind w:left="600" w:right="640" w:hanging="59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ind w:right="40" w:firstLine="59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year ended December 31, 2019, as reflected on the consolidated statements of financial condition, both “deposits with banks and short-term investments” and “deposits and other customer payables” increased as compared to December 31, 2018, due to a higher level of LFB customer-related demand deposits, primarily from clients and funds managed by LFG.</w:t>
      </w:r>
    </w:p>
    <w:p>
      <w:pPr>
        <w:spacing w:after="0" w:line="17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Lazard’s consolidated financial statements are presented in U.S. Dollars. Many of Lazard’s non-U.S. subsidiaries have a functional currency (</w:t>
      </w:r>
      <w:r>
        <w:rPr>
          <w:rFonts w:ascii="Arial" w:cs="Arial" w:eastAsia="Arial" w:hAnsi="Arial"/>
          <w:sz w:val="17"/>
          <w:szCs w:val="17"/>
          <w:i w:val="1"/>
          <w:iCs w:val="1"/>
          <w:color w:val="auto"/>
        </w:rPr>
        <w:t>i.e.</w:t>
      </w:r>
      <w:r>
        <w:rPr>
          <w:rFonts w:ascii="Arial" w:cs="Arial" w:eastAsia="Arial" w:hAnsi="Arial"/>
          <w:sz w:val="17"/>
          <w:szCs w:val="17"/>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consolidated statements of operations.</w:t>
      </w:r>
    </w:p>
    <w:p>
      <w:pPr>
        <w:spacing w:after="0" w:line="178"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dividend payments, purchases of shares of Class A common stock and matters relating to liquidity and to compliance with regulatory net capital requirements. At December 31, 2019, Lazard had approximately $1,232 million of cash, with such amount including approximately $612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93" w:lineRule="exact"/>
        <w:rPr>
          <w:sz w:val="20"/>
          <w:szCs w:val="20"/>
          <w:color w:val="auto"/>
        </w:rPr>
      </w:pPr>
    </w:p>
    <w:p>
      <w:pPr>
        <w:jc w:val="both"/>
        <w:ind w:right="280" w:firstLine="59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December 31, 2019,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w:t>
      </w:r>
    </w:p>
    <w:p>
      <w:pPr>
        <w:spacing w:after="0" w:line="187" w:lineRule="exact"/>
        <w:rPr>
          <w:sz w:val="20"/>
          <w:szCs w:val="20"/>
          <w:color w:val="auto"/>
        </w:rPr>
      </w:pPr>
    </w:p>
    <w:p>
      <w:pPr>
        <w:ind w:right="340" w:firstLine="59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3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color w:val="auto"/>
        </w:rPr>
        <w:t>The table below sets forth our corporate indebtedness as of December 31, 2019 and 2018. The agreements with respect to this indebtedness are discussed in more detail in our consolidated financial statements and related notes included elsewhere in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2029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w:t>
      </w:r>
    </w:p>
    <w:p>
      <w:pPr>
        <w:spacing w:after="0" w:line="170"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w:t>
      </w:r>
    </w:p>
    <w:p>
      <w:pPr>
        <w:spacing w:after="0" w:line="17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2019, Lazard Group was in compliance with such ratios, with its Consolidated Leverage Ratio being 1.84 to 1.00 and its Consolidated Interest Coverage Ratio being 12.82 to 1.00. In any event, no amounts were outstanding under the Amended and Restated Credit Agreement as of December 31, 2019.</w:t>
      </w:r>
    </w:p>
    <w:p>
      <w:pPr>
        <w:spacing w:after="0" w:line="192"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13 of Notes to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left="30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At December 31, 2019, total stockholders’ equity was $682 million, as compared to $970 million and $1,259 million at December 31, 2018 and 2017, respectively, including $610 million, $917 million and $1,200 million attributable to Lazard Ltd on the respective dates. The net activity in stockholders’ equity during the years ended December 31, 2019 and 2018 is reflected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44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4"/>
          </w:tcPr>
          <w:p>
            <w:pPr>
              <w:jc w:val="right"/>
              <w:ind w:right="565"/>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 - Beginning of Year</w:t>
            </w:r>
          </w:p>
        </w:tc>
        <w:tc>
          <w:tcPr>
            <w:tcW w:w="244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74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58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Purchase of Class A common stock</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r>
      <w:tr>
        <w:trPr>
          <w:trHeight w:val="230"/>
        </w:trPr>
        <w:tc>
          <w:tcPr>
            <w:tcW w:w="58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r>
      <w:tr>
        <w:trPr>
          <w:trHeight w:val="230"/>
        </w:trPr>
        <w:tc>
          <w:tcPr>
            <w:tcW w:w="58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Class A common stock dividends</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r>
      <w:tr>
        <w:trPr>
          <w:trHeight w:val="230"/>
        </w:trPr>
        <w:tc>
          <w:tcPr>
            <w:tcW w:w="58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 net</w:t>
            </w: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6180" w:type="dxa"/>
            <w:vAlign w:val="bottom"/>
            <w:gridSpan w:val="3"/>
          </w:tcPr>
          <w:p>
            <w:pPr>
              <w:ind w:left="580"/>
              <w:spacing w:after="0"/>
              <w:rPr>
                <w:sz w:val="20"/>
                <w:szCs w:val="20"/>
                <w:color w:val="auto"/>
              </w:rPr>
            </w:pPr>
            <w:r>
              <w:rPr>
                <w:rFonts w:ascii="Arial" w:cs="Arial" w:eastAsia="Arial" w:hAnsi="Arial"/>
                <w:sz w:val="18"/>
                <w:szCs w:val="18"/>
                <w:color w:val="auto"/>
              </w:rPr>
              <w:t>Stockholders’ Equity - End of Year</w:t>
            </w:r>
          </w:p>
        </w:tc>
        <w:tc>
          <w:tcPr>
            <w:tcW w:w="1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6,956,097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12,206,652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13,674,439</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80" w:firstLine="598"/>
        <w:spacing w:after="0" w:line="308" w:lineRule="auto"/>
        <w:rPr>
          <w:sz w:val="20"/>
          <w:szCs w:val="20"/>
          <w:color w:val="auto"/>
        </w:rPr>
      </w:pPr>
      <w:r>
        <w:rPr>
          <w:rFonts w:ascii="Arial" w:cs="Arial" w:eastAsia="Arial" w:hAnsi="Arial"/>
          <w:sz w:val="17"/>
          <w:szCs w:val="17"/>
          <w:color w:val="auto"/>
        </w:rPr>
        <w:t>As of December 31, 2019, a total of $401 million of share repurchase authorization remained available under the Company’s share repurchase program, $101 million of which will expire on December 31, 2020 and $300 million of which will expire on December 31, 2021.</w:t>
      </w:r>
    </w:p>
    <w:p>
      <w:pPr>
        <w:spacing w:after="0" w:line="14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During the year ended December 31, 2019,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On October 31, 2019, Lazard Group distributed to its managing members, which are subsidiaries of Lazard Ltd, 17,000,000 shares of Class A common stock that were held by Lazard Group. These shares were ultimately received by Lazard Ltd and cancelled. There was no impact on total stockholders’ equity as a result of the share cancellation.</w:t>
      </w:r>
    </w:p>
    <w:p>
      <w:pPr>
        <w:spacing w:after="0" w:line="18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On January 29, 2020, the Board of Directors of Lazard declared a quarterly dividend of $0.47 per share on our Class A common stock. The dividend is payable on February 28, 2020, to stockholders of record on February 18,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right="360" w:firstLine="59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See Notes 15 and 16 of Notes to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22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2,273,667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$19,584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794,075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152,472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124,064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3,073,798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292,972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264,564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9"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the 2029 Notes. Interest on the 2029 Notes is payable semi-annually on March 11 and September 11 of each year, beginning September 11, 2019. Lazard Group used a portion of the net proceeds of the 2029 Notes during March and April 2019 to redeem or otherwise retire the remaining $250,000 of the 2020 Notes. See Note 13 of Notes to Consolidated Financial Statements.</w:t>
      </w:r>
    </w:p>
    <w:p>
      <w:pPr>
        <w:spacing w:after="0" w:line="11" w:lineRule="exact"/>
        <w:rPr>
          <w:rFonts w:ascii="Arial" w:cs="Arial" w:eastAsia="Arial" w:hAnsi="Arial"/>
          <w:sz w:val="18"/>
          <w:szCs w:val="18"/>
          <w:color w:val="auto"/>
        </w:rPr>
      </w:pPr>
    </w:p>
    <w:p>
      <w:pPr>
        <w:ind w:left="600" w:right="100" w:hanging="592"/>
        <w:spacing w:after="0" w:line="281"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$11,155 are excluded. Such commitments are required to be funded by capital contributions from noncontrolling interest holders. See Note 7 of Notes to Consolidated Financial Statements. These amounts are generally due on demand and therefore are presented in the “less than 1 year” category.</w:t>
      </w:r>
    </w:p>
    <w:p>
      <w:pPr>
        <w:spacing w:after="0" w:line="2" w:lineRule="exact"/>
        <w:rPr>
          <w:rFonts w:ascii="Arial" w:cs="Arial" w:eastAsia="Arial" w:hAnsi="Arial"/>
          <w:sz w:val="17"/>
          <w:szCs w:val="17"/>
          <w:color w:val="auto"/>
        </w:rPr>
      </w:pPr>
    </w:p>
    <w:p>
      <w:pPr>
        <w:ind w:left="600" w:right="140" w:hanging="592"/>
        <w:spacing w:after="0" w:line="291"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December 31, 2019, a tax receivable agreement obligation of $247,344 was recorded on the consolidated statements of financial condition, of which the Company currently expects that approximately $25,000 will be paid within the next 12 months. See “Critical Accounting Policies and Estimates —Income Taxes” below. See also Notes 14, 16, 17, 19 and 21 of Notes to Consolidated Financial Statements regarding information in connection with commitments, incentive plans, employee benefit plans, income taxes and tax receivable agreement obligations,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impacting overall levels of M&amp;A activity, reducing our AUM or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6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0" w:name="page61"/>
    <w:bookmarkEnd w:id="60"/>
    <w:p>
      <w:pPr>
        <w:ind w:right="300"/>
        <w:spacing w:after="0" w:line="302" w:lineRule="auto"/>
        <w:rPr>
          <w:sz w:val="20"/>
          <w:szCs w:val="20"/>
          <w:color w:val="auto"/>
        </w:rPr>
      </w:pPr>
      <w:r>
        <w:rPr>
          <w:rFonts w:ascii="Arial" w:cs="Arial" w:eastAsia="Arial" w:hAnsi="Arial"/>
          <w:sz w:val="16"/>
          <w:szCs w:val="16"/>
          <w:color w:val="auto"/>
        </w:rPr>
        <w:t>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2019, on a consolidated basis, we recorded gross deferred tax assets of approximately $737 million, with such amount partially offset by a valuation allowance of approximately $76 million (as described below).</w:t>
      </w:r>
    </w:p>
    <w:p>
      <w:pPr>
        <w:spacing w:after="0" w:line="18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account all available information, we cannot determine that it is more likely than not that deferred tax assets held by these entities will be realized.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we have recorded valuation allowances on $76 million of deferred tax assets held by these entities as of December 31, 2019.</w:t>
      </w:r>
    </w:p>
    <w:p>
      <w:pPr>
        <w:spacing w:after="0" w:line="21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$11 million, $33 million and $9 million from the vesting of share-based incentive compensation in the provision for income taxes in the consolidated statements of operations for the years ended December 31, 2019, 2018 and 2017, respectively. Upon adoption of the new guidance, we also recorded deferred tax assets of $82 million, net of a valuation allowance of $12 million, for previously unrecognized excess tax benefits (including tax benefits from dividends or dividend equivalents) on share-based incentive compensation, with an offsetting adjustment to retained earnings.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consolidated statements of operations and the classification of cash flows in the relevant periods.</w:t>
      </w:r>
    </w:p>
    <w:p>
      <w:pPr>
        <w:spacing w:after="0" w:line="166"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On December 22, 2017,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and in 2019, the IRS issued broad and complex final and proposed regulations interpreting such provisions of the Tax Act.</w:t>
      </w:r>
    </w:p>
    <w:p>
      <w:pPr>
        <w:spacing w:after="0" w:line="158"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Lazard is a holding company that is treated as a publicly traded partnership for U.S. tax purposes, and our U.S. and certain foreign subsidiaries were impacted by the Tax Act. See Notes 19 and 21 of Notes to Consolidated Financial Statements for additional information regarding the impact of the Tax Act on us.</w:t>
      </w:r>
    </w:p>
    <w:p>
      <w:pPr>
        <w:spacing w:after="0" w:line="18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1A, “Risk Factors” and Note 19 of Notes to Consolidated Financial Statements for additional information related to income taxes.</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21 of Notes to Consolidated Financial Statements for additional information regarding the Amended and Restated Tax Receivable Agreement.</w:t>
      </w:r>
    </w:p>
    <w:p>
      <w:pPr>
        <w:spacing w:after="0" w:line="154"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line="276" w:lineRule="auto"/>
        <w:rPr>
          <w:sz w:val="20"/>
          <w:szCs w:val="20"/>
          <w:color w:val="auto"/>
        </w:rPr>
      </w:pPr>
      <w:r>
        <w:rPr>
          <w:rFonts w:ascii="Arial" w:cs="Arial" w:eastAsia="Arial" w:hAnsi="Arial"/>
          <w:sz w:val="17"/>
          <w:szCs w:val="17"/>
          <w:color w:val="auto"/>
        </w:rPr>
        <w:t>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73"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December 31, 2019 and 2018 was $247 million and $271 million, respectively, and is recorded in “tax receivable agreement obligation” on the consolidated statements of financial condition.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7 of Notes to Consolidated Financial Statements for additional information on the measurement of the fair value of investments.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Data relating to investments is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Equities (a)</w:t>
            </w:r>
          </w:p>
        </w:tc>
        <w:tc>
          <w:tcPr>
            <w:tcW w:w="2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93,535</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income</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13,923</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Alternative investments</w:t>
            </w:r>
          </w:p>
        </w:tc>
        <w:tc>
          <w:tcPr>
            <w:tcW w:w="2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113,308</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Other investments owned: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 equity (b)</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41,788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Interest-bearing deposits</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income and other (c)</w:t>
            </w:r>
          </w:p>
        </w:tc>
        <w:tc>
          <w:tcPr>
            <w:tcW w:w="23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124,670</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226,346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Total other investments owned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148,775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268,644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Subtotal</w:t>
            </w:r>
          </w:p>
        </w:tc>
        <w:tc>
          <w:tcPr>
            <w:tcW w:w="2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262,083</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358,733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Add: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 equity consolidated, not owned (d)</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10,774</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LFI (e)</w:t>
            </w:r>
          </w:p>
        </w:tc>
        <w:tc>
          <w:tcPr>
            <w:tcW w:w="2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259,138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201,860</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531,995</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60" w:type="dxa"/>
            <w:vAlign w:val="bottom"/>
            <w:vMerge w:val="restart"/>
          </w:tcPr>
          <w:p>
            <w:pPr>
              <w:jc w:val="right"/>
              <w:ind w:right="151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600" w:hanging="592"/>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5060" cy="8890"/>
                    </a:xfrm>
                    <a:prstGeom prst="rect">
                      <a:avLst/>
                    </a:prstGeom>
                    <a:noFill/>
                  </pic:spPr>
                </pic:pic>
              </a:graphicData>
            </a:graphic>
          </wp:anchor>
        </w:drawing>
        <w:t>At December 31, 2019 and 2018, seed investments in directly owned equity securities were invested as follows:</w:t>
      </w:r>
    </w:p>
    <w:p>
      <w:pPr>
        <w:spacing w:after="0" w:line="31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00" w:right="80" w:hanging="592"/>
        <w:spacing w:after="0" w:line="290" w:lineRule="auto"/>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Private equity investments include investments related to certain legacy businesses and co-investments in private equity funds managed by our Asset Management business. Co-investments owned were $20 million and $27 million as of December 31, 2019 and 2018, respectively.</w:t>
      </w:r>
    </w:p>
    <w:p>
      <w:pPr>
        <w:ind w:left="600" w:right="20" w:hanging="592"/>
        <w:spacing w:after="0" w:line="274"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December 31, 2019 and 2018, includes investments in U.S. Treasury securities of approximately $100 million and $200 million, respectively, with original maturities of greater than three months and less than one year.</w:t>
      </w:r>
    </w:p>
    <w:p>
      <w:pPr>
        <w:ind w:left="600" w:right="140" w:hanging="592"/>
        <w:spacing w:after="0" w:line="264"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5" w:lineRule="exact"/>
        <w:rPr>
          <w:rFonts w:ascii="Arial" w:cs="Arial" w:eastAsia="Arial" w:hAnsi="Arial"/>
          <w:sz w:val="18"/>
          <w:szCs w:val="18"/>
          <w:color w:val="auto"/>
        </w:rPr>
      </w:pPr>
    </w:p>
    <w:p>
      <w:pPr>
        <w:ind w:left="600" w:hanging="592"/>
        <w:spacing w:after="0" w:line="297" w:lineRule="auto"/>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$93 million in eight entities as of December 31, 2019, as compared to $69 million in three entities as of December 31, 2018.</w:t>
      </w:r>
    </w:p>
    <w:p>
      <w:pPr>
        <w:spacing w:after="0" w:line="15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At December 31, 2019 and 2018, total investments with a fair value of $531 million and $575 million, respectively, included $34 million and $57 million, respectively, or 6% and 10%, respectively, of investments that were classified using NAV or its equivalent as a practical expedient. See Notes 6 and 7 of Notes to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As of December 31, 2019 and 2018, the Company held seed investments of approximately $113 million and $90 million, respectively. Seed investments held in entities in which the Company maintained a controlling interest were $47 million in seven entities as of December 31, 2019, as compared to $31 million in eight entities as of December 31, 2018.</w:t>
      </w:r>
    </w:p>
    <w:p>
      <w:pPr>
        <w:spacing w:after="0" w:line="181"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As of December 31, 2019 and 2018, the Company did not consolidate or deconsolidate any seed investment entities or LFI investment entities, with the exception of the recent consolidation of certain LFI funds (see Note 24 of Notes to Consolidated Financial Statements). As such, 100% of the recorded balance of seed investments and substantially all of LFI investments as of December 31, 2019 and 2018 represented the Company’s economic interest in the seed and LFI investments. See “—Consolidation of Variable Interest Entities” below for more information on the Company’s policy regarding the consolidation of seed and LFI investment entities.</w:t>
      </w:r>
    </w:p>
    <w:p>
      <w:pPr>
        <w:spacing w:after="0" w:line="188"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64" w:name="page65"/>
    <w:bookmarkEnd w:id="64"/>
    <w:p>
      <w:pPr>
        <w:ind w:left="30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The goodwill impairment test as of November 1, 2019 indicated that no reporting units were at risk of impairment. See Note 11 of Notes to Consolidated Financial Statements for additional information regarding goodwill.</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1200" w:right="360" w:hanging="598"/>
        <w:spacing w:after="0" w:line="312" w:lineRule="auto"/>
        <w:tabs>
          <w:tab w:leader="none" w:pos="1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38" w:lineRule="exact"/>
        <w:rPr>
          <w:rFonts w:ascii="Arial" w:cs="Arial" w:eastAsia="Arial" w:hAnsi="Arial"/>
          <w:sz w:val="16"/>
          <w:szCs w:val="16"/>
          <w:color w:val="auto"/>
        </w:rPr>
      </w:pPr>
    </w:p>
    <w:p>
      <w:pPr>
        <w:ind w:left="1200" w:right="20" w:hanging="598"/>
        <w:spacing w:after="0" w:line="257" w:lineRule="auto"/>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5" w:name="page66"/>
    <w:bookmarkEnd w:id="65"/>
    <w:p>
      <w:pPr>
        <w:ind w:right="40" w:firstLine="598"/>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Equity Market Price Risk—At December 31, 2019 and 2018, the Company’s exposure to equity market price risk in its investment portfolio, which primarily relates to investments in equity securities, equity funds and hedge funds, was approximately $85 million and $84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$0.8 million in the carrying value of such investments as of December 31, 2019 and 2018, respectively, including the effect of the hedging transactions.</w:t>
      </w:r>
    </w:p>
    <w:p>
      <w:pPr>
        <w:spacing w:after="0" w:line="173"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Interest Rate/Credit Spread Risk—At December 31, 2019 and 2018, the Company’s exposure to interest rate and credit spread risk in its investment portfolio related to investments in debt securities or funds which invest primarily in debt securities was $153 million and $245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$1.0 million and $0.9 million in the carrying value of such investments as of December 31, 2019 and 2018, respectively, including the effect of the hedging transactions.</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Foreign Exchange Rate Risk—At December 31, 2019 and 2018, the Company’s exposure to foreign exchange rate risk in its investment portfolio, which primarily relates to investments in foreign currency denominated equity and debt securities, was $37 million and $41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$0.2 million and $0.1 million in the carrying value of such investments as of December 31, 2019 and 2018, respectively, including the effect of the hedging transactions.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140" w:firstLine="59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December 31, 2019 and 2018, the Company’s exposure to changes in fair value of such investments was approximately $24 million and $42 million, respectively. The Company estimates that a hypothetical 10% adverse change in fair value would result in a decrease of approximately $2.4 million and $4.2 million in the carrying value of such investments as of December 31, 2019 and 2018, respectively.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2019, total receivables amounted to $663 million, net of an allowance for doubtful accounts of $27 million. As of that date, Financial Advisory and Asset Management fees, and customers and other receivables comprised 81% and 19% of total receivables, respectively. At December 31, 2018, total receivables amounted to $686 million, net of an allowance for doubtful accounts of $40 million. As of that date, Financial Advisory and Asset Management fees, and customers and other receivables comprised 73% and 27% of total receivables, respectively. At December 31, 2019 and 2018, the Company had receivables past due or deemed uncollectible of approximately $43 million and $42 million, respectively. See also “Critical Accounting Policies and Estimates—Revenue Recognition” above and Note 5 of Notes to Consolidated Financial Statements for additional information regarding receivables.</w:t>
      </w:r>
    </w:p>
    <w:p>
      <w:pPr>
        <w:spacing w:after="0" w:line="18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2019 and 2018, customer receivables included $76 million and $64 million, respectively, of LFB loans, with such loans being fully collateralized and closely monitored for counterparty creditworthiness.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and $12 million at December 31, 2019 and 2018, respectively, and derivative liabilities, excluding the derivative liability arising from the Company’s obligation pertaining to LFI and other similar deferred compensation arrangements, amounted to $10 million and $1 million at such respective dates.</w:t>
      </w:r>
    </w:p>
    <w:p>
      <w:pPr>
        <w:spacing w:after="0" w:line="173"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$226 million and $188 million at December 31, 2019 and 2018, respectively.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2019, Lazard estimates that its annual operating income relating to cash and cash equivalents would increase by approximately $12 million in the event interest rates were to increase by 1% and decrease by approximately $12 million if rates were to decrease by 1%.</w:t>
      </w:r>
    </w:p>
    <w:p>
      <w:pPr>
        <w:spacing w:after="0" w:line="14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As of December 31, 2019, the Company’s cash and cash equivalents totaled approximately $1,232 million. Substantially all of the Company’s cash and cash equivalents were invested in (i) highly liquid institutional money market funds (a significant majority of which were invested solely in U.S. Government or agency money market funds), (ii) short-term interest bearing and non-interest bearing accounts at a number of leading banks throughout the world, (iii) short-term certificates of deposit from such banks and (iv)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Operational risk is inherent in all of our businesses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31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7"/>
          </w:tcPr>
          <w:p>
            <w:pPr>
              <w:ind w:left="700"/>
              <w:spacing w:after="0"/>
              <w:rPr>
                <w:sz w:val="20"/>
                <w:szCs w:val="20"/>
                <w:color w:val="auto"/>
              </w:rPr>
            </w:pPr>
            <w:r>
              <w:rPr>
                <w:rFonts w:ascii="Arial" w:cs="Arial" w:eastAsia="Arial" w:hAnsi="Arial"/>
                <w:sz w:val="18"/>
                <w:szCs w:val="18"/>
                <w:b w:val="1"/>
                <w:bCs w:val="1"/>
                <w:color w:val="auto"/>
              </w:rPr>
              <w:t>Financial Statements and Supplementary Data</w:t>
            </w:r>
          </w:p>
        </w:tc>
        <w:tc>
          <w:tcPr>
            <w:tcW w:w="720" w:type="dxa"/>
            <w:vAlign w:val="bottom"/>
          </w:tcPr>
          <w:p>
            <w:pPr>
              <w:spacing w:after="0"/>
              <w:rPr>
                <w:sz w:val="20"/>
                <w:szCs w:val="20"/>
                <w:color w:val="auto"/>
              </w:rPr>
            </w:pPr>
          </w:p>
        </w:tc>
      </w:tr>
      <w:tr>
        <w:trPr>
          <w:trHeight w:val="405"/>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291"/>
        </w:trPr>
        <w:tc>
          <w:tcPr>
            <w:tcW w:w="44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Management’s Report on Internal Control Over Financial Reporting</w:t>
              </w:r>
            </w:hyperlink>
          </w:p>
        </w:tc>
        <w:tc>
          <w:tcPr>
            <w:tcW w:w="53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Reports of Independent Registered Public Accounting Firm</w:t>
              </w:r>
            </w:hyperlink>
          </w:p>
        </w:tc>
        <w:tc>
          <w:tcPr>
            <w:tcW w:w="596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4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Financial Condition as of December 31, 2019 and 2018</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years ended December 31, 2019, 2018 and 2017</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Consolidated Statements of Comprehensive Income for the years ended December 31, 2019,</w:t>
              </w:r>
            </w:hyperlink>
          </w:p>
        </w:tc>
        <w:tc>
          <w:tcPr>
            <w:tcW w:w="120" w:type="dxa"/>
            <w:vAlign w:val="bottom"/>
            <w:tcBorders>
              <w:top w:val="single" w:sz="8" w:color="0000EE"/>
            </w:tcBorders>
            <w:gridSpan w:val="2"/>
          </w:tcPr>
          <w:p>
            <w:pPr>
              <w:spacing w:after="0"/>
              <w:rPr>
                <w:sz w:val="24"/>
                <w:szCs w:val="24"/>
                <w:color w:val="auto"/>
              </w:rPr>
            </w:pPr>
          </w:p>
        </w:tc>
        <w:tc>
          <w:tcPr>
            <w:tcW w:w="34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2018 and 2017</w:t>
              </w:r>
            </w:hyperlink>
          </w:p>
        </w:tc>
        <w:tc>
          <w:tcPr>
            <w:tcW w:w="8960" w:type="dxa"/>
            <w:vAlign w:val="bottom"/>
            <w:gridSpan w:val="1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318"/>
        </w:trPr>
        <w:tc>
          <w:tcPr>
            <w:tcW w:w="440" w:type="dxa"/>
            <w:vAlign w:val="bottom"/>
          </w:tcPr>
          <w:p>
            <w:pPr>
              <w:spacing w:after="0"/>
              <w:rPr>
                <w:sz w:val="24"/>
                <w:szCs w:val="24"/>
                <w:color w:val="auto"/>
              </w:rPr>
            </w:pPr>
          </w:p>
        </w:tc>
        <w:tc>
          <w:tcPr>
            <w:tcW w:w="6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 for the years ended December 31, 2019, 2018 and 2017</w:t>
              </w:r>
            </w:hyperlink>
          </w:p>
        </w:tc>
        <w:tc>
          <w:tcPr>
            <w:tcW w:w="3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8"/>
        </w:trPr>
        <w:tc>
          <w:tcPr>
            <w:tcW w:w="440" w:type="dxa"/>
            <w:vAlign w:val="bottom"/>
          </w:tcPr>
          <w:p>
            <w:pPr>
              <w:spacing w:after="0"/>
              <w:rPr>
                <w:sz w:val="24"/>
                <w:szCs w:val="24"/>
                <w:color w:val="auto"/>
              </w:rPr>
            </w:pPr>
          </w:p>
        </w:tc>
        <w:tc>
          <w:tcPr>
            <w:tcW w:w="5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Consolidated Statements of Changes in Stockholders’ Equity for the years ended</w:t>
              </w:r>
            </w:hyperlink>
          </w:p>
        </w:tc>
        <w:tc>
          <w:tcPr>
            <w:tcW w:w="438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December 31, 2019, 2018 and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Notes to Consolidated Financial Statements</w:t>
              </w:r>
            </w:hyperlink>
          </w:p>
        </w:tc>
        <w:tc>
          <w:tcPr>
            <w:tcW w:w="71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8"/>
        </w:trPr>
        <w:tc>
          <w:tcPr>
            <w:tcW w:w="28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35">
              <w:r>
                <w:rPr>
                  <w:rFonts w:ascii="Arial" w:cs="Arial" w:eastAsia="Arial" w:hAnsi="Arial"/>
                  <w:sz w:val="18"/>
                  <w:szCs w:val="18"/>
                  <w:b w:val="1"/>
                  <w:bCs w:val="1"/>
                  <w:color w:val="0000EE"/>
                  <w:w w:val="91"/>
                </w:rPr>
                <w:t>Supplemental Financial Information</w:t>
              </w:r>
            </w:hyperlink>
          </w:p>
        </w:tc>
        <w:tc>
          <w:tcPr>
            <w:tcW w:w="7880" w:type="dxa"/>
            <w:vAlign w:val="bottom"/>
            <w:gridSpan w:val="14"/>
          </w:tcPr>
          <w:p>
            <w:pPr>
              <w:spacing w:after="0"/>
              <w:rPr>
                <w:sz w:val="24"/>
                <w:szCs w:val="24"/>
                <w:color w:val="auto"/>
              </w:rPr>
            </w:pPr>
          </w:p>
        </w:tc>
        <w:tc>
          <w:tcPr>
            <w:tcW w:w="7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Quarterly Results</w:t>
              </w:r>
            </w:hyperlink>
          </w:p>
        </w:tc>
        <w:tc>
          <w:tcPr>
            <w:tcW w:w="898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58"/>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7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260" w:type="dxa"/>
            <w:vAlign w:val="bottom"/>
            <w:gridSpan w:val="18"/>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7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Condensed Statements of Financial Condition as of December 31, 2019 and 2018</w:t>
              </w:r>
            </w:hyperlink>
          </w:p>
        </w:tc>
        <w:tc>
          <w:tcPr>
            <w:tcW w:w="438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Condensed Statements of Operations for the years ended December 31, 2019, 2018 and 2017</w:t>
              </w:r>
            </w:hyperlink>
          </w:p>
        </w:tc>
        <w:tc>
          <w:tcPr>
            <w:tcW w:w="35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18"/>
        </w:trPr>
        <w:tc>
          <w:tcPr>
            <w:tcW w:w="44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Condensed Statements of Comprehensive Income for the years ended December 31, 2019,</w:t>
              </w:r>
            </w:hyperlink>
          </w:p>
        </w:tc>
        <w:tc>
          <w:tcPr>
            <w:tcW w:w="37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2018 and 2017</w:t>
              </w:r>
            </w:hyperlink>
          </w:p>
        </w:tc>
        <w:tc>
          <w:tcPr>
            <w:tcW w:w="8960" w:type="dxa"/>
            <w:vAlign w:val="bottom"/>
            <w:gridSpan w:val="1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318"/>
        </w:trPr>
        <w:tc>
          <w:tcPr>
            <w:tcW w:w="4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Condensed Statements of Cash Flows for the years ended December 31, 2019, 2018 and 2017</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5"/>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Notes to Condensed Financial Statements</w:t>
              </w:r>
            </w:hyperlink>
          </w:p>
        </w:tc>
        <w:tc>
          <w:tcPr>
            <w:tcW w:w="35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858"/>
        </w:trPr>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780" w:type="dxa"/>
            <w:vAlign w:val="bottom"/>
            <w:tcBorders>
              <w:top w:val="single" w:sz="8" w:color="0000EE"/>
            </w:tcBorders>
            <w:gridSpan w:val="5"/>
          </w:tcPr>
          <w:p>
            <w:pPr>
              <w:spacing w:after="0"/>
              <w:rPr>
                <w:sz w:val="24"/>
                <w:szCs w:val="24"/>
                <w:color w:val="auto"/>
              </w:rPr>
            </w:pPr>
          </w:p>
        </w:tc>
        <w:tc>
          <w:tcPr>
            <w:tcW w:w="2880" w:type="dxa"/>
            <w:vAlign w:val="bottom"/>
            <w:gridSpan w:val="4"/>
          </w:tcPr>
          <w:p>
            <w:pPr>
              <w:jc w:val="right"/>
              <w:ind w:right="52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Based on management’s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2019.</w:t>
      </w:r>
    </w:p>
    <w:p>
      <w:pPr>
        <w:spacing w:after="0" w:line="18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2019, as stated in their report which appears under “Report of Independent Registered Public Accounting Firm.”</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0" w:name="page71"/>
    <w:bookmarkEnd w:id="7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Lazard Ltd: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ind w:right="100" w:firstLine="877"/>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Lazard Ltd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ind w:right="400" w:firstLine="87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listed in the Index at Item 8 as of and for the year ended December 31, 2019, of the Company and our report dated February 24, 2020, expressed an unqualified opinion on those consolidated financial statements and financial statement schedule.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60" w:firstLine="877"/>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Lazard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 xml:space="preserve">We have audited the accompanying consolidated statements of financial condition of Lazard Ltd and subsidiaries (the </w:t>
      </w:r>
      <w:r>
        <w:rPr>
          <w:rFonts w:ascii="Arial" w:cs="Arial" w:eastAsia="Arial" w:hAnsi="Arial"/>
          <w:sz w:val="15"/>
          <w:szCs w:val="15"/>
          <w:color w:val="auto"/>
        </w:rPr>
        <w:t>"</w:t>
      </w:r>
      <w:r>
        <w:rPr>
          <w:rFonts w:ascii="Arial" w:cs="Arial" w:eastAsia="Arial" w:hAnsi="Arial"/>
          <w:sz w:val="17"/>
          <w:szCs w:val="17"/>
          <w:color w:val="auto"/>
        </w:rPr>
        <w:t>Company</w:t>
      </w:r>
      <w:r>
        <w:rPr>
          <w:rFonts w:ascii="Arial" w:cs="Arial" w:eastAsia="Arial" w:hAnsi="Arial"/>
          <w:sz w:val="15"/>
          <w:szCs w:val="15"/>
          <w:color w:val="auto"/>
        </w:rPr>
        <w:t>"</w:t>
      </w:r>
      <w:r>
        <w:rPr>
          <w:rFonts w:ascii="Arial" w:cs="Arial" w:eastAsia="Arial" w:hAnsi="Arial"/>
          <w:sz w:val="17"/>
          <w:szCs w:val="17"/>
          <w:color w:val="auto"/>
        </w:rPr>
        <w:t>) as of December 31, 2019 and 2018, and the related consolidated statements of operations, comprehensive income, cash flows, and changes in stockholders’ equity for each of the three years in the period ended December 31, 2019, the related notes and the schedule listed in the Index at Item 8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(U.S. GAAP).</w:t>
      </w:r>
    </w:p>
    <w:p>
      <w:pPr>
        <w:spacing w:after="0" w:line="178" w:lineRule="exact"/>
        <w:rPr>
          <w:sz w:val="20"/>
          <w:szCs w:val="20"/>
          <w:color w:val="auto"/>
        </w:rPr>
      </w:pPr>
    </w:p>
    <w:p>
      <w:pPr>
        <w:ind w:right="40" w:firstLine="877"/>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24, 2020,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firstLine="877"/>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firstLine="877"/>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 and other advisory fees—Refer to Note 4 to the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400" w:firstLine="877"/>
        <w:spacing w:after="0" w:line="277" w:lineRule="auto"/>
        <w:rPr>
          <w:sz w:val="20"/>
          <w:szCs w:val="20"/>
          <w:color w:val="auto"/>
        </w:rPr>
      </w:pPr>
      <w:r>
        <w:rPr>
          <w:rFonts w:ascii="Arial" w:cs="Arial" w:eastAsia="Arial" w:hAnsi="Arial"/>
          <w:sz w:val="18"/>
          <w:szCs w:val="18"/>
          <w:color w:val="auto"/>
        </w:rPr>
        <w:t>The Company generally recognizes investment banking and other advisory fees as the benefits of these advisory services are provided to the Company’s clients. These advisory services typically include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t>announcement and transaction completion fees. These fees are not typically recognized until there is an announcement or completion, respectively, due to the uncertainty associated with those events. However, earlier recognition is appropriate if it is probable that significant reversal of the applicable revenue will not occur.</w:t>
      </w:r>
    </w:p>
    <w:p>
      <w:pPr>
        <w:spacing w:after="0" w:line="181"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We identified investment banking and other advisory fee revenue as a critical audit matter because of the judgment required in determining the appropriate period to recognize transaction announcement and transaction completion fees, including obtaining and evaluating appropriate supporting documentation. As such, auditing these transactions required a high degree of auditor judgment when performing audit procedures and evaluating the results of those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investment banking and other advisory fees included the following, among others:</w:t>
      </w:r>
    </w:p>
    <w:p>
      <w:pPr>
        <w:spacing w:after="0" w:line="117" w:lineRule="exact"/>
        <w:rPr>
          <w:sz w:val="20"/>
          <w:szCs w:val="20"/>
          <w:color w:val="auto"/>
        </w:rPr>
      </w:pPr>
    </w:p>
    <w:p>
      <w:pPr>
        <w:ind w:left="440" w:right="200" w:hanging="432"/>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tested the effectiveness of controls over the recognition of investment banking and other advisory fees, including those over the timing of revenue recognition.</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selected a sample of contracts with clients and performed the following:</w:t>
      </w:r>
    </w:p>
    <w:p>
      <w:pPr>
        <w:spacing w:after="0" w:line="225" w:lineRule="exact"/>
        <w:rPr>
          <w:rFonts w:ascii="Arial" w:cs="Arial" w:eastAsia="Arial" w:hAnsi="Arial"/>
          <w:sz w:val="18"/>
          <w:szCs w:val="18"/>
          <w:color w:val="auto"/>
        </w:rPr>
      </w:pPr>
    </w:p>
    <w:p>
      <w:pPr>
        <w:ind w:left="880" w:right="160" w:hanging="432"/>
        <w:spacing w:after="0" w:line="277" w:lineRule="auto"/>
        <w:rPr>
          <w:rFonts w:ascii="Arial" w:cs="Arial" w:eastAsia="Arial" w:hAnsi="Arial"/>
          <w:sz w:val="18"/>
          <w:szCs w:val="18"/>
          <w:color w:val="auto"/>
        </w:rPr>
      </w:pPr>
      <w:r>
        <w:rPr>
          <w:rFonts w:ascii="Arial" w:cs="Arial" w:eastAsia="Arial" w:hAnsi="Arial"/>
          <w:sz w:val="18"/>
          <w:szCs w:val="18"/>
          <w:color w:val="auto"/>
        </w:rPr>
        <w:t>–Evaluated the terms and conditions of the respective contract to verify the Company appropriately identified its performance obligations and the related fees.</w:t>
      </w:r>
    </w:p>
    <w:p>
      <w:pPr>
        <w:spacing w:after="0" w:line="170" w:lineRule="exact"/>
        <w:rPr>
          <w:rFonts w:ascii="Arial" w:cs="Arial" w:eastAsia="Arial" w:hAnsi="Arial"/>
          <w:sz w:val="18"/>
          <w:szCs w:val="18"/>
          <w:color w:val="auto"/>
        </w:rPr>
      </w:pPr>
    </w:p>
    <w:p>
      <w:pPr>
        <w:ind w:left="880" w:right="480" w:hanging="432"/>
        <w:spacing w:after="0" w:line="277" w:lineRule="auto"/>
        <w:rPr>
          <w:rFonts w:ascii="Arial" w:cs="Arial" w:eastAsia="Arial" w:hAnsi="Arial"/>
          <w:sz w:val="18"/>
          <w:szCs w:val="18"/>
          <w:color w:val="auto"/>
        </w:rPr>
      </w:pPr>
      <w:r>
        <w:rPr>
          <w:rFonts w:ascii="Arial" w:cs="Arial" w:eastAsia="Arial" w:hAnsi="Arial"/>
          <w:sz w:val="18"/>
          <w:szCs w:val="18"/>
          <w:color w:val="auto"/>
        </w:rPr>
        <w:t>–Evaluated the accuracy of management’s calculation of investment banking and other advisory fees recognized by recalculating the revenue amounts and comparing our expectation to the amount recorded by management.</w:t>
      </w:r>
    </w:p>
    <w:p>
      <w:pPr>
        <w:spacing w:after="0" w:line="170" w:lineRule="exact"/>
        <w:rPr>
          <w:rFonts w:ascii="Arial" w:cs="Arial" w:eastAsia="Arial" w:hAnsi="Arial"/>
          <w:sz w:val="18"/>
          <w:szCs w:val="18"/>
          <w:color w:val="auto"/>
        </w:rPr>
      </w:pPr>
    </w:p>
    <w:p>
      <w:pPr>
        <w:ind w:left="880" w:right="20" w:hanging="432"/>
        <w:spacing w:after="0" w:line="28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Evaluated third party and the Company’s evidence, including, but not limited to, confirmations, court and regulatory approvals, press releases, executed agreements, communications, cash received and underlying transaction closing documents, to verify that the revenue recognition criteria were met and revenue was recognized in accordance with U.S. GAAP, including in the appropriate period.</w:t>
      </w:r>
    </w:p>
    <w:p>
      <w:pPr>
        <w:spacing w:after="0" w:line="165"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sample basis, we performed the above procedures on investment banking and other advisory fees recognized in the subsequent year to determine if such revenue should have been recorded in the current year.</w:t>
      </w:r>
    </w:p>
    <w:p>
      <w:pPr>
        <w:spacing w:after="0" w:line="27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1,231,593</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1,246,537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43,280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38,379</w:t>
            </w: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$27,130 and $40,164</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December 31, 2019 and 2018,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Fees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537,442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501,397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125,696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184,137</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663,138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685,534</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531,995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shd w:val="clear" w:color="auto" w:fill="CFF0FC"/>
          </w:tcPr>
          <w:p>
            <w:pPr>
              <w:spacing w:after="0"/>
              <w:rPr>
                <w:sz w:val="19"/>
                <w:szCs w:val="19"/>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$367,545</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and $339,770 at December 31, 2019 and 2018, respectively)</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219,842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212,946</w:t>
            </w:r>
          </w:p>
        </w:tc>
        <w:tc>
          <w:tcPr>
            <w:tcW w:w="120" w:type="dxa"/>
            <w:vAlign w:val="bottom"/>
          </w:tcPr>
          <w:p>
            <w:pPr>
              <w:spacing w:after="0"/>
              <w:rPr>
                <w:sz w:val="20"/>
                <w:szCs w:val="20"/>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551,504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of $68,305 and $65,949 at December 31, 2019 and 2018, respectively)</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373,594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375,318</w:t>
            </w:r>
          </w:p>
        </w:tc>
        <w:tc>
          <w:tcPr>
            <w:tcW w:w="120" w:type="dxa"/>
            <w:vAlign w:val="bottom"/>
          </w:tcPr>
          <w:p>
            <w:pPr>
              <w:spacing w:after="0"/>
              <w:rPr>
                <w:sz w:val="20"/>
                <w:szCs w:val="20"/>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586,750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597,776</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257,199</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258,634</w:t>
            </w:r>
          </w:p>
        </w:tc>
        <w:tc>
          <w:tcPr>
            <w:tcW w:w="120" w:type="dxa"/>
            <w:vAlign w:val="bottom"/>
            <w:tcBorders>
              <w:bottom w:val="single" w:sz="8" w:color="CFF0FC"/>
            </w:tcBorders>
          </w:tcPr>
          <w:p>
            <w:pPr>
              <w:spacing w:after="0"/>
              <w:rPr>
                <w:sz w:val="19"/>
                <w:szCs w:val="19"/>
                <w:color w:val="auto"/>
              </w:rPr>
            </w:pPr>
          </w:p>
        </w:tc>
      </w:tr>
      <w:tr>
        <w:trPr>
          <w:trHeight w:val="223"/>
        </w:trPr>
        <w:tc>
          <w:tcPr>
            <w:tcW w:w="6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5,639,581</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4" w:name="page75"/>
    <w:bookmarkEnd w:id="7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1,246,200</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1,154,207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602,777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585,484</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Senior debt</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1,679,562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1,434,260</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receivable agreement obligation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270,640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534,268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576,986</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4,958,007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4,027,148</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112,766,091 and 129,766,091 shares issued at December 31, 2019</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2018, respectively, including shares held by subsidiaries as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indicated below)</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750,692</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1,195,563</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(293,648)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(273,818)</w:t>
            </w:r>
          </w:p>
        </w:tc>
      </w:tr>
      <w:tr>
        <w:trPr>
          <w:trHeight w:val="223"/>
        </w:trPr>
        <w:tc>
          <w:tcPr>
            <w:tcW w:w="66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942,070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1,673,735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Class A common stock held by subsidiaries, at cost (8,513,493 and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17,574,805 shares at December 31, 2019 and 2018, respectively)</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(332,079)</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(756,884)</w:t>
            </w:r>
          </w:p>
        </w:tc>
      </w:tr>
      <w:tr>
        <w:trPr>
          <w:trHeight w:val="223"/>
        </w:trPr>
        <w:tc>
          <w:tcPr>
            <w:tcW w:w="6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Ltd Stockholders’ Equity</w:t>
            </w:r>
          </w:p>
        </w:tc>
        <w:tc>
          <w:tcPr>
            <w:tcW w:w="1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609,991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916,851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53,242</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681,574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970,093</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5,639,581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1,371,420</w:t>
            </w:r>
          </w:p>
        </w:tc>
        <w:tc>
          <w:tcPr>
            <w:tcW w:w="100" w:type="dxa"/>
            <w:vAlign w:val="bottom"/>
          </w:tcPr>
          <w:p>
            <w:pPr>
              <w:spacing w:after="0"/>
              <w:rPr>
                <w:sz w:val="19"/>
                <w:szCs w:val="19"/>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1,554,114</w:t>
            </w:r>
          </w:p>
        </w:tc>
        <w:tc>
          <w:tcPr>
            <w:tcW w:w="18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1,385,536</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1,180,857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1,268,399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1,195,550</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13,127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109,599</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2,666,958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2,884,833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2,697,829</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2,586,773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2,826,352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2,644,311</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1,563,395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1,514,735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1,512,873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123,149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121,107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108,644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139,693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121,671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47,932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71,305</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(15,897)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Benefit pursuant to tax receivable agreement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(6,495)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(202,546)</w:t>
            </w: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89,486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44,069</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2,194,075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2,145,586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1,818,865</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680,766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825,446</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148,317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565,599</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532,449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259,847</w:t>
            </w:r>
          </w:p>
        </w:tc>
        <w:tc>
          <w:tcPr>
            <w:tcW w:w="100" w:type="dxa"/>
            <w:vAlign w:val="bottom"/>
          </w:tcPr>
          <w:p>
            <w:pPr>
              <w:spacing w:after="0"/>
              <w:rPr>
                <w:sz w:val="19"/>
                <w:szCs w:val="19"/>
                <w:color w:val="auto"/>
              </w:rPr>
            </w:pPr>
          </w:p>
        </w:tc>
      </w:tr>
      <w:tr>
        <w:trPr>
          <w:trHeight w:val="211"/>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00" w:type="dxa"/>
            <w:vAlign w:val="bottom"/>
            <w:shd w:val="clear" w:color="auto" w:fill="CFF0FC"/>
          </w:tcPr>
          <w:p>
            <w:pPr>
              <w:spacing w:after="0"/>
              <w:rPr>
                <w:sz w:val="20"/>
                <w:szCs w:val="20"/>
                <w:color w:val="auto"/>
              </w:rPr>
            </w:pPr>
          </w:p>
        </w:tc>
      </w:tr>
      <w:tr>
        <w:trPr>
          <w:trHeight w:val="26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Borders>
              <w:bottom w:val="single" w:sz="8" w:color="CFF0FC"/>
            </w:tcBorders>
          </w:tcPr>
          <w:p>
            <w:pPr>
              <w:spacing w:after="0"/>
              <w:rPr>
                <w:sz w:val="22"/>
                <w:szCs w:val="22"/>
                <w:color w:val="auto"/>
              </w:rPr>
            </w:pPr>
          </w:p>
        </w:tc>
      </w:tr>
      <w:tr>
        <w:trPr>
          <w:trHeight w:val="192"/>
        </w:trPr>
        <w:tc>
          <w:tcPr>
            <w:tcW w:w="562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ATTRIBUTABLE TO LAZARD LTD CLASS A</w:t>
            </w: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6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COMMON STOCKHOLDERS:</w:t>
            </w: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5620" w:type="dxa"/>
            <w:vAlign w:val="bottom"/>
          </w:tcPr>
          <w:p>
            <w:pPr>
              <w:ind w:left="260"/>
              <w:spacing w:after="0"/>
              <w:rPr>
                <w:sz w:val="20"/>
                <w:szCs w:val="20"/>
                <w:color w:val="auto"/>
              </w:rPr>
            </w:pPr>
            <w:r>
              <w:rPr>
                <w:rFonts w:ascii="Arial" w:cs="Arial" w:eastAsia="Arial" w:hAnsi="Arial"/>
                <w:sz w:val="18"/>
                <w:szCs w:val="18"/>
                <w:b w:val="1"/>
                <w:bCs w:val="1"/>
                <w:color w:val="auto"/>
              </w:rPr>
              <w:t>WEIGHTED AVERAGE SHARES OF</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COMMON STOCK OUTSTANDING:</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110,189,862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119,006,531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121,573,442</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116,079,806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129,767,592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132,479,728</w:t>
            </w:r>
          </w:p>
        </w:tc>
        <w:tc>
          <w:tcPr>
            <w:tcW w:w="100" w:type="dxa"/>
            <w:vAlign w:val="bottom"/>
          </w:tcPr>
          <w:p>
            <w:pPr>
              <w:spacing w:after="0"/>
              <w:rPr>
                <w:sz w:val="19"/>
                <w:szCs w:val="19"/>
                <w:color w:val="auto"/>
              </w:rPr>
            </w:pPr>
          </w:p>
        </w:tc>
      </w:tr>
      <w:tr>
        <w:trPr>
          <w:trHeight w:val="211"/>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 PER SHARE OF COMMON</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STOCK:</w:t>
            </w: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70"/>
        </w:trPr>
        <w:tc>
          <w:tcPr>
            <w:tcW w:w="5620" w:type="dxa"/>
            <w:vAlign w:val="bottom"/>
          </w:tcPr>
          <w:p>
            <w:pPr>
              <w:ind w:left="50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23"/>
                <w:szCs w:val="23"/>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r>
      <w:tr>
        <w:trPr>
          <w:trHeight w:val="210"/>
        </w:trPr>
        <w:tc>
          <w:tcPr>
            <w:tcW w:w="5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532,449</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259,847</w:t>
            </w:r>
          </w:p>
        </w:tc>
        <w:tc>
          <w:tcPr>
            <w:tcW w:w="100" w:type="dxa"/>
            <w:vAlign w:val="bottom"/>
            <w:shd w:val="clear" w:color="auto" w:fill="CFF0FC"/>
          </w:tcPr>
          <w:p>
            <w:pPr>
              <w:spacing w:after="0"/>
              <w:rPr>
                <w:sz w:val="19"/>
                <w:szCs w:val="19"/>
                <w:color w:val="auto"/>
              </w:rPr>
            </w:pPr>
          </w:p>
        </w:tc>
      </w:tr>
      <w:tr>
        <w:trPr>
          <w:trHeight w:val="205"/>
        </w:trPr>
        <w:tc>
          <w:tcPr>
            <w:tcW w:w="682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(46,602)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71,669</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benefit of $17 and $543</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years ended December 31, 2019 and 2018, respectively)</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(2,653)</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6820" w:type="dxa"/>
            <w:vAlign w:val="bottom"/>
          </w:tcPr>
          <w:p>
            <w:pPr>
              <w:ind w:left="500"/>
              <w:spacing w:after="0"/>
              <w:rPr>
                <w:sz w:val="20"/>
                <w:szCs w:val="20"/>
                <w:color w:val="auto"/>
              </w:rPr>
            </w:pPr>
            <w:r>
              <w:rPr>
                <w:rFonts w:ascii="Arial" w:cs="Arial" w:eastAsia="Arial" w:hAnsi="Arial"/>
                <w:sz w:val="18"/>
                <w:szCs w:val="18"/>
                <w:color w:val="auto"/>
              </w:rPr>
              <w:t>Actuarial gain (loss) (net of tax expense (benefit) of</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Pr>
          <w:p>
            <w:pPr>
              <w:ind w:left="640"/>
              <w:spacing w:after="0"/>
              <w:rPr>
                <w:sz w:val="20"/>
                <w:szCs w:val="20"/>
                <w:color w:val="auto"/>
              </w:rPr>
            </w:pPr>
            <w:r>
              <w:rPr>
                <w:rFonts w:ascii="Arial" w:cs="Arial" w:eastAsia="Arial" w:hAnsi="Arial"/>
                <w:sz w:val="18"/>
                <w:szCs w:val="18"/>
                <w:color w:val="auto"/>
              </w:rPr>
              <w:t>$(9,219), $131 and $(3,507) for the years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tcPr>
          <w:p>
            <w:pPr>
              <w:ind w:left="640"/>
              <w:spacing w:after="0"/>
              <w:rPr>
                <w:sz w:val="20"/>
                <w:szCs w:val="20"/>
                <w:color w:val="auto"/>
              </w:rPr>
            </w:pPr>
            <w:r>
              <w:rPr>
                <w:rFonts w:ascii="Arial" w:cs="Arial" w:eastAsia="Arial" w:hAnsi="Arial"/>
                <w:sz w:val="18"/>
                <w:szCs w:val="18"/>
                <w:color w:val="auto"/>
              </w:rPr>
              <w:t>ended December 31, 2019, 2018 and 2017,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(34,014)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(2,781)</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r>
      <w:tr>
        <w:trPr>
          <w:trHeight w:val="215"/>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tax expense of $1,167, $2,335 and $2,220 for the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years ended December 31, 2019, 2018 and 2017,</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2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FF0FC"/>
          </w:tcPr>
          <w:p>
            <w:pPr>
              <w:spacing w:after="0"/>
              <w:rPr>
                <w:sz w:val="20"/>
                <w:szCs w:val="20"/>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(19,830)</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81,705</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277,886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491,148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341,552</w:t>
            </w:r>
          </w:p>
        </w:tc>
        <w:tc>
          <w:tcPr>
            <w:tcW w:w="100" w:type="dxa"/>
            <w:vAlign w:val="bottom"/>
            <w:shd w:val="clear" w:color="auto" w:fill="CFF0FC"/>
          </w:tcPr>
          <w:p>
            <w:pPr>
              <w:spacing w:after="0"/>
              <w:rPr>
                <w:sz w:val="19"/>
                <w:szCs w:val="19"/>
                <w:color w:val="auto"/>
              </w:rPr>
            </w:pPr>
          </w:p>
        </w:tc>
      </w:tr>
      <w:tr>
        <w:trPr>
          <w:trHeight w:val="211"/>
        </w:trPr>
        <w:tc>
          <w:tcPr>
            <w:tcW w:w="682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Borders>
              <w:bottom w:val="single" w:sz="8" w:color="CFF0FC"/>
            </w:tcBorders>
          </w:tcPr>
          <w:p>
            <w:pPr>
              <w:spacing w:after="0"/>
              <w:rPr>
                <w:sz w:val="20"/>
                <w:szCs w:val="20"/>
                <w:color w:val="auto"/>
              </w:rPr>
            </w:pPr>
          </w:p>
        </w:tc>
      </w:tr>
      <w:tr>
        <w:trPr>
          <w:trHeight w:val="205"/>
        </w:trPr>
        <w:tc>
          <w:tcPr>
            <w:tcW w:w="68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LAZARD LTD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266,670</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485,825</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335,287</w:t>
            </w:r>
          </w:p>
        </w:tc>
        <w:tc>
          <w:tcPr>
            <w:tcW w:w="100" w:type="dxa"/>
            <w:vAlign w:val="bottom"/>
            <w:shd w:val="clear" w:color="auto" w:fill="CFF0FC"/>
          </w:tcPr>
          <w:p>
            <w:pPr>
              <w:spacing w:after="0"/>
              <w:rPr>
                <w:sz w:val="20"/>
                <w:szCs w:val="20"/>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7" w:name="page78"/>
    <w:bookmarkEnd w:id="7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297,716</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532,449</w:t>
            </w:r>
          </w:p>
        </w:tc>
        <w:tc>
          <w:tcPr>
            <w:tcW w:w="3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259,847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34,103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lease expense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500"/>
              <w:spacing w:after="0"/>
              <w:rPr>
                <w:sz w:val="20"/>
                <w:szCs w:val="20"/>
                <w:color w:val="auto"/>
              </w:rPr>
            </w:pPr>
            <w:r>
              <w:rPr>
                <w:rFonts w:ascii="Arial" w:cs="Arial" w:eastAsia="Arial" w:hAnsi="Arial"/>
                <w:sz w:val="16"/>
                <w:szCs w:val="16"/>
                <w:color w:val="auto"/>
              </w:rPr>
              <w:t>Amortization of deferred expenses and share-based incentive</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620"/>
              <w:spacing w:after="0"/>
              <w:rPr>
                <w:sz w:val="20"/>
                <w:szCs w:val="20"/>
                <w:color w:val="auto"/>
              </w:rPr>
            </w:pPr>
            <w:r>
              <w:rPr>
                <w:rFonts w:ascii="Arial" w:cs="Arial" w:eastAsia="Arial" w:hAnsi="Arial"/>
                <w:sz w:val="16"/>
                <w:szCs w:val="16"/>
                <w:color w:val="auto"/>
              </w:rPr>
              <w:t>compensation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371,434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(15,897)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Deferred tax provision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45,386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Benefit pursuant to tax receivable agreement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(6,495)</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(202,546)</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6,523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operating assets and increase (decrease) in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liabilities: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Receivables-net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35,692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(131,637)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54,828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(150,839)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(131,700)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(138,842)</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(80,550)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(90,313)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152,853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677,953</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699,038</w:t>
            </w:r>
          </w:p>
        </w:tc>
        <w:tc>
          <w:tcPr>
            <w:tcW w:w="3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1,029,115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Additions to property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(42,757)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(49,593)</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(27,670)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Disposals of property</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3,384</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4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(42,248)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(46,209)</w:t>
            </w: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(26,920)</w:t>
            </w:r>
          </w:p>
        </w:tc>
        <w:tc>
          <w:tcPr>
            <w:tcW w:w="0" w:type="dxa"/>
            <w:vAlign w:val="bottom"/>
          </w:tcPr>
          <w:p>
            <w:pPr>
              <w:spacing w:after="0"/>
              <w:rPr>
                <w:sz w:val="1"/>
                <w:szCs w:val="1"/>
                <w:color w:val="auto"/>
              </w:rPr>
            </w:pPr>
          </w:p>
        </w:tc>
      </w:tr>
      <w:tr>
        <w:trPr>
          <w:trHeight w:val="21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Proceeds from:</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492,032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490,970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Customer deposits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112,061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Senior debt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(255,746)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(255,543)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(13,260)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(12,889)</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(23,701)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(33,140)</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Purchase of Class A common stock</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(494,687)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(552,872)</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(306,741)</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Class A common stock dividends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(254,924)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(359,639)</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(341,450)</w:t>
            </w:r>
          </w:p>
        </w:tc>
        <w:tc>
          <w:tcPr>
            <w:tcW w:w="0" w:type="dxa"/>
            <w:vAlign w:val="bottom"/>
          </w:tcPr>
          <w:p>
            <w:pPr>
              <w:spacing w:after="0"/>
              <w:rPr>
                <w:sz w:val="1"/>
                <w:szCs w:val="1"/>
                <w:color w:val="auto"/>
              </w:rPr>
            </w:pPr>
          </w:p>
        </w:tc>
      </w:tr>
      <w:tr>
        <w:trPr>
          <w:trHeight w:val="213"/>
        </w:trPr>
        <w:tc>
          <w:tcPr>
            <w:tcW w:w="5840" w:type="dxa"/>
            <w:vAlign w:val="bottom"/>
          </w:tcPr>
          <w:p>
            <w:pPr>
              <w:ind w:left="500"/>
              <w:spacing w:after="0"/>
              <w:rPr>
                <w:sz w:val="20"/>
                <w:szCs w:val="20"/>
                <w:color w:val="auto"/>
              </w:rPr>
            </w:pPr>
            <w:r>
              <w:rPr>
                <w:rFonts w:ascii="Arial" w:cs="Arial" w:eastAsia="Arial" w:hAnsi="Arial"/>
                <w:sz w:val="16"/>
                <w:szCs w:val="16"/>
                <w:color w:val="auto"/>
              </w:rPr>
              <w:t>Settlement of share-based incentive compensation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(99,959)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(110,361)</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(67,899)</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(7,567)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(6,397)</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(18,321)</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(444,050)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(726,104)</w:t>
            </w:r>
          </w:p>
        </w:tc>
        <w:tc>
          <w:tcPr>
            <w:tcW w:w="28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(318,508)</w:t>
            </w:r>
          </w:p>
        </w:tc>
        <w:tc>
          <w:tcPr>
            <w:tcW w:w="0" w:type="dxa"/>
            <w:vAlign w:val="bottom"/>
          </w:tcPr>
          <w:p>
            <w:pPr>
              <w:spacing w:after="0"/>
              <w:rPr>
                <w:sz w:val="1"/>
                <w:szCs w:val="1"/>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EFFECT OF EXCHANGE RATE CHANGES ON CASH AND</w:t>
            </w:r>
          </w:p>
        </w:tc>
        <w:tc>
          <w:tcPr>
            <w:tcW w:w="10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CASH EQUIVALENTS AND RESTRICTED CASH</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(27,981)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(89,646)</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b w:val="1"/>
                <w:bCs w:val="1"/>
                <w:color w:val="auto"/>
              </w:rPr>
              <w:t>NET INCREASE (DECREASE) IN CASH AND</w:t>
            </w:r>
          </w:p>
        </w:tc>
        <w:tc>
          <w:tcPr>
            <w:tcW w:w="10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120"/>
              <w:spacing w:after="0"/>
              <w:rPr>
                <w:sz w:val="20"/>
                <w:szCs w:val="20"/>
                <w:color w:val="auto"/>
              </w:rPr>
            </w:pPr>
            <w:r>
              <w:rPr>
                <w:rFonts w:ascii="Arial" w:cs="Arial" w:eastAsia="Arial" w:hAnsi="Arial"/>
                <w:sz w:val="16"/>
                <w:szCs w:val="16"/>
                <w:b w:val="1"/>
                <w:bCs w:val="1"/>
                <w:color w:val="auto"/>
              </w:rPr>
              <w:t>CASH EQUIVALENTS AND RESTRICTED CASH</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(162,921)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847,323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January 1</w:t>
            </w:r>
          </w:p>
        </w:tc>
        <w:tc>
          <w:tcPr>
            <w:tcW w:w="10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2,291,885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2,454,806</w:t>
            </w:r>
          </w:p>
        </w:tc>
        <w:tc>
          <w:tcPr>
            <w:tcW w:w="3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1,607,483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20"/>
              <w:spacing w:after="0"/>
              <w:rPr>
                <w:sz w:val="20"/>
                <w:szCs w:val="20"/>
                <w:color w:val="auto"/>
              </w:rPr>
            </w:pPr>
            <w:r>
              <w:rPr>
                <w:rFonts w:ascii="Arial" w:cs="Arial" w:eastAsia="Arial" w:hAnsi="Arial"/>
                <w:sz w:val="16"/>
                <w:szCs w:val="16"/>
                <w:b w:val="1"/>
                <w:bCs w:val="1"/>
                <w:color w:val="auto"/>
              </w:rPr>
              <w:t>December 31</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2,455,559</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2,291,885</w:t>
            </w:r>
          </w:p>
        </w:tc>
        <w:tc>
          <w:tcPr>
            <w:tcW w:w="3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2,454,806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RECONCILIATION OF CASH AND CASH EQUIVALENTS AND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RESTRICTED CASH WITHIN THE CONSOLIDATED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STATEMENTS OF FINANCIAL CONDITION: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3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1,231,593</w:t>
            </w:r>
          </w:p>
        </w:tc>
        <w:tc>
          <w:tcPr>
            <w:tcW w:w="56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1,246,537</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1,483,836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1,180,686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1,006,969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935,431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43,280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13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2,455,559</w:t>
            </w:r>
          </w:p>
        </w:tc>
        <w:tc>
          <w:tcPr>
            <w:tcW w:w="56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2,291,885</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2,454,806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w:t>
            </w: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Arial" w:cs="Arial" w:eastAsia="Arial" w:hAnsi="Arial"/>
                <w:sz w:val="16"/>
                <w:szCs w:val="16"/>
                <w:b w:val="1"/>
                <w:bCs w:val="1"/>
                <w:color w:val="auto"/>
              </w:rPr>
              <w:t>INFORMATION:</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paid during the year for:</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ind w:left="260"/>
              <w:spacing w:after="0"/>
              <w:rPr>
                <w:sz w:val="20"/>
                <w:szCs w:val="20"/>
                <w:color w:val="auto"/>
              </w:rPr>
            </w:pPr>
            <w:r>
              <w:rPr>
                <w:rFonts w:ascii="Arial" w:cs="Arial" w:eastAsia="Arial" w:hAnsi="Arial"/>
                <w:sz w:val="16"/>
                <w:szCs w:val="16"/>
                <w:color w:val="auto"/>
              </w:rPr>
              <w:t>Interest</w:t>
            </w:r>
          </w:p>
        </w:tc>
        <w:tc>
          <w:tcPr>
            <w:tcW w:w="104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70,400</w:t>
            </w:r>
          </w:p>
        </w:tc>
        <w:tc>
          <w:tcPr>
            <w:tcW w:w="26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50,812</w:t>
            </w:r>
          </w:p>
        </w:tc>
        <w:tc>
          <w:tcPr>
            <w:tcW w:w="22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Income taxes, net of refunds</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89,448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101,671</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9" w:name="page80"/>
    <w:bookmarkEnd w:id="7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128"/>
              <w:spacing w:after="0"/>
              <w:rPr>
                <w:sz w:val="20"/>
                <w:szCs w:val="20"/>
                <w:color w:val="auto"/>
              </w:rPr>
            </w:pPr>
            <w:r>
              <w:rPr>
                <w:rFonts w:ascii="Arial" w:cs="Arial" w:eastAsia="Arial" w:hAnsi="Arial"/>
                <w:sz w:val="13"/>
                <w:szCs w:val="13"/>
                <w:b w:val="1"/>
                <w:bCs w:val="1"/>
                <w:color w:val="auto"/>
                <w:w w:val="88"/>
              </w:rPr>
              <w:t>Accumulated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8"/>
              <w:spacing w:after="0" w:line="135" w:lineRule="exact"/>
              <w:rPr>
                <w:sz w:val="20"/>
                <w:szCs w:val="20"/>
                <w:color w:val="auto"/>
              </w:rPr>
            </w:pPr>
            <w:r>
              <w:rPr>
                <w:rFonts w:ascii="Arial" w:cs="Arial" w:eastAsia="Arial" w:hAnsi="Arial"/>
                <w:sz w:val="13"/>
                <w:szCs w:val="13"/>
                <w:b w:val="1"/>
                <w:bCs w:val="1"/>
                <w:color w:val="auto"/>
                <w:w w:val="92"/>
              </w:rPr>
              <w:t>Other</w:t>
            </w:r>
          </w:p>
        </w:tc>
        <w:tc>
          <w:tcPr>
            <w:tcW w:w="1780" w:type="dxa"/>
            <w:vAlign w:val="bottom"/>
            <w:gridSpan w:val="5"/>
          </w:tcPr>
          <w:p>
            <w:pPr>
              <w:jc w:val="center"/>
              <w:ind w:right="128"/>
              <w:spacing w:after="0" w:line="135" w:lineRule="exact"/>
              <w:rPr>
                <w:sz w:val="20"/>
                <w:szCs w:val="20"/>
                <w:color w:val="auto"/>
              </w:rPr>
            </w:pPr>
            <w:r>
              <w:rPr>
                <w:rFonts w:ascii="Arial" w:cs="Arial" w:eastAsia="Arial" w:hAnsi="Arial"/>
                <w:sz w:val="13"/>
                <w:szCs w:val="13"/>
                <w:b w:val="1"/>
                <w:bCs w:val="1"/>
                <w:color w:val="auto"/>
                <w:w w:val="87"/>
              </w:rPr>
              <w:t>Class A</w:t>
            </w:r>
          </w:p>
        </w:tc>
        <w:tc>
          <w:tcPr>
            <w:tcW w:w="12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48"/>
              <w:spacing w:after="0"/>
              <w:rPr>
                <w:sz w:val="20"/>
                <w:szCs w:val="20"/>
                <w:color w:val="auto"/>
              </w:rPr>
            </w:pPr>
            <w:r>
              <w:rPr>
                <w:rFonts w:ascii="Arial" w:cs="Arial" w:eastAsia="Arial" w:hAnsi="Arial"/>
                <w:sz w:val="13"/>
                <w:szCs w:val="13"/>
                <w:b w:val="1"/>
                <w:bCs w:val="1"/>
                <w:color w:val="auto"/>
                <w:w w:val="86"/>
              </w:rPr>
              <w:t>Comprehensive</w:t>
            </w:r>
          </w:p>
        </w:tc>
        <w:tc>
          <w:tcPr>
            <w:tcW w:w="1780" w:type="dxa"/>
            <w:vAlign w:val="bottom"/>
            <w:gridSpan w:val="5"/>
          </w:tcPr>
          <w:p>
            <w:pPr>
              <w:jc w:val="center"/>
              <w:ind w:right="128"/>
              <w:spacing w:after="0"/>
              <w:rPr>
                <w:sz w:val="20"/>
                <w:szCs w:val="20"/>
                <w:color w:val="auto"/>
              </w:rPr>
            </w:pPr>
            <w:r>
              <w:rPr>
                <w:rFonts w:ascii="Arial" w:cs="Arial" w:eastAsia="Arial" w:hAnsi="Arial"/>
                <w:sz w:val="13"/>
                <w:szCs w:val="13"/>
                <w:b w:val="1"/>
                <w:bCs w:val="1"/>
                <w:color w:val="auto"/>
                <w:w w:val="85"/>
              </w:rPr>
              <w:t>Common Stock</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Lazard Ltd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153"/>
        </w:trPr>
        <w:tc>
          <w:tcPr>
            <w:tcW w:w="238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3"/>
                <w:szCs w:val="13"/>
                <w:color w:val="auto"/>
              </w:rPr>
            </w:pPr>
          </w:p>
        </w:tc>
        <w:tc>
          <w:tcPr>
            <w:tcW w:w="1040" w:type="dxa"/>
            <w:vAlign w:val="bottom"/>
            <w:gridSpan w:val="3"/>
          </w:tcPr>
          <w:p>
            <w:pPr>
              <w:jc w:val="center"/>
              <w:ind w:right="148"/>
              <w:spacing w:after="0"/>
              <w:rPr>
                <w:sz w:val="20"/>
                <w:szCs w:val="20"/>
                <w:color w:val="auto"/>
              </w:rPr>
            </w:pPr>
            <w:r>
              <w:rPr>
                <w:rFonts w:ascii="Arial" w:cs="Arial" w:eastAsia="Arial" w:hAnsi="Arial"/>
                <w:sz w:val="13"/>
                <w:szCs w:val="13"/>
                <w:b w:val="1"/>
                <w:bCs w:val="1"/>
                <w:color w:val="auto"/>
                <w:w w:val="84"/>
              </w:rPr>
              <w:t>Income (Loss),</w:t>
            </w:r>
          </w:p>
        </w:tc>
        <w:tc>
          <w:tcPr>
            <w:tcW w:w="1780" w:type="dxa"/>
            <w:vAlign w:val="bottom"/>
            <w:gridSpan w:val="5"/>
          </w:tcPr>
          <w:p>
            <w:pPr>
              <w:jc w:val="center"/>
              <w:ind w:right="148"/>
              <w:spacing w:after="0"/>
              <w:rPr>
                <w:sz w:val="20"/>
                <w:szCs w:val="20"/>
                <w:color w:val="auto"/>
              </w:rPr>
            </w:pPr>
            <w:r>
              <w:rPr>
                <w:rFonts w:ascii="Arial" w:cs="Arial" w:eastAsia="Arial" w:hAnsi="Arial"/>
                <w:sz w:val="13"/>
                <w:szCs w:val="13"/>
                <w:b w:val="1"/>
                <w:bCs w:val="1"/>
                <w:color w:val="auto"/>
                <w:w w:val="86"/>
              </w:rPr>
              <w:t>Held By Subsidiaries</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c>
          <w:tcPr>
            <w:tcW w:w="1000" w:type="dxa"/>
            <w:vAlign w:val="bottom"/>
            <w:gridSpan w:val="4"/>
          </w:tcPr>
          <w:p>
            <w:pPr>
              <w:ind w:left="80"/>
              <w:spacing w:after="0"/>
              <w:rPr>
                <w:sz w:val="20"/>
                <w:szCs w:val="20"/>
                <w:color w:val="auto"/>
              </w:rPr>
            </w:pPr>
            <w:r>
              <w:rPr>
                <w:rFonts w:ascii="Arial" w:cs="Arial" w:eastAsia="Arial" w:hAnsi="Arial"/>
                <w:sz w:val="13"/>
                <w:szCs w:val="13"/>
                <w:b w:val="1"/>
                <w:bCs w:val="1"/>
                <w:color w:val="auto"/>
                <w:w w:val="97"/>
              </w:rPr>
              <w:t>Noncontrolling</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Stockholders’</w:t>
            </w:r>
          </w:p>
        </w:tc>
      </w:tr>
      <w:tr>
        <w:trPr>
          <w:trHeight w:val="142"/>
        </w:trPr>
        <w:tc>
          <w:tcPr>
            <w:tcW w:w="2380" w:type="dxa"/>
            <w:vAlign w:val="bottom"/>
          </w:tcPr>
          <w:p>
            <w:pPr>
              <w:spacing w:after="0"/>
              <w:rPr>
                <w:sz w:val="12"/>
                <w:szCs w:val="12"/>
                <w:color w:val="auto"/>
              </w:rPr>
            </w:pPr>
          </w:p>
        </w:tc>
        <w:tc>
          <w:tcPr>
            <w:tcW w:w="820" w:type="dxa"/>
            <w:vAlign w:val="bottom"/>
            <w:tcBorders>
              <w:top w:val="single" w:sz="8" w:color="auto"/>
            </w:tcBorders>
          </w:tcPr>
          <w:p>
            <w:pPr>
              <w:jc w:val="right"/>
              <w:ind w:right="72"/>
              <w:spacing w:after="0" w:line="143" w:lineRule="exact"/>
              <w:rPr>
                <w:sz w:val="20"/>
                <w:szCs w:val="20"/>
                <w:color w:val="auto"/>
              </w:rPr>
            </w:pPr>
            <w:r>
              <w:rPr>
                <w:rFonts w:ascii="Arial" w:cs="Arial" w:eastAsia="Arial" w:hAnsi="Arial"/>
                <w:sz w:val="13"/>
                <w:szCs w:val="13"/>
                <w:b w:val="1"/>
                <w:bCs w:val="1"/>
                <w:color w:val="auto"/>
              </w:rPr>
              <w:t>Shares (*)</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70"/>
              <w:spacing w:after="0" w:line="143"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8"/>
              <w:spacing w:after="0" w:line="143" w:lineRule="exact"/>
              <w:rPr>
                <w:sz w:val="20"/>
                <w:szCs w:val="20"/>
                <w:color w:val="auto"/>
              </w:rPr>
            </w:pPr>
            <w:r>
              <w:rPr>
                <w:rFonts w:ascii="Arial" w:cs="Arial" w:eastAsia="Arial" w:hAnsi="Arial"/>
                <w:sz w:val="13"/>
                <w:szCs w:val="13"/>
                <w:b w:val="1"/>
                <w:bCs w:val="1"/>
                <w:color w:val="auto"/>
                <w:w w:val="89"/>
              </w:rPr>
              <w:t>Net of Tax</w:t>
            </w:r>
          </w:p>
        </w:tc>
        <w:tc>
          <w:tcPr>
            <w:tcW w:w="880" w:type="dxa"/>
            <w:vAlign w:val="bottom"/>
            <w:tcBorders>
              <w:top w:val="single" w:sz="8" w:color="auto"/>
            </w:tcBorders>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gridSpan w:val="2"/>
          </w:tcPr>
          <w:p>
            <w:pPr>
              <w:jc w:val="right"/>
              <w:ind w:right="208"/>
              <w:spacing w:after="0" w:line="143"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92"/>
              </w:rPr>
              <w:t>Interests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3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2017</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688,231</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$ 1,134,186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(314,222)</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7,628,786</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6"/>
              </w:rPr>
              <w:t>$ (273,506)</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3"/>
              </w:rPr>
              <w:t>1,235,987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57,826</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1,293,813</w:t>
            </w:r>
          </w:p>
        </w:tc>
        <w:tc>
          <w:tcPr>
            <w:tcW w:w="60" w:type="dxa"/>
            <w:vAlign w:val="bottom"/>
            <w:tcBorders>
              <w:top w:val="single" w:sz="8" w:color="CFF0FC"/>
            </w:tcBorders>
            <w:shd w:val="clear" w:color="auto" w:fill="CFF0FC"/>
          </w:tcPr>
          <w:p>
            <w:pPr>
              <w:spacing w:after="0"/>
              <w:rPr>
                <w:sz w:val="13"/>
                <w:szCs w:val="13"/>
                <w:color w:val="auto"/>
              </w:rPr>
            </w:pPr>
          </w:p>
        </w:tc>
      </w:tr>
      <w:tr>
        <w:trPr>
          <w:trHeight w:val="143"/>
        </w:trPr>
        <w:tc>
          <w:tcPr>
            <w:tcW w:w="2380" w:type="dxa"/>
            <w:vAlign w:val="bottom"/>
          </w:tcPr>
          <w:p>
            <w:pPr>
              <w:spacing w:after="0" w:line="143" w:lineRule="exact"/>
              <w:rPr>
                <w:sz w:val="20"/>
                <w:szCs w:val="20"/>
                <w:color w:val="auto"/>
              </w:rPr>
            </w:pPr>
            <w:r>
              <w:rPr>
                <w:rFonts w:ascii="Arial" w:cs="Arial" w:eastAsia="Arial" w:hAnsi="Arial"/>
                <w:sz w:val="14"/>
                <w:szCs w:val="14"/>
                <w:color w:val="auto"/>
              </w:rPr>
              <w:t>Adjustment for the cumulative effect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on prior</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years from the adoption of new</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accounting</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guidance related to share-based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incentive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38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81,544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81,544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81,544</w:t>
            </w:r>
          </w:p>
        </w:tc>
        <w:tc>
          <w:tcPr>
            <w:tcW w:w="60" w:type="dxa"/>
            <w:vAlign w:val="bottom"/>
          </w:tcPr>
          <w:p>
            <w:pPr>
              <w:spacing w:after="0"/>
              <w:rPr>
                <w:sz w:val="14"/>
                <w:szCs w:val="14"/>
                <w:color w:val="auto"/>
              </w:rPr>
            </w:pPr>
          </w:p>
        </w:tc>
      </w:tr>
      <w:tr>
        <w:trPr>
          <w:trHeight w:val="156"/>
        </w:trPr>
        <w:tc>
          <w:tcPr>
            <w:tcW w:w="23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w w:val="97"/>
              </w:rPr>
              <w:t>Balance, as adjusted - January 1, 2017</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129,766,091</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1,298</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688,231</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1,215,730</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(314,222)</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7,628,786</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(273,506)</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1,317,531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57,826</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1,375,357</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253,583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253,583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259,847</w:t>
            </w:r>
          </w:p>
        </w:tc>
        <w:tc>
          <w:tcPr>
            <w:tcW w:w="60" w:type="dxa"/>
            <w:vAlign w:val="bottom"/>
            <w:shd w:val="clear" w:color="auto" w:fill="CFF0FC"/>
          </w:tcPr>
          <w:p>
            <w:pPr>
              <w:spacing w:after="0"/>
              <w:rPr>
                <w:sz w:val="14"/>
                <w:szCs w:val="14"/>
                <w:color w:val="auto"/>
              </w:rPr>
            </w:pPr>
          </w:p>
        </w:tc>
      </w:tr>
      <w:tr>
        <w:trPr>
          <w:trHeight w:val="143"/>
        </w:trPr>
        <w:tc>
          <w:tcPr>
            <w:tcW w:w="2380" w:type="dxa"/>
            <w:vAlign w:val="bottom"/>
          </w:tcPr>
          <w:p>
            <w:pPr>
              <w:ind w:left="260"/>
              <w:spacing w:after="0" w:line="143" w:lineRule="exact"/>
              <w:rPr>
                <w:sz w:val="20"/>
                <w:szCs w:val="20"/>
                <w:color w:val="auto"/>
              </w:rPr>
            </w:pPr>
            <w:r>
              <w:rPr>
                <w:rFonts w:ascii="Arial" w:cs="Arial" w:eastAsia="Arial" w:hAnsi="Arial"/>
                <w:sz w:val="14"/>
                <w:szCs w:val="14"/>
                <w:color w:val="auto"/>
                <w:w w:val="97"/>
              </w:rPr>
              <w:t>Other comprehensive income - net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380" w:type="dxa"/>
            <w:vAlign w:val="bottom"/>
          </w:tcPr>
          <w:p>
            <w:pPr>
              <w:ind w:left="260"/>
              <w:spacing w:after="0"/>
              <w:rPr>
                <w:sz w:val="20"/>
                <w:szCs w:val="20"/>
                <w:color w:val="auto"/>
              </w:rPr>
            </w:pPr>
            <w:r>
              <w:rPr>
                <w:rFonts w:ascii="Arial" w:cs="Arial" w:eastAsia="Arial" w:hAnsi="Arial"/>
                <w:sz w:val="14"/>
                <w:szCs w:val="14"/>
                <w:color w:val="auto"/>
              </w:rPr>
              <w:t>of tax</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81,704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81,704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81,705</w:t>
            </w:r>
          </w:p>
        </w:tc>
        <w:tc>
          <w:tcPr>
            <w:tcW w:w="60" w:type="dxa"/>
            <w:vAlign w:val="bottom"/>
          </w:tcPr>
          <w:p>
            <w:pPr>
              <w:spacing w:after="0"/>
              <w:rPr>
                <w:sz w:val="14"/>
                <w:szCs w:val="14"/>
                <w:color w:val="auto"/>
              </w:rPr>
            </w:pPr>
          </w:p>
        </w:tc>
      </w:tr>
      <w:tr>
        <w:trPr>
          <w:trHeight w:val="143"/>
        </w:trPr>
        <w:tc>
          <w:tcPr>
            <w:tcW w:w="2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60" w:type="dxa"/>
            <w:vAlign w:val="bottom"/>
            <w:shd w:val="clear" w:color="auto" w:fill="CFF0FC"/>
          </w:tcPr>
          <w:p>
            <w:pPr>
              <w:spacing w:after="0"/>
              <w:rPr>
                <w:sz w:val="14"/>
                <w:szCs w:val="14"/>
                <w:color w:val="auto"/>
              </w:rPr>
            </w:pP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Dividend equivalents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41,746</w:t>
            </w:r>
          </w:p>
        </w:tc>
        <w:tc>
          <w:tcPr>
            <w:tcW w:w="12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(47,654)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(5,908)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(5,908)</w:t>
            </w:r>
          </w:p>
        </w:tc>
      </w:tr>
      <w:tr>
        <w:trPr>
          <w:trHeight w:val="143"/>
        </w:trPr>
        <w:tc>
          <w:tcPr>
            <w:tcW w:w="2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Class A common stock dividends</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($2.81 per</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(341,450)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(341,450)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(341,450)</w:t>
            </w: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Purchase of Class A common stock</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6,956,097</w:t>
            </w:r>
          </w:p>
        </w:tc>
        <w:tc>
          <w:tcPr>
            <w:tcW w:w="120" w:type="dxa"/>
            <w:vAlign w:val="bottom"/>
          </w:tcPr>
          <w:p>
            <w:pPr>
              <w:spacing w:after="0"/>
              <w:rPr>
                <w:sz w:val="14"/>
                <w:szCs w:val="14"/>
                <w:color w:val="auto"/>
              </w:rPr>
            </w:pPr>
          </w:p>
        </w:tc>
        <w:tc>
          <w:tcPr>
            <w:tcW w:w="900" w:type="dxa"/>
            <w:vAlign w:val="bottom"/>
            <w:gridSpan w:val="3"/>
          </w:tcPr>
          <w:p>
            <w:pPr>
              <w:jc w:val="right"/>
              <w:ind w:right="68"/>
              <w:spacing w:after="0"/>
              <w:rPr>
                <w:sz w:val="20"/>
                <w:szCs w:val="20"/>
                <w:color w:val="auto"/>
              </w:rPr>
            </w:pPr>
            <w:r>
              <w:rPr>
                <w:rFonts w:ascii="Arial" w:cs="Arial" w:eastAsia="Arial" w:hAnsi="Arial"/>
                <w:sz w:val="14"/>
                <w:szCs w:val="14"/>
                <w:color w:val="auto"/>
              </w:rPr>
              <w:t>(306,741)</w:t>
            </w: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(306,741)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(306,741)</w:t>
            </w:r>
          </w:p>
        </w:tc>
      </w:tr>
      <w:tr>
        <w:trPr>
          <w:trHeight w:val="143"/>
        </w:trPr>
        <w:tc>
          <w:tcPr>
            <w:tcW w:w="2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share-based</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incentive</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compensation and related tax</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2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expense</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$5,271</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(213,978)</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(3,790,267)</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140,808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(73,170)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(73,170)</w:t>
            </w:r>
          </w:p>
        </w:tc>
      </w:tr>
      <w:tr>
        <w:trPr>
          <w:trHeight w:val="143"/>
        </w:trPr>
        <w:tc>
          <w:tcPr>
            <w:tcW w:w="2380" w:type="dxa"/>
            <w:vAlign w:val="bottom"/>
          </w:tcPr>
          <w:p>
            <w:pPr>
              <w:spacing w:after="0" w:line="143" w:lineRule="exact"/>
              <w:rPr>
                <w:sz w:val="20"/>
                <w:szCs w:val="20"/>
                <w:color w:val="auto"/>
              </w:rPr>
            </w:pPr>
            <w:r>
              <w:rPr>
                <w:rFonts w:ascii="Arial" w:cs="Arial" w:eastAsia="Arial" w:hAnsi="Arial"/>
                <w:sz w:val="14"/>
                <w:szCs w:val="14"/>
                <w:color w:val="auto"/>
              </w:rPr>
              <w:t>Business acquisitions and related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38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2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issuable</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3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(including related amortization)</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60" w:type="dxa"/>
            <w:vAlign w:val="bottom"/>
            <w:shd w:val="clear" w:color="auto" w:fill="CFF0FC"/>
          </w:tcPr>
          <w:p>
            <w:pPr>
              <w:spacing w:after="0"/>
              <w:rPr>
                <w:sz w:val="14"/>
                <w:szCs w:val="14"/>
                <w:color w:val="auto"/>
              </w:rPr>
            </w:pPr>
          </w:p>
        </w:tc>
      </w:tr>
      <w:tr>
        <w:trPr>
          <w:trHeight w:val="143"/>
        </w:trPr>
        <w:tc>
          <w:tcPr>
            <w:tcW w:w="2380" w:type="dxa"/>
            <w:vAlign w:val="bottom"/>
          </w:tcPr>
          <w:p>
            <w:pPr>
              <w:ind w:left="260"/>
              <w:spacing w:after="0" w:line="143" w:lineRule="exact"/>
              <w:rPr>
                <w:sz w:val="20"/>
                <w:szCs w:val="20"/>
                <w:color w:val="auto"/>
              </w:rPr>
            </w:pPr>
            <w:r>
              <w:rPr>
                <w:rFonts w:ascii="Arial" w:cs="Arial" w:eastAsia="Arial" w:hAnsi="Arial"/>
                <w:sz w:val="14"/>
                <w:szCs w:val="14"/>
                <w:color w:val="auto"/>
              </w:rPr>
              <w:t>Delivery of Class A common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38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380" w:type="dxa"/>
            <w:vAlign w:val="bottom"/>
          </w:tcPr>
          <w:p>
            <w:pPr>
              <w:ind w:left="260"/>
              <w:spacing w:after="0"/>
              <w:rPr>
                <w:sz w:val="20"/>
                <w:szCs w:val="20"/>
                <w:color w:val="auto"/>
              </w:rPr>
            </w:pPr>
            <w:r>
              <w:rPr>
                <w:rFonts w:ascii="Arial" w:cs="Arial" w:eastAsia="Arial" w:hAnsi="Arial"/>
                <w:sz w:val="14"/>
                <w:szCs w:val="14"/>
                <w:color w:val="auto"/>
              </w:rPr>
              <w:t>and related tax expense of $28</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(1,332)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(47,474)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577</w:t>
            </w:r>
          </w:p>
        </w:tc>
        <w:tc>
          <w:tcPr>
            <w:tcW w:w="60" w:type="dxa"/>
            <w:vAlign w:val="bottom"/>
          </w:tcPr>
          <w:p>
            <w:pPr>
              <w:spacing w:after="0"/>
              <w:rPr>
                <w:sz w:val="14"/>
                <w:szCs w:val="14"/>
                <w:color w:val="auto"/>
              </w:rPr>
            </w:pPr>
          </w:p>
        </w:tc>
      </w:tr>
      <w:tr>
        <w:trPr>
          <w:trHeight w:val="143"/>
        </w:trPr>
        <w:tc>
          <w:tcPr>
            <w:tcW w:w="2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rPr>
              <w:t>interests, net</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(5,193)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(5,193)</w:t>
            </w:r>
          </w:p>
        </w:tc>
      </w:tr>
      <w:tr>
        <w:trPr>
          <w:trHeight w:val="162"/>
        </w:trPr>
        <w:tc>
          <w:tcPr>
            <w:tcW w:w="2380" w:type="dxa"/>
            <w:vAlign w:val="bottom"/>
          </w:tcPr>
          <w:p>
            <w:pPr>
              <w:spacing w:after="0"/>
              <w:rPr>
                <w:sz w:val="20"/>
                <w:szCs w:val="20"/>
                <w:color w:val="auto"/>
              </w:rPr>
            </w:pPr>
            <w:r>
              <w:rPr>
                <w:rFonts w:ascii="Arial" w:cs="Arial" w:eastAsia="Arial" w:hAnsi="Arial"/>
                <w:sz w:val="14"/>
                <w:szCs w:val="14"/>
                <w:color w:val="auto"/>
              </w:rPr>
              <w:t>Other</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408</w:t>
            </w:r>
          </w:p>
        </w:tc>
        <w:tc>
          <w:tcPr>
            <w:tcW w:w="60" w:type="dxa"/>
            <w:vAlign w:val="bottom"/>
          </w:tcPr>
          <w:p>
            <w:pPr>
              <w:spacing w:after="0"/>
              <w:rPr>
                <w:sz w:val="14"/>
                <w:szCs w:val="14"/>
                <w:color w:val="auto"/>
              </w:rPr>
            </w:pPr>
          </w:p>
        </w:tc>
      </w:tr>
      <w:tr>
        <w:trPr>
          <w:trHeight w:val="156"/>
        </w:trPr>
        <w:tc>
          <w:tcPr>
            <w:tcW w:w="23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788,140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$ 1,080,413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(232,518</w:t>
            </w:r>
          </w:p>
        </w:tc>
        <w:tc>
          <w:tcPr>
            <w:tcW w:w="200" w:type="dxa"/>
            <w:vAlign w:val="bottom"/>
            <w:tcBorders>
              <w:top w:val="single" w:sz="8" w:color="CFF0FC"/>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84"/>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10,747,142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 (437,530</w:t>
            </w:r>
          </w:p>
        </w:tc>
        <w:tc>
          <w:tcPr>
            <w:tcW w:w="200" w:type="dxa"/>
            <w:vAlign w:val="bottom"/>
            <w:tcBorders>
              <w:top w:val="single" w:sz="8" w:color="CFF0FC"/>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3"/>
              </w:rPr>
              <w:t>1,199,803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59,102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1,258,905</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39"/>
              <w:spacing w:after="0"/>
              <w:rPr>
                <w:sz w:val="20"/>
                <w:szCs w:val="20"/>
                <w:color w:val="auto"/>
              </w:rPr>
            </w:pPr>
            <w:r>
              <w:rPr>
                <w:rFonts w:ascii="Arial" w:cs="Arial" w:eastAsia="Arial" w:hAnsi="Arial"/>
                <w:sz w:val="13"/>
                <w:szCs w:val="13"/>
                <w:b w:val="1"/>
                <w:bCs w:val="1"/>
                <w:color w:val="auto"/>
                <w:w w:val="85"/>
              </w:rPr>
              <w:t>Accumulated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59"/>
              <w:spacing w:after="0" w:line="135" w:lineRule="exact"/>
              <w:rPr>
                <w:sz w:val="20"/>
                <w:szCs w:val="20"/>
                <w:color w:val="auto"/>
              </w:rPr>
            </w:pPr>
            <w:r>
              <w:rPr>
                <w:rFonts w:ascii="Arial" w:cs="Arial" w:eastAsia="Arial" w:hAnsi="Arial"/>
                <w:sz w:val="13"/>
                <w:szCs w:val="13"/>
                <w:b w:val="1"/>
                <w:bCs w:val="1"/>
                <w:color w:val="auto"/>
                <w:w w:val="92"/>
              </w:rPr>
              <w:t>Other</w:t>
            </w:r>
          </w:p>
        </w:tc>
        <w:tc>
          <w:tcPr>
            <w:tcW w:w="1740" w:type="dxa"/>
            <w:vAlign w:val="bottom"/>
            <w:gridSpan w:val="4"/>
          </w:tcPr>
          <w:p>
            <w:pPr>
              <w:jc w:val="center"/>
              <w:ind w:right="108"/>
              <w:spacing w:after="0" w:line="135" w:lineRule="exact"/>
              <w:rPr>
                <w:sz w:val="20"/>
                <w:szCs w:val="20"/>
                <w:color w:val="auto"/>
              </w:rPr>
            </w:pPr>
            <w:r>
              <w:rPr>
                <w:rFonts w:ascii="Arial" w:cs="Arial" w:eastAsia="Arial" w:hAnsi="Arial"/>
                <w:sz w:val="13"/>
                <w:szCs w:val="13"/>
                <w:b w:val="1"/>
                <w:bCs w:val="1"/>
                <w:color w:val="auto"/>
                <w:w w:val="83"/>
              </w:rPr>
              <w:t>Class A</w:t>
            </w: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39"/>
              <w:spacing w:after="0"/>
              <w:rPr>
                <w:sz w:val="20"/>
                <w:szCs w:val="20"/>
                <w:color w:val="auto"/>
              </w:rPr>
            </w:pPr>
            <w:r>
              <w:rPr>
                <w:rFonts w:ascii="Arial" w:cs="Arial" w:eastAsia="Arial" w:hAnsi="Arial"/>
                <w:sz w:val="13"/>
                <w:szCs w:val="13"/>
                <w:b w:val="1"/>
                <w:bCs w:val="1"/>
                <w:color w:val="auto"/>
                <w:w w:val="84"/>
              </w:rPr>
              <w:t>Comprehensive</w:t>
            </w:r>
          </w:p>
        </w:tc>
        <w:tc>
          <w:tcPr>
            <w:tcW w:w="1740" w:type="dxa"/>
            <w:vAlign w:val="bottom"/>
            <w:gridSpan w:val="4"/>
          </w:tcPr>
          <w:p>
            <w:pPr>
              <w:jc w:val="center"/>
              <w:ind w:right="108"/>
              <w:spacing w:after="0"/>
              <w:rPr>
                <w:sz w:val="20"/>
                <w:szCs w:val="20"/>
                <w:color w:val="auto"/>
              </w:rPr>
            </w:pPr>
            <w:r>
              <w:rPr>
                <w:rFonts w:ascii="Arial" w:cs="Arial" w:eastAsia="Arial" w:hAnsi="Arial"/>
                <w:sz w:val="13"/>
                <w:szCs w:val="13"/>
                <w:b w:val="1"/>
                <w:bCs w:val="1"/>
                <w:color w:val="auto"/>
                <w:w w:val="88"/>
              </w:rPr>
              <w:t>Common Stock</w:t>
            </w:r>
          </w:p>
        </w:tc>
        <w:tc>
          <w:tcPr>
            <w:tcW w:w="9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Lazard Ltd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r>
      <w:tr>
        <w:trPr>
          <w:trHeight w:val="153"/>
        </w:trPr>
        <w:tc>
          <w:tcPr>
            <w:tcW w:w="256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Retained</w:t>
            </w:r>
          </w:p>
        </w:tc>
        <w:tc>
          <w:tcPr>
            <w:tcW w:w="1000" w:type="dxa"/>
            <w:vAlign w:val="bottom"/>
            <w:gridSpan w:val="3"/>
          </w:tcPr>
          <w:p>
            <w:pPr>
              <w:jc w:val="center"/>
              <w:ind w:right="139"/>
              <w:spacing w:after="0"/>
              <w:rPr>
                <w:sz w:val="20"/>
                <w:szCs w:val="20"/>
                <w:color w:val="auto"/>
              </w:rPr>
            </w:pPr>
            <w:r>
              <w:rPr>
                <w:rFonts w:ascii="Arial" w:cs="Arial" w:eastAsia="Arial" w:hAnsi="Arial"/>
                <w:sz w:val="13"/>
                <w:szCs w:val="13"/>
                <w:b w:val="1"/>
                <w:bCs w:val="1"/>
                <w:color w:val="auto"/>
                <w:w w:val="84"/>
              </w:rPr>
              <w:t>Income (Loss),</w:t>
            </w:r>
          </w:p>
        </w:tc>
        <w:tc>
          <w:tcPr>
            <w:tcW w:w="1740" w:type="dxa"/>
            <w:vAlign w:val="bottom"/>
            <w:gridSpan w:val="4"/>
          </w:tcPr>
          <w:p>
            <w:pPr>
              <w:jc w:val="center"/>
              <w:ind w:right="108"/>
              <w:spacing w:after="0"/>
              <w:rPr>
                <w:sz w:val="20"/>
                <w:szCs w:val="20"/>
                <w:color w:val="auto"/>
              </w:rPr>
            </w:pPr>
            <w:r>
              <w:rPr>
                <w:rFonts w:ascii="Arial" w:cs="Arial" w:eastAsia="Arial" w:hAnsi="Arial"/>
                <w:sz w:val="13"/>
                <w:szCs w:val="13"/>
                <w:b w:val="1"/>
                <w:bCs w:val="1"/>
                <w:color w:val="auto"/>
                <w:w w:val="86"/>
              </w:rPr>
              <w:t>Held By Subsidiaries</w:t>
            </w:r>
          </w:p>
        </w:tc>
        <w:tc>
          <w:tcPr>
            <w:tcW w:w="9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7"/>
              </w:rPr>
              <w:t>Stockholders’</w:t>
            </w:r>
          </w:p>
        </w:tc>
      </w:tr>
      <w:tr>
        <w:trPr>
          <w:trHeight w:val="142"/>
        </w:trPr>
        <w:tc>
          <w:tcPr>
            <w:tcW w:w="2560" w:type="dxa"/>
            <w:vAlign w:val="bottom"/>
          </w:tcPr>
          <w:p>
            <w:pPr>
              <w:spacing w:after="0"/>
              <w:rPr>
                <w:sz w:val="12"/>
                <w:szCs w:val="12"/>
                <w:color w:val="auto"/>
              </w:rPr>
            </w:pPr>
          </w:p>
        </w:tc>
        <w:tc>
          <w:tcPr>
            <w:tcW w:w="1000" w:type="dxa"/>
            <w:vAlign w:val="bottom"/>
            <w:tcBorders>
              <w:top w:val="single" w:sz="8" w:color="auto"/>
            </w:tcBorders>
            <w:gridSpan w:val="2"/>
          </w:tcPr>
          <w:p>
            <w:pPr>
              <w:ind w:left="140"/>
              <w:spacing w:after="0" w:line="143" w:lineRule="exact"/>
              <w:rPr>
                <w:sz w:val="20"/>
                <w:szCs w:val="20"/>
                <w:color w:val="auto"/>
              </w:rPr>
            </w:pPr>
            <w:r>
              <w:rPr>
                <w:rFonts w:ascii="Arial" w:cs="Arial" w:eastAsia="Arial" w:hAnsi="Arial"/>
                <w:sz w:val="13"/>
                <w:szCs w:val="13"/>
                <w:b w:val="1"/>
                <w:bCs w:val="1"/>
                <w:color w:val="auto"/>
              </w:rPr>
              <w:t>Shares (*)</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1"/>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2"/>
                <w:szCs w:val="12"/>
                <w:color w:val="auto"/>
              </w:rPr>
            </w:pPr>
          </w:p>
        </w:tc>
        <w:tc>
          <w:tcPr>
            <w:tcW w:w="900" w:type="dxa"/>
            <w:vAlign w:val="bottom"/>
            <w:gridSpan w:val="2"/>
          </w:tcPr>
          <w:p>
            <w:pPr>
              <w:jc w:val="center"/>
              <w:ind w:right="239"/>
              <w:spacing w:after="0" w:line="143" w:lineRule="exact"/>
              <w:rPr>
                <w:sz w:val="20"/>
                <w:szCs w:val="20"/>
                <w:color w:val="auto"/>
              </w:rPr>
            </w:pPr>
            <w:r>
              <w:rPr>
                <w:rFonts w:ascii="Arial" w:cs="Arial" w:eastAsia="Arial" w:hAnsi="Arial"/>
                <w:sz w:val="13"/>
                <w:szCs w:val="13"/>
                <w:b w:val="1"/>
                <w:bCs w:val="1"/>
                <w:color w:val="auto"/>
                <w:w w:val="85"/>
              </w:rPr>
              <w:t>Net of Tax</w:t>
            </w:r>
          </w:p>
        </w:tc>
        <w:tc>
          <w:tcPr>
            <w:tcW w:w="920" w:type="dxa"/>
            <w:vAlign w:val="bottom"/>
            <w:tcBorders>
              <w:top w:val="single" w:sz="8" w:color="auto"/>
            </w:tcBorders>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tcBorders>
          </w:tcPr>
          <w:p>
            <w:pPr>
              <w:jc w:val="right"/>
              <w:ind w:right="210"/>
              <w:spacing w:after="0" w:line="143"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2018</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788,140</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$ 1,080,413</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(232,518)</w:t>
            </w: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10,747,142</w:t>
            </w:r>
          </w:p>
        </w:tc>
        <w:tc>
          <w:tcPr>
            <w:tcW w:w="1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6"/>
              </w:rPr>
              <w:t>$ (437,530)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1,199,803</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59,102</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1,258,905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527,125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527,125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532,449</w:t>
            </w:r>
          </w:p>
        </w:tc>
        <w:tc>
          <w:tcPr>
            <w:tcW w:w="100" w:type="dxa"/>
            <w:vAlign w:val="bottom"/>
            <w:shd w:val="clear" w:color="auto" w:fill="CFF0FC"/>
          </w:tcPr>
          <w:p>
            <w:pPr>
              <w:spacing w:after="0"/>
              <w:rPr>
                <w:sz w:val="14"/>
                <w:szCs w:val="14"/>
                <w:color w:val="auto"/>
              </w:rPr>
            </w:pPr>
          </w:p>
        </w:tc>
      </w:tr>
      <w:tr>
        <w:trPr>
          <w:trHeight w:val="162"/>
        </w:trPr>
        <w:tc>
          <w:tcPr>
            <w:tcW w:w="2560" w:type="dxa"/>
            <w:vAlign w:val="bottom"/>
          </w:tcPr>
          <w:p>
            <w:pPr>
              <w:ind w:left="260"/>
              <w:spacing w:after="0"/>
              <w:rPr>
                <w:sz w:val="20"/>
                <w:szCs w:val="20"/>
                <w:color w:val="auto"/>
              </w:rPr>
            </w:pPr>
            <w:r>
              <w:rPr>
                <w:rFonts w:ascii="Arial" w:cs="Arial" w:eastAsia="Arial" w:hAnsi="Arial"/>
                <w:sz w:val="14"/>
                <w:szCs w:val="14"/>
                <w:color w:val="auto"/>
                <w:w w:val="97"/>
              </w:rPr>
              <w:t>Other comprehensive loss - net of tax</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(41,300)</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(41,300)</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(41,301)</w:t>
            </w:r>
          </w:p>
        </w:tc>
      </w:tr>
      <w:tr>
        <w:trPr>
          <w:trHeight w:val="143"/>
        </w:trPr>
        <w:tc>
          <w:tcPr>
            <w:tcW w:w="2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267,573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267,573</w:t>
            </w:r>
          </w:p>
        </w:tc>
        <w:tc>
          <w:tcPr>
            <w:tcW w:w="100" w:type="dxa"/>
            <w:vAlign w:val="bottom"/>
            <w:shd w:val="clear" w:color="auto" w:fill="CFF0FC"/>
          </w:tcPr>
          <w:p>
            <w:pPr>
              <w:spacing w:after="0"/>
              <w:rPr>
                <w:sz w:val="14"/>
                <w:szCs w:val="14"/>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Dividend equivalents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44,255</w:t>
            </w:r>
          </w:p>
        </w:tc>
        <w:tc>
          <w:tcPr>
            <w:tcW w:w="1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(50,583)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(6,328)</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(6,328)</w:t>
            </w:r>
          </w:p>
        </w:tc>
      </w:tr>
      <w:tr>
        <w:trPr>
          <w:trHeight w:val="143"/>
        </w:trPr>
        <w:tc>
          <w:tcPr>
            <w:tcW w:w="2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Class A common stock dividends ($3.03</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per share)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(359,639)</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(359,639)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(359,639)</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Purchase of Class A common stock</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12,206,652</w:t>
            </w:r>
          </w:p>
        </w:tc>
        <w:tc>
          <w:tcPr>
            <w:tcW w:w="1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(552,872)</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(552,872)</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(552,872)</w:t>
            </w:r>
          </w:p>
        </w:tc>
      </w:tr>
      <w:tr>
        <w:trPr>
          <w:trHeight w:val="143"/>
        </w:trPr>
        <w:tc>
          <w:tcPr>
            <w:tcW w:w="2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5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5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compensation and related tax expense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$7,711</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(350,481)</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(5,353,920)</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232,409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(118,072)</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(118,072)</w:t>
            </w:r>
          </w:p>
        </w:tc>
      </w:tr>
      <w:tr>
        <w:trPr>
          <w:trHeight w:val="143"/>
        </w:trPr>
        <w:tc>
          <w:tcPr>
            <w:tcW w:w="2560" w:type="dxa"/>
            <w:vAlign w:val="bottom"/>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6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25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issuable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(including related amortization)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FF0FC"/>
          </w:tcPr>
          <w:p>
            <w:pPr>
              <w:spacing w:after="0"/>
              <w:rPr>
                <w:sz w:val="14"/>
                <w:szCs w:val="14"/>
                <w:color w:val="auto"/>
              </w:rPr>
            </w:pPr>
          </w:p>
        </w:tc>
      </w:tr>
      <w:tr>
        <w:trPr>
          <w:trHeight w:val="162"/>
        </w:trPr>
        <w:tc>
          <w:tcPr>
            <w:tcW w:w="2560" w:type="dxa"/>
            <w:vAlign w:val="bottom"/>
          </w:tcPr>
          <w:p>
            <w:pPr>
              <w:ind w:left="260"/>
              <w:spacing w:after="0"/>
              <w:rPr>
                <w:sz w:val="20"/>
                <w:szCs w:val="20"/>
                <w:color w:val="auto"/>
              </w:rPr>
            </w:pPr>
            <w:r>
              <w:rPr>
                <w:rFonts w:ascii="Arial" w:cs="Arial" w:eastAsia="Arial" w:hAnsi="Arial"/>
                <w:sz w:val="14"/>
                <w:szCs w:val="14"/>
                <w:color w:val="auto"/>
              </w:rPr>
              <w:t>Delivery of Class A common stock</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(1,109)</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(25,069)</w:t>
            </w:r>
          </w:p>
        </w:tc>
        <w:tc>
          <w:tcPr>
            <w:tcW w:w="640" w:type="dxa"/>
            <w:vAlign w:val="bottom"/>
          </w:tcPr>
          <w:p>
            <w:pPr>
              <w:jc w:val="right"/>
              <w:spacing w:after="0"/>
              <w:rPr>
                <w:sz w:val="20"/>
                <w:szCs w:val="20"/>
                <w:color w:val="auto"/>
              </w:rPr>
            </w:pPr>
            <w:r>
              <w:rPr>
                <w:rFonts w:ascii="Arial" w:cs="Arial" w:eastAsia="Arial" w:hAnsi="Arial"/>
                <w:sz w:val="14"/>
                <w:szCs w:val="14"/>
                <w:color w:val="auto"/>
              </w:rPr>
              <w:t>1,109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25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equivalents</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43"/>
        </w:trPr>
        <w:tc>
          <w:tcPr>
            <w:tcW w:w="2560" w:type="dxa"/>
            <w:vAlign w:val="bottom"/>
          </w:tcPr>
          <w:p>
            <w:pPr>
              <w:spacing w:after="0" w:line="143" w:lineRule="exact"/>
              <w:rPr>
                <w:sz w:val="20"/>
                <w:szCs w:val="20"/>
                <w:color w:val="auto"/>
              </w:rPr>
            </w:pPr>
            <w:r>
              <w:rPr>
                <w:rFonts w:ascii="Arial" w:cs="Arial" w:eastAsia="Arial" w:hAnsi="Arial"/>
                <w:sz w:val="14"/>
                <w:szCs w:val="14"/>
                <w:color w:val="auto"/>
              </w:rPr>
              <w:t>Distributions to noncontrolling interests,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net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(11,183)</w:t>
            </w: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(11,183)</w:t>
            </w:r>
          </w:p>
        </w:tc>
      </w:tr>
      <w:tr>
        <w:trPr>
          <w:trHeight w:val="156"/>
        </w:trPr>
        <w:tc>
          <w:tcPr>
            <w:tcW w:w="2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2018</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750,692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$ 1,195,563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(273,818</w:t>
            </w:r>
          </w:p>
        </w:tc>
        <w:tc>
          <w:tcPr>
            <w:tcW w:w="16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17,574,805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 (756,884</w:t>
            </w:r>
          </w:p>
        </w:tc>
        <w:tc>
          <w:tcPr>
            <w:tcW w:w="180" w:type="dxa"/>
            <w:vAlign w:val="bottom"/>
            <w:tcBorders>
              <w:top w:val="single" w:sz="8" w:color="CFF0FC"/>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916,851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53,242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970,093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119"/>
              <w:spacing w:after="0"/>
              <w:rPr>
                <w:sz w:val="20"/>
                <w:szCs w:val="20"/>
                <w:color w:val="auto"/>
              </w:rPr>
            </w:pPr>
            <w:r>
              <w:rPr>
                <w:rFonts w:ascii="Arial" w:cs="Arial" w:eastAsia="Arial" w:hAnsi="Arial"/>
                <w:sz w:val="13"/>
                <w:szCs w:val="13"/>
                <w:b w:val="1"/>
                <w:bCs w:val="1"/>
                <w:color w:val="auto"/>
                <w:w w:val="85"/>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59"/>
              <w:spacing w:after="0" w:line="135" w:lineRule="exact"/>
              <w:rPr>
                <w:sz w:val="20"/>
                <w:szCs w:val="20"/>
                <w:color w:val="auto"/>
              </w:rPr>
            </w:pPr>
            <w:r>
              <w:rPr>
                <w:rFonts w:ascii="Arial" w:cs="Arial" w:eastAsia="Arial" w:hAnsi="Arial"/>
                <w:sz w:val="13"/>
                <w:szCs w:val="13"/>
                <w:b w:val="1"/>
                <w:bCs w:val="1"/>
                <w:color w:val="auto"/>
                <w:w w:val="92"/>
              </w:rPr>
              <w:t>Other</w:t>
            </w:r>
          </w:p>
        </w:tc>
        <w:tc>
          <w:tcPr>
            <w:tcW w:w="1720" w:type="dxa"/>
            <w:vAlign w:val="bottom"/>
            <w:gridSpan w:val="5"/>
          </w:tcPr>
          <w:p>
            <w:pPr>
              <w:jc w:val="center"/>
              <w:ind w:right="28"/>
              <w:spacing w:after="0" w:line="135" w:lineRule="exact"/>
              <w:rPr>
                <w:sz w:val="20"/>
                <w:szCs w:val="20"/>
                <w:color w:val="auto"/>
              </w:rPr>
            </w:pPr>
            <w:r>
              <w:rPr>
                <w:rFonts w:ascii="Arial" w:cs="Arial" w:eastAsia="Arial" w:hAnsi="Arial"/>
                <w:sz w:val="13"/>
                <w:szCs w:val="13"/>
                <w:b w:val="1"/>
                <w:bCs w:val="1"/>
                <w:color w:val="auto"/>
                <w:w w:val="87"/>
              </w:rPr>
              <w:t>Class A</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86"/>
              </w:rPr>
              <w:t>Comprehensive</w:t>
            </w:r>
          </w:p>
        </w:tc>
        <w:tc>
          <w:tcPr>
            <w:tcW w:w="1720" w:type="dxa"/>
            <w:vAlign w:val="bottom"/>
            <w:gridSpan w:val="5"/>
          </w:tcPr>
          <w:p>
            <w:pPr>
              <w:jc w:val="center"/>
              <w:ind w:right="28"/>
              <w:spacing w:after="0"/>
              <w:rPr>
                <w:sz w:val="20"/>
                <w:szCs w:val="20"/>
                <w:color w:val="auto"/>
              </w:rPr>
            </w:pPr>
            <w:r>
              <w:rPr>
                <w:rFonts w:ascii="Arial" w:cs="Arial" w:eastAsia="Arial" w:hAnsi="Arial"/>
                <w:sz w:val="13"/>
                <w:szCs w:val="13"/>
                <w:b w:val="1"/>
                <w:bCs w:val="1"/>
                <w:color w:val="auto"/>
                <w:w w:val="85"/>
              </w:rPr>
              <w:t>Common Stock</w:t>
            </w:r>
          </w:p>
        </w:tc>
        <w:tc>
          <w:tcPr>
            <w:tcW w:w="60" w:type="dxa"/>
            <w:vAlign w:val="bottom"/>
          </w:tcPr>
          <w:p>
            <w:pPr>
              <w:spacing w:after="0"/>
              <w:rPr>
                <w:sz w:val="12"/>
                <w:szCs w:val="12"/>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Lazard Ltd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r>
      <w:tr>
        <w:trPr>
          <w:trHeight w:val="153"/>
        </w:trPr>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1020" w:type="dxa"/>
            <w:vAlign w:val="bottom"/>
            <w:gridSpan w:val="3"/>
          </w:tcPr>
          <w:p>
            <w:pPr>
              <w:jc w:val="center"/>
              <w:ind w:right="119"/>
              <w:spacing w:after="0"/>
              <w:rPr>
                <w:sz w:val="20"/>
                <w:szCs w:val="20"/>
                <w:color w:val="auto"/>
              </w:rPr>
            </w:pPr>
            <w:r>
              <w:rPr>
                <w:rFonts w:ascii="Arial" w:cs="Arial" w:eastAsia="Arial" w:hAnsi="Arial"/>
                <w:sz w:val="13"/>
                <w:szCs w:val="13"/>
                <w:b w:val="1"/>
                <w:bCs w:val="1"/>
                <w:color w:val="auto"/>
                <w:w w:val="84"/>
              </w:rPr>
              <w:t>Income (Loss),</w:t>
            </w:r>
          </w:p>
        </w:tc>
        <w:tc>
          <w:tcPr>
            <w:tcW w:w="1720" w:type="dxa"/>
            <w:vAlign w:val="bottom"/>
            <w:gridSpan w:val="5"/>
          </w:tcPr>
          <w:p>
            <w:pPr>
              <w:jc w:val="center"/>
              <w:ind w:right="48"/>
              <w:spacing w:after="0"/>
              <w:rPr>
                <w:sz w:val="20"/>
                <w:szCs w:val="20"/>
                <w:color w:val="auto"/>
              </w:rPr>
            </w:pPr>
            <w:r>
              <w:rPr>
                <w:rFonts w:ascii="Arial" w:cs="Arial" w:eastAsia="Arial" w:hAnsi="Arial"/>
                <w:sz w:val="13"/>
                <w:szCs w:val="13"/>
                <w:b w:val="1"/>
                <w:bCs w:val="1"/>
                <w:color w:val="auto"/>
                <w:w w:val="86"/>
              </w:rPr>
              <w:t>Held By Subsidiaries</w:t>
            </w:r>
          </w:p>
        </w:tc>
        <w:tc>
          <w:tcPr>
            <w:tcW w:w="9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6"/>
              </w:rPr>
              <w:t>Stockholders’</w:t>
            </w:r>
          </w:p>
        </w:tc>
        <w:tc>
          <w:tcPr>
            <w:tcW w:w="96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Noncontrolling</w:t>
            </w:r>
          </w:p>
        </w:tc>
        <w:tc>
          <w:tcPr>
            <w:tcW w:w="90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Stockholders’</w:t>
            </w:r>
          </w:p>
        </w:tc>
      </w:tr>
      <w:tr>
        <w:trPr>
          <w:trHeight w:val="142"/>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Shares (*)</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0"/>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39"/>
              <w:spacing w:after="0" w:line="143" w:lineRule="exact"/>
              <w:rPr>
                <w:sz w:val="20"/>
                <w:szCs w:val="20"/>
                <w:color w:val="auto"/>
              </w:rPr>
            </w:pPr>
            <w:r>
              <w:rPr>
                <w:rFonts w:ascii="Arial" w:cs="Arial" w:eastAsia="Arial" w:hAnsi="Arial"/>
                <w:sz w:val="13"/>
                <w:szCs w:val="13"/>
                <w:b w:val="1"/>
                <w:bCs w:val="1"/>
                <w:color w:val="auto"/>
                <w:w w:val="85"/>
              </w:rPr>
              <w:t>Net of Tax</w:t>
            </w:r>
          </w:p>
        </w:tc>
        <w:tc>
          <w:tcPr>
            <w:tcW w:w="920" w:type="dxa"/>
            <w:vAlign w:val="bottom"/>
            <w:tcBorders>
              <w:top w:val="single" w:sz="8" w:color="auto"/>
            </w:tcBorders>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gridSpan w:val="2"/>
          </w:tcPr>
          <w:p>
            <w:pPr>
              <w:jc w:val="right"/>
              <w:ind w:right="228"/>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w w:val="92"/>
              </w:rPr>
              <w:t>Interests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5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2019</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750,692</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$ 1,195,563</w:t>
            </w: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(273,818)</w:t>
            </w:r>
          </w:p>
        </w:tc>
        <w:tc>
          <w:tcPr>
            <w:tcW w:w="1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17,574,805</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6"/>
              </w:rPr>
              <w:t>$ (756,884)</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916,851</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53,242</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970,093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286,500</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286,500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11,216</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297,716</w:t>
            </w:r>
          </w:p>
        </w:tc>
        <w:tc>
          <w:tcPr>
            <w:tcW w:w="100" w:type="dxa"/>
            <w:vAlign w:val="bottom"/>
            <w:shd w:val="clear" w:color="auto" w:fill="CFF0FC"/>
          </w:tcPr>
          <w:p>
            <w:pPr>
              <w:spacing w:after="0"/>
              <w:rPr>
                <w:sz w:val="14"/>
                <w:szCs w:val="14"/>
                <w:color w:val="auto"/>
              </w:rPr>
            </w:pPr>
          </w:p>
        </w:tc>
      </w:tr>
      <w:tr>
        <w:trPr>
          <w:trHeight w:val="162"/>
        </w:trPr>
        <w:tc>
          <w:tcPr>
            <w:tcW w:w="2520" w:type="dxa"/>
            <w:vAlign w:val="bottom"/>
            <w:gridSpan w:val="2"/>
          </w:tcPr>
          <w:p>
            <w:pPr>
              <w:ind w:left="260"/>
              <w:spacing w:after="0"/>
              <w:rPr>
                <w:sz w:val="20"/>
                <w:szCs w:val="20"/>
                <w:color w:val="auto"/>
              </w:rPr>
            </w:pPr>
            <w:r>
              <w:rPr>
                <w:rFonts w:ascii="Arial" w:cs="Arial" w:eastAsia="Arial" w:hAnsi="Arial"/>
                <w:sz w:val="14"/>
                <w:szCs w:val="14"/>
                <w:color w:val="auto"/>
                <w:w w:val="96"/>
              </w:rPr>
              <w:t>Other comprehensive loss - net of tax</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(19,830)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(19,830)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(19,830)</w:t>
            </w: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248,104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248,104</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253,284</w:t>
            </w:r>
          </w:p>
        </w:tc>
        <w:tc>
          <w:tcPr>
            <w:tcW w:w="100" w:type="dxa"/>
            <w:vAlign w:val="bottom"/>
            <w:shd w:val="clear" w:color="auto" w:fill="CFF0FC"/>
          </w:tcPr>
          <w:p>
            <w:pPr>
              <w:spacing w:after="0"/>
              <w:rPr>
                <w:sz w:val="14"/>
                <w:szCs w:val="14"/>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Dividend equivalents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28,801</w:t>
            </w:r>
          </w:p>
        </w:tc>
        <w:tc>
          <w:tcPr>
            <w:tcW w:w="10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(32,899)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(4,098)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(3,438)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(7,536)</w:t>
            </w: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Class A common stock dividends ($2.35</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per share)</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(254,924)</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(254,924)</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(254,924)</w:t>
            </w: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Purchase of Class A common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13,674,439</w:t>
            </w:r>
          </w:p>
        </w:tc>
        <w:tc>
          <w:tcPr>
            <w:tcW w:w="1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(494,687)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(494,687)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(494,687)</w:t>
            </w: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Cancellation of Class A common stock</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held</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(17,000,000)</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(675,911)</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(17,000,000)</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676,081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43"/>
        </w:trPr>
        <w:tc>
          <w:tcPr>
            <w:tcW w:w="2520" w:type="dxa"/>
            <w:vAlign w:val="bottom"/>
            <w:gridSpan w:val="2"/>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compensation and related tax benefit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of $4,437</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(336,970)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(5,686,227)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241,448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(95,522)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(95,522)</w:t>
            </w: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3"/>
        </w:trPr>
        <w:tc>
          <w:tcPr>
            <w:tcW w:w="252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Class A common stock issuable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gridSpan w:val="2"/>
          </w:tcPr>
          <w:p>
            <w:pPr>
              <w:ind w:left="360"/>
              <w:spacing w:after="0"/>
              <w:rPr>
                <w:sz w:val="20"/>
                <w:szCs w:val="20"/>
                <w:color w:val="auto"/>
              </w:rPr>
            </w:pPr>
            <w:r>
              <w:rPr>
                <w:rFonts w:ascii="Arial" w:cs="Arial" w:eastAsia="Arial" w:hAnsi="Arial"/>
                <w:sz w:val="14"/>
                <w:szCs w:val="14"/>
                <w:color w:val="auto"/>
              </w:rPr>
              <w:t>(including related amortization)</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27,592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27,592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27,592</w:t>
            </w:r>
          </w:p>
        </w:tc>
        <w:tc>
          <w:tcPr>
            <w:tcW w:w="100" w:type="dxa"/>
            <w:vAlign w:val="bottom"/>
          </w:tcPr>
          <w:p>
            <w:pPr>
              <w:spacing w:after="0"/>
              <w:rPr>
                <w:sz w:val="14"/>
                <w:szCs w:val="14"/>
                <w:color w:val="auto"/>
              </w:rPr>
            </w:pPr>
          </w:p>
        </w:tc>
      </w:tr>
      <w:tr>
        <w:trPr>
          <w:trHeight w:val="143"/>
        </w:trPr>
        <w:tc>
          <w:tcPr>
            <w:tcW w:w="252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Delivery of Class A common stock</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and related tax benefit of $5</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(1,958)</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(49,524)</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4"/>
                <w:szCs w:val="14"/>
                <w:color w:val="auto"/>
              </w:rPr>
            </w:pPr>
          </w:p>
        </w:tc>
      </w:tr>
      <w:tr>
        <w:trPr>
          <w:trHeight w:val="162"/>
        </w:trPr>
        <w:tc>
          <w:tcPr>
            <w:tcW w:w="2520" w:type="dxa"/>
            <w:vAlign w:val="bottom"/>
            <w:gridSpan w:val="2"/>
          </w:tcPr>
          <w:p>
            <w:pPr>
              <w:ind w:left="260"/>
              <w:spacing w:after="0"/>
              <w:rPr>
                <w:sz w:val="20"/>
                <w:szCs w:val="20"/>
                <w:color w:val="auto"/>
              </w:rPr>
            </w:pPr>
            <w:r>
              <w:rPr>
                <w:rFonts w:ascii="Arial" w:cs="Arial" w:eastAsia="Arial" w:hAnsi="Arial"/>
                <w:sz w:val="14"/>
                <w:szCs w:val="14"/>
                <w:color w:val="auto"/>
              </w:rPr>
              <w:t>Dividend equivalents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(670)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 interests,</w:t>
            </w: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w:t>
            </w: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(11,495)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(11,495)</w:t>
            </w:r>
          </w:p>
        </w:tc>
      </w:tr>
      <w:tr>
        <w:trPr>
          <w:trHeight w:val="162"/>
        </w:trPr>
        <w:tc>
          <w:tcPr>
            <w:tcW w:w="25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Consolidation of VIEs</w:t>
            </w: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tcBorders>
              <w:bottom w:val="single" w:sz="8" w:color="CFF0FC"/>
            </w:tcBorders>
          </w:tcPr>
          <w:p>
            <w:pPr>
              <w:spacing w:after="0"/>
              <w:rPr>
                <w:sz w:val="14"/>
                <w:szCs w:val="14"/>
                <w:color w:val="auto"/>
              </w:rPr>
            </w:pPr>
          </w:p>
        </w:tc>
      </w:tr>
      <w:tr>
        <w:trPr>
          <w:trHeight w:val="156"/>
        </w:trPr>
        <w:tc>
          <w:tcPr>
            <w:tcW w:w="252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2019</w:t>
            </w: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112,766,091</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1,128</w:t>
            </w: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41,020</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$ 1,193,570</w:t>
            </w:r>
          </w:p>
        </w:tc>
        <w:tc>
          <w:tcPr>
            <w:tcW w:w="12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(293,648</w:t>
            </w:r>
          </w:p>
        </w:tc>
        <w:tc>
          <w:tcPr>
            <w:tcW w:w="16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8,513,493</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 (332,079</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609,991</w:t>
            </w:r>
          </w:p>
        </w:tc>
        <w:tc>
          <w:tcPr>
            <w:tcW w:w="12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71,583</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681,574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1" w:lineRule="exact"/>
        <w:rPr>
          <w:sz w:val="20"/>
          <w:szCs w:val="20"/>
          <w:color w:val="auto"/>
        </w:rPr>
      </w:pPr>
    </w:p>
    <w:p>
      <w:pPr>
        <w:ind w:left="420" w:right="220" w:hanging="412"/>
        <w:spacing w:after="0" w:line="263"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6"/>
          <w:szCs w:val="16"/>
          <w:color w:val="auto"/>
        </w:rPr>
        <w:t>Includes 129,766,091 shares of the Company’s Class A common stock issued at both December 31, 2017 and 2018 and 112,766,091 shares of the Company’s Class A common stock issued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300" w:right="6760" w:hanging="292"/>
        <w:spacing w:after="0" w:line="375" w:lineRule="auto"/>
        <w:tabs>
          <w:tab w:leader="none" w:pos="595"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December 31, 2019 and 2018. Lazard Ltd, through its control of the managing members of Lazard Group, controls Lazard Group, which is governed by an Amended and Restated Operating Agreement dated as of February 4, 2019 (the “Operating Agreement”).</w:t>
      </w:r>
    </w:p>
    <w:p>
      <w:pPr>
        <w:spacing w:after="0" w:line="18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1200" w:right="200" w:hanging="598"/>
        <w:spacing w:after="0" w:line="264"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and</w:t>
      </w:r>
    </w:p>
    <w:p>
      <w:pPr>
        <w:spacing w:after="0" w:line="73" w:lineRule="exact"/>
        <w:rPr>
          <w:rFonts w:ascii="Arial" w:cs="Arial" w:eastAsia="Arial" w:hAnsi="Arial"/>
          <w:sz w:val="18"/>
          <w:szCs w:val="18"/>
          <w:color w:val="auto"/>
        </w:rPr>
      </w:pPr>
    </w:p>
    <w:p>
      <w:pPr>
        <w:ind w:left="1200" w:right="460" w:hanging="598"/>
        <w:spacing w:after="0" w:line="286" w:lineRule="auto"/>
        <w:tabs>
          <w:tab w:leader="none" w:pos="12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w:t>
      </w:r>
    </w:p>
    <w:p>
      <w:pPr>
        <w:spacing w:after="0" w:line="38" w:lineRule="exact"/>
        <w:rPr>
          <w:sz w:val="20"/>
          <w:szCs w:val="20"/>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24).</w:t>
      </w:r>
    </w:p>
    <w:p>
      <w:pPr>
        <w:spacing w:after="0" w:line="18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its investment at fair value. Intercompany transactions and balances have been eliminated.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74" w:lineRule="exact"/>
        <w:rPr>
          <w:sz w:val="20"/>
          <w:szCs w:val="20"/>
          <w:color w:val="auto"/>
        </w:rPr>
      </w:pPr>
    </w:p>
    <w:p>
      <w:pPr>
        <w:ind w:left="600" w:hanging="592"/>
        <w:spacing w:after="0"/>
        <w:tabs>
          <w:tab w:leader="none" w:pos="60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225"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8) amounted to $3,443, $(2,880) and $1,900 for the years ended December 31, 2019, 2018 and 2017, respectively, and are included in “revenue-other” on the respective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consolidated financial statements in conformity with U.S. GAAP requires the use of management’s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and assumptions regarding:</w:t>
      </w:r>
    </w:p>
    <w:p>
      <w:pPr>
        <w:spacing w:after="0" w:line="103" w:lineRule="exact"/>
        <w:rPr>
          <w:sz w:val="20"/>
          <w:szCs w:val="20"/>
          <w:color w:val="auto"/>
        </w:rPr>
      </w:pPr>
    </w:p>
    <w:p>
      <w:pPr>
        <w:ind w:left="1200" w:right="40" w:hanging="598"/>
        <w:spacing w:after="0" w:line="277"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assessment of probability with respect to recognizing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discount rate used to measure operating lease right-of-use assets and operating lease liabilities;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realization of deferred tax assets and adequacy of tax reserves for uncertain tax positions;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measurement of our tax receivable agreement obligation;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when purchased.</w:t>
      </w:r>
    </w:p>
    <w:p>
      <w:pPr>
        <w:spacing w:after="0" w:line="170"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b w:val="1"/>
          <w:bCs w:val="1"/>
          <w:i w:val="1"/>
          <w:iCs w:val="1"/>
          <w:color w:val="auto"/>
        </w:rPr>
        <w:t>Deposits with Banks and Short-Term Investments—</w:t>
      </w:r>
      <w:r>
        <w:rPr>
          <w:rFonts w:ascii="Arial" w:cs="Arial" w:eastAsia="Arial" w:hAnsi="Arial"/>
          <w:sz w:val="16"/>
          <w:szCs w:val="16"/>
          <w:color w:val="auto"/>
        </w:rPr>
        <w:t>Represents LFB’s short-term deposits, including with the Banque de France and amounts placed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LFB in short-term, highly liquid securities with original maturities of 90 days or less when purchased. The level of these deposits and investments may be driven by the level of LFB time and demand deposits (which can fluctuate significantly on a daily basis) and by changes in asset allocation.</w:t>
      </w:r>
    </w:p>
    <w:p>
      <w:pPr>
        <w:spacing w:after="0" w:line="14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to satisfy the requirements of clearing organizations.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5 for additional information regarding receivables.</w:t>
      </w:r>
    </w:p>
    <w:p>
      <w:pPr>
        <w:spacing w:after="0" w:line="225"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Investments in debt and marketable equity securities held either directly, or indirectly through asset management funds,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broker-dealer and non broker-dealer subsidiaries are accounted for at fair value, with any increase or decrease in fair value recorded in earnings. Such amounts are reflected in “revenue-other” in the consolidated statements of operations.</w:t>
      </w:r>
    </w:p>
    <w:p>
      <w:pPr>
        <w:spacing w:after="0" w:line="181"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Investments also include interests in alternative investment funds and private equity funds, each accounted for at fair value. Any increases or decreases in the carrying value of those investments accounted for at fair value are reflected in “revenue-other” in the consolidated statements of operations.</w:t>
      </w:r>
    </w:p>
    <w:p>
      <w:pPr>
        <w:spacing w:after="0" w:line="124"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Dividend income is reflected in “revenue-other” in the consolidated statements of operations. Securities transactions and the related revenue and expenses are recorded on a “trade date” basis.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Notes 6 and 7 for additional information regarding the Company’s investments.</w:t>
      </w:r>
    </w:p>
    <w:p>
      <w:pPr>
        <w:spacing w:after="0" w:line="22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b w:val="1"/>
          <w:bCs w:val="1"/>
          <w:i w:val="1"/>
          <w:iCs w:val="1"/>
          <w:color w:val="auto"/>
        </w:rPr>
        <w:t>Property-net—</w:t>
      </w:r>
      <w:r>
        <w:rPr>
          <w:rFonts w:ascii="Arial" w:cs="Arial" w:eastAsia="Arial" w:hAnsi="Arial"/>
          <w:sz w:val="17"/>
          <w:szCs w:val="17"/>
          <w:color w:val="auto"/>
        </w:rPr>
        <w:t>Property is stated at cost less accumulated depreciation and amortization. Buildings are depreciated on a straight-line basis over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$35,572, $34,103 and $31,498 for the years ended December 31, 2019, 2018 and 2017,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Lease Right-of-use Assets and Operating Lease Liabilities—</w:t>
      </w:r>
      <w:r>
        <w:rPr>
          <w:rFonts w:ascii="Arial" w:cs="Arial" w:eastAsia="Arial" w:hAnsi="Arial"/>
          <w:sz w:val="18"/>
          <w:szCs w:val="18"/>
          <w:color w:val="auto"/>
        </w:rPr>
        <w:t>See Notes 3 and 10.</w:t>
      </w:r>
    </w:p>
    <w:p>
      <w:pPr>
        <w:spacing w:after="0" w:line="225"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as of November 1,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11 with respect to goodwill and other intangible assets.</w:t>
      </w:r>
    </w:p>
    <w:p>
      <w:pPr>
        <w:spacing w:after="0" w:line="225"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are generally included in “interest income” and “interest expense”, respectively, or “revenue-other”, depending on the nature of the underlying item, in the consolidated statements of operations.</w:t>
      </w:r>
    </w:p>
    <w:p>
      <w:pPr>
        <w:spacing w:after="0" w:line="189" w:lineRule="exact"/>
        <w:rPr>
          <w:sz w:val="20"/>
          <w:szCs w:val="20"/>
          <w:color w:val="auto"/>
        </w:rPr>
      </w:pPr>
    </w:p>
    <w:p>
      <w:pPr>
        <w:ind w:right="200" w:firstLine="598"/>
        <w:spacing w:after="0" w:line="272" w:lineRule="auto"/>
        <w:rPr>
          <w:sz w:val="20"/>
          <w:szCs w:val="20"/>
          <w:color w:val="auto"/>
        </w:rPr>
      </w:pPr>
      <w:r>
        <w:rPr>
          <w:rFonts w:ascii="Arial" w:cs="Arial" w:eastAsia="Arial" w:hAnsi="Arial"/>
          <w:sz w:val="17"/>
          <w:szCs w:val="17"/>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6, 8 and 16.</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Deposits and Other Customer Payables—</w:t>
      </w:r>
      <w:r>
        <w:rPr>
          <w:rFonts w:ascii="Arial" w:cs="Arial" w:eastAsia="Arial" w:hAnsi="Arial"/>
          <w:sz w:val="18"/>
          <w:szCs w:val="18"/>
          <w:color w:val="auto"/>
        </w:rPr>
        <w:t>Principally relates to LFB customer-related demand deposits.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87" w:lineRule="exact"/>
        <w:rPr>
          <w:sz w:val="20"/>
          <w:szCs w:val="20"/>
          <w:color w:val="auto"/>
        </w:rPr>
      </w:pPr>
    </w:p>
    <w:p>
      <w:pPr>
        <w:jc w:val="both"/>
        <w:ind w:right="540" w:firstLine="598"/>
        <w:spacing w:after="0" w:line="312" w:lineRule="auto"/>
        <w:rPr>
          <w:sz w:val="20"/>
          <w:szCs w:val="20"/>
          <w:color w:val="auto"/>
        </w:rPr>
      </w:pPr>
      <w:r>
        <w:rPr>
          <w:rFonts w:ascii="Arial" w:cs="Arial" w:eastAsia="Arial" w:hAnsi="Arial"/>
          <w:sz w:val="16"/>
          <w:szCs w:val="16"/>
          <w:b w:val="1"/>
          <w:bCs w:val="1"/>
          <w:i w:val="1"/>
          <w:iCs w:val="1"/>
          <w:color w:val="auto"/>
        </w:rPr>
        <w:t>Contingent Consideration Liabilities —</w:t>
      </w:r>
      <w:r>
        <w:rPr>
          <w:rFonts w:ascii="Arial" w:cs="Arial" w:eastAsia="Arial" w:hAnsi="Arial"/>
          <w:sz w:val="16"/>
          <w:szCs w:val="16"/>
          <w:color w:val="auto"/>
        </w:rPr>
        <w:t>The contingent consideration liabilities of businesses acquired in a business combination are initially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at fair value, and any change in the fair value is recognized in “amortization and other acquisition-related (benefits) costs” in the consolidated statements of operations. The contingent consideration liability is included in “other liabilities” on the consolidated statements of financial condition.</w:t>
      </w:r>
    </w:p>
    <w:p>
      <w:pPr>
        <w:spacing w:after="0" w:line="14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or interest-bearing deposits), derivative instruments, deposits and other customer payables.</w:t>
      </w:r>
    </w:p>
    <w:p>
      <w:pPr>
        <w:spacing w:after="0" w:line="187"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b w:val="1"/>
          <w:bCs w:val="1"/>
          <w:i w:val="1"/>
          <w:iCs w:val="1"/>
          <w:color w:val="auto"/>
        </w:rPr>
        <w:t>Investment Banking and Other Advisory Fees and Asset Management Fees—</w:t>
      </w:r>
      <w:r>
        <w:rPr>
          <w:rFonts w:ascii="Arial" w:cs="Arial" w:eastAsia="Arial" w:hAnsi="Arial"/>
          <w:sz w:val="18"/>
          <w:szCs w:val="18"/>
          <w:color w:val="auto"/>
        </w:rPr>
        <w:t>See Note 4 for the Company’s accounting policy 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as it applies to investment banking and other advisory and asset management fees.</w:t>
      </w:r>
    </w:p>
    <w:p>
      <w:pPr>
        <w:spacing w:after="0" w:line="170"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b w:val="1"/>
          <w:bCs w:val="1"/>
          <w:i w:val="1"/>
          <w:iCs w:val="1"/>
          <w:color w:val="auto"/>
        </w:rPr>
        <w:t>Soft Dollar Arrangements—</w:t>
      </w:r>
      <w:r>
        <w:rPr>
          <w:rFonts w:ascii="Arial" w:cs="Arial" w:eastAsia="Arial" w:hAnsi="Arial"/>
          <w:sz w:val="17"/>
          <w:szCs w:val="17"/>
          <w:color w:val="auto"/>
        </w:rPr>
        <w:t>Certain entities within the Company’s Asset Management business obtain research and other services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commission-sharing arrangements with broker-dealers, which are also known as “soft dollar” arrangements. Consistent with the “soft dollar” safe harbor established by Section 28(e) of the Securities Exchange Act of 1934, as amended (the “Exchange Act”), the Asset Management business does not have any contractual obligation or arrangement requiring it to pay for research and other eligible services obtained through soft dollar arrangements with brokers. Instead, the provider is obligated to pay for the services. Consequently, the Company does not incur any liability and does not accrue any expenses in connection with any research or other eligible services obtained by the Asset Management business pursuant to such soft dollar arrangements. For the year ended December 31, 2019, the Company obtained research and other eligible services through soft dollar arrangements valued at approximately $25,000. The use of soft dollars is limited by regulations in the European Union and the U.K. and, as such, the Company intends to directly pay a portion of the costs of such research and other eligible services going forward.</w:t>
      </w:r>
    </w:p>
    <w:p>
      <w:pPr>
        <w:spacing w:after="0" w:line="182"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58"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Deferred income taxes reflect the net tax effects of temporary differences between the financial reporting and tax basis of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9" w:lineRule="exact"/>
        <w:rPr>
          <w:sz w:val="20"/>
          <w:szCs w:val="20"/>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Company recognizes interest and/or penalties related to unrecognized tax benefits in “provision for income taxes”. See Note 19 for additional information relating to income taxes.</w:t>
      </w:r>
    </w:p>
    <w:p>
      <w:pPr>
        <w:spacing w:after="0" w:line="279" w:lineRule="exact"/>
        <w:rPr>
          <w:sz w:val="20"/>
          <w:szCs w:val="20"/>
          <w:color w:val="auto"/>
        </w:rPr>
      </w:pPr>
    </w:p>
    <w:p>
      <w:pPr>
        <w:ind w:left="600" w:hanging="592"/>
        <w:spacing w:after="0"/>
        <w:tabs>
          <w:tab w:leader="none" w:pos="60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Financial Accounting Standards Board (the “FASB”) issued updated guidance for leases.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lessee to (i) recognize a right-of-use asset and a lease liability that is initially measured at the present value of the lease payments, in the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consolidated statement of cash flows.</w:t>
      </w:r>
    </w:p>
    <w:p>
      <w:pPr>
        <w:spacing w:after="0" w:line="173"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The Company adopted the new guidance on January 1, 2019 using the optional transition method, which allows such guidance to be applied initially at the adoption date with a cumulative-effect adjustment and without restating comparative periods. Lazard elected the package of practical expedients, which allows the carry-forward of the prior conclusions on lease definition, classification and initial direct costs related to the existing leases as of the adoption date.</w:t>
      </w:r>
    </w:p>
    <w:p>
      <w:pPr>
        <w:spacing w:after="0" w:line="14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Substantially all of the Company’s existing lease arrangements are operating leases. The adoption of the new guidance on January 1, 2019 resulted in a recognition of $502,000 of operating lease right-of-use assets (“ROU assets”) and $581,000 of operating lease liabilities in the Company’s consolidated statements of financial condition. The operating lease liabilities at January 1, 2019 reflect any remaining lease payments discounted using an incremental borrowing rate (on a collateralized basis) based on the remaining lease term (the “Discount”), as an implicit rate was not readily determinable for any of the Company’s existing operating leases. The operating lease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ROU assets are lower than the operating lease liabilities primarily because lease incentives reduce the ROU assets (see Note 10).</w:t>
      </w:r>
    </w:p>
    <w:p>
      <w:pPr>
        <w:spacing w:after="0" w:line="225"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In June 2018, the FASB issued updated guidance to simplify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Company adopted the new guidance on January 1, 2019 and its application did not have a material impact on the Company’s financial statements.</w:t>
      </w:r>
    </w:p>
    <w:p>
      <w:pPr>
        <w:spacing w:after="0" w:line="193"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In February 2018, the FASB issued updated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The amount of the reclassification would be the difference between the historical corporate income tax rate and the newly enacted 21% corporate income tax rate. The Company adopted the new guidance on January 1, 2019 without reclassifying any amounts from AOCI to retained earnings. The application of the guidance did not have a material impact on the Company’s financial statements.</w:t>
      </w:r>
    </w:p>
    <w:p>
      <w:pPr>
        <w:spacing w:after="0" w:line="16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current expected credit losses (“CECL”) and requires consideration of a broader range of reasonable and supportable information to determine credit loss estimates. The new guidance is effective for annual and interim periods beginning after December 15, 2019. The new guidance will be applied using a modified retrospective approach through a cumulative-effect adjustment to retained earnings at the beginning of the year of adoption.</w:t>
      </w:r>
    </w:p>
    <w:p>
      <w:pPr>
        <w:spacing w:after="0" w:line="193"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The Company will adopt the new credit loss guidance upon its effective date of January 1, 2020. The Company’s adoption efforts include the identification of financial assets within the scope of the guidance, the evaluation of the current credit loss provisioning process, and the implementation of the CECL model. The impact of the new guidance primarily relates to the Company’s fee receivables. For customer loans within customer receivables, the Company has elected to apply the practical expedient on financial assets with collateral maintenance provisions, which results in no expected credit losses given that these loans are required to be maintained with collateral having a fair value in excess of the carrying amount of the loans.</w:t>
      </w:r>
    </w:p>
    <w:p>
      <w:pPr>
        <w:spacing w:after="0" w:line="15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To comply with the CECL model, the Company has analyzed historical bad debt charge-off data to determine the average charge-off rate used to measure the expected credit loss for fee receivables. The Company has determined that long-term forecasted information is not relevant to its fee receivables which are generally short-term. The Company will update the average charge-off rate periodically and maintain a quarterly reserve review process to consider current factors that would require an adjustment to the credit loss estimate. In addition, the Company will periodically perform a qualitative assessment to monitor risks associated with current and forecasted conditions that may require an adjustment to the expected credit loss allowance. The Company currently does not expect a material impact to its financial statements upon adoption of the new credit loss guidance.</w:t>
      </w:r>
    </w:p>
    <w:p>
      <w:pPr>
        <w:spacing w:after="0" w:line="17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i w:val="1"/>
          <w:iCs w:val="1"/>
          <w:color w:val="auto"/>
        </w:rPr>
        <w:t>Intangibles</w:t>
      </w:r>
      <w:r>
        <w:rPr>
          <w:rFonts w:ascii="Arial" w:cs="Arial" w:eastAsia="Arial" w:hAnsi="Arial"/>
          <w:sz w:val="18"/>
          <w:szCs w:val="18"/>
          <w:color w:val="3C3C3D"/>
        </w:rPr>
        <w:t>—</w:t>
      </w:r>
      <w:r>
        <w:rPr>
          <w:rFonts w:ascii="Arial" w:cs="Arial" w:eastAsia="Arial" w:hAnsi="Arial"/>
          <w:sz w:val="18"/>
          <w:szCs w:val="18"/>
          <w:i w:val="1"/>
          <w:iCs w:val="1"/>
          <w:color w:val="auto"/>
        </w:rPr>
        <w:t>Goodwill and Other: Simplifying the Test for Goodwill Impairment</w:t>
      </w:r>
      <w:r>
        <w:rPr>
          <w:rFonts w:ascii="Arial" w:cs="Arial" w:eastAsia="Arial" w:hAnsi="Arial"/>
          <w:sz w:val="18"/>
          <w:szCs w:val="18"/>
          <w:color w:val="3C3C3D"/>
        </w:rPr>
        <w:t>—</w:t>
      </w:r>
      <w:r>
        <w:rPr>
          <w:rFonts w:ascii="Arial" w:cs="Arial" w:eastAsia="Arial" w:hAnsi="Arial"/>
          <w:sz w:val="18"/>
          <w:szCs w:val="18"/>
          <w:color w:val="auto"/>
        </w:rPr>
        <w:t>In January 2017, the FASB issued updated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required to disclose the amount of goodwill allocated to each reporting unit with a zero or negative carrying amount. The new guidance is effective for interim or annual goodwill impairment tests performed in fiscal years beginning after December 15, 2019. The Company will adopt the new guidance as of January 1, 2020 and prospectively apply the new model for its goodwill impairment test. There will be no impact to the Company’s financial statements at the adoption date.</w:t>
      </w:r>
    </w:p>
    <w:p>
      <w:pPr>
        <w:spacing w:after="0" w:line="18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i w:val="1"/>
          <w:iCs w:val="1"/>
          <w:color w:val="auto"/>
        </w:rPr>
        <w:t>Intangibles—Internal-Use Software: Customer’s Accounting for Implementation Costs Incurred in a Cloud Computing Arrangement that is a Service Contract</w:t>
      </w:r>
      <w:r>
        <w:rPr>
          <w:rFonts w:ascii="Arial" w:cs="Arial" w:eastAsia="Arial" w:hAnsi="Arial"/>
          <w:sz w:val="17"/>
          <w:szCs w:val="17"/>
          <w:color w:val="auto"/>
        </w:rPr>
        <w:t>—In August 2018, the FASB issued updated guidance on the accounting for implementation costs incurred in a cloud computing arrangement.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and allows entities to either retrospectively or prospectively apply the amendments at adoption. The Company will adopt the new guidance as of January 1, 2020 and has elected to apply the new guidance prospectively to implementation costs incurred after the adoption date. There will be no impact to the Company’s financial statements at the adoption date.</w:t>
      </w:r>
    </w:p>
    <w:p>
      <w:pPr>
        <w:spacing w:after="0" w:line="178"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i w:val="1"/>
          <w:iCs w:val="1"/>
          <w:color w:val="auto"/>
        </w:rPr>
        <w:t>Related Party Guidance for Variable Interest Entities</w:t>
      </w:r>
      <w:r>
        <w:rPr>
          <w:rFonts w:ascii="Arial" w:cs="Arial" w:eastAsia="Arial" w:hAnsi="Arial"/>
          <w:sz w:val="18"/>
          <w:szCs w:val="18"/>
          <w:color w:val="auto"/>
        </w:rPr>
        <w:t>—In October 2018, the FASB issued updated guidance that requires consideration of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The amendments are required to be applied retrospectively with a cumulative-effect adjustment. The Company will adopt the new guidance as of January 1, 2020 and does not expect a material impact to its financial statements at the adoption date.</w:t>
      </w:r>
    </w:p>
    <w:p>
      <w:pPr>
        <w:spacing w:after="0" w:line="18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i w:val="1"/>
          <w:iCs w:val="1"/>
          <w:color w:val="auto"/>
        </w:rPr>
        <w:t>Fair Value Measurement: Changes to the Disclosure Requirements for Fair Value Measurement</w:t>
      </w:r>
      <w:r>
        <w:rPr>
          <w:rFonts w:ascii="Arial" w:cs="Arial" w:eastAsia="Arial" w:hAnsi="Arial"/>
          <w:sz w:val="16"/>
          <w:szCs w:val="16"/>
          <w:color w:val="auto"/>
        </w:rPr>
        <w:t>—In August 2018, the FASB issued updated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The additional disclosures related to level 3 fair value measurements are to be applied prospectively and other amendments are to be applied retrospectively. The Company will adopt the new guidance on January 1, 2020 and update its fair value measurement disclosures in accordance with the new guidance. The Company currently does not expect a material impact to its financial statements at the adoption date.</w:t>
      </w:r>
    </w:p>
    <w:p>
      <w:pPr>
        <w:spacing w:after="0" w:line="165"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i w:val="1"/>
          <w:iCs w:val="1"/>
          <w:color w:val="auto"/>
        </w:rPr>
        <w:t>Compensation–Retirement Benefits: Changes to the Disclosure Requirements for Defined Benefit Plans</w:t>
      </w:r>
      <w:r>
        <w:rPr>
          <w:rFonts w:ascii="Arial" w:cs="Arial" w:eastAsia="Arial" w:hAnsi="Arial"/>
          <w:sz w:val="17"/>
          <w:szCs w:val="17"/>
          <w:color w:val="auto"/>
        </w:rPr>
        <w:t>—In August 2018, the FASB issued updated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years ending after December 15, 2020 with retrospective application. The Company will adopt the new guidance on January 1, 2020 and update its related disclosures in accordance with the new guidance. The Company currently does not expect a material impact to its financial statements at the adoption date.</w:t>
      </w:r>
    </w:p>
    <w:p>
      <w:pPr>
        <w:spacing w:after="0" w:line="173"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—In December 2019, the FASB issued new guidance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include the removal of certain exceptions and various improvements. These improvements are related to the accounting for franchise tax based on income, evaluation of step up in tax basis of goodwill, allocation of consolidated tax expense to standalone legal entities, recognition of enacted change in tax laws or rates, and other minor changes. The new guidance is effective for annual and interim reporting periods beginning after December 15, 2020, with early adoption permitted. The Company is currently evaluating the new guidance.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680" w:firstLine="59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1760" w:type="dxa"/>
            <w:vAlign w:val="bottom"/>
            <w:tcBorders>
              <w:bottom w:val="single" w:sz="8" w:color="CFF0FC"/>
            </w:tcBorders>
          </w:tcPr>
          <w:p>
            <w:pPr>
              <w:spacing w:after="0"/>
              <w:rPr>
                <w:sz w:val="20"/>
                <w:szCs w:val="20"/>
                <w:color w:val="auto"/>
              </w:rPr>
            </w:pPr>
          </w:p>
        </w:tc>
        <w:tc>
          <w:tcPr>
            <w:tcW w:w="3400" w:type="dxa"/>
            <w:vAlign w:val="bottom"/>
            <w:tcBorders>
              <w:bottom w:val="single" w:sz="8" w:color="CFF0FC"/>
            </w:tcBorders>
          </w:tcPr>
          <w:p>
            <w:pPr>
              <w:spacing w:after="0"/>
              <w:rPr>
                <w:sz w:val="20"/>
                <w:szCs w:val="20"/>
                <w:color w:val="auto"/>
              </w:rPr>
            </w:pPr>
          </w:p>
        </w:tc>
        <w:tc>
          <w:tcPr>
            <w:tcW w:w="270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8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3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1,374,036</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1,555,526</w:t>
            </w:r>
          </w:p>
        </w:tc>
        <w:tc>
          <w:tcPr>
            <w:tcW w:w="120" w:type="dxa"/>
            <w:vAlign w:val="bottom"/>
          </w:tcPr>
          <w:p>
            <w:pPr>
              <w:spacing w:after="0"/>
              <w:rPr>
                <w:sz w:val="24"/>
                <w:szCs w:val="24"/>
                <w:color w:val="auto"/>
              </w:rPr>
            </w:pPr>
          </w:p>
        </w:tc>
      </w:tr>
      <w:tr>
        <w:trPr>
          <w:trHeight w:val="210"/>
        </w:trPr>
        <w:tc>
          <w:tcPr>
            <w:tcW w:w="1760" w:type="dxa"/>
            <w:vAlign w:val="bottom"/>
            <w:tcBorders>
              <w:top w:val="single" w:sz="8" w:color="CFF0FC"/>
            </w:tcBorders>
            <w:shd w:val="clear" w:color="auto" w:fill="CFF0FC"/>
          </w:tcPr>
          <w:p>
            <w:pPr>
              <w:spacing w:after="0"/>
              <w:rPr>
                <w:sz w:val="18"/>
                <w:szCs w:val="18"/>
                <w:color w:val="auto"/>
              </w:rPr>
            </w:pPr>
          </w:p>
        </w:tc>
        <w:tc>
          <w:tcPr>
            <w:tcW w:w="34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Management Fees and Other (b)</w:t>
            </w:r>
          </w:p>
        </w:tc>
        <w:tc>
          <w:tcPr>
            <w:tcW w:w="3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1,216,115</w:t>
            </w:r>
          </w:p>
        </w:tc>
        <w:tc>
          <w:tcPr>
            <w:tcW w:w="6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1,311,286</w:t>
            </w:r>
          </w:p>
        </w:tc>
        <w:tc>
          <w:tcPr>
            <w:tcW w:w="120" w:type="dxa"/>
            <w:vAlign w:val="bottom"/>
            <w:shd w:val="clear" w:color="auto" w:fill="CFF0FC"/>
          </w:tcPr>
          <w:p>
            <w:pPr>
              <w:spacing w:after="0"/>
              <w:rPr>
                <w:sz w:val="19"/>
                <w:szCs w:val="19"/>
                <w:color w:val="auto"/>
              </w:rPr>
            </w:pPr>
          </w:p>
        </w:tc>
      </w:tr>
      <w:tr>
        <w:trPr>
          <w:trHeight w:val="243"/>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Incentive Fees (c)</w:t>
            </w:r>
          </w:p>
        </w:tc>
        <w:tc>
          <w:tcPr>
            <w:tcW w:w="27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21,275</w:t>
            </w:r>
          </w:p>
        </w:tc>
        <w:tc>
          <w:tcPr>
            <w:tcW w:w="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20,515</w:t>
            </w:r>
          </w:p>
        </w:tc>
        <w:tc>
          <w:tcPr>
            <w:tcW w:w="120" w:type="dxa"/>
            <w:vAlign w:val="bottom"/>
            <w:tcBorders>
              <w:bottom w:val="single" w:sz="8" w:color="CFF0FC"/>
            </w:tcBorders>
          </w:tcPr>
          <w:p>
            <w:pPr>
              <w:spacing w:after="0"/>
              <w:rPr>
                <w:sz w:val="21"/>
                <w:szCs w:val="21"/>
                <w:color w:val="auto"/>
              </w:rPr>
            </w:pPr>
          </w:p>
        </w:tc>
      </w:tr>
      <w:tr>
        <w:trPr>
          <w:trHeight w:val="223"/>
        </w:trPr>
        <w:tc>
          <w:tcPr>
            <w:tcW w:w="5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2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1,237,390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1,331,801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40" w:hanging="592"/>
        <w:spacing w:after="0" w:line="270"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6" w:lineRule="exact"/>
        <w:rPr>
          <w:rFonts w:ascii="Arial" w:cs="Arial" w:eastAsia="Arial" w:hAnsi="Arial"/>
          <w:sz w:val="17"/>
          <w:szCs w:val="17"/>
          <w:color w:val="auto"/>
        </w:rPr>
      </w:pPr>
    </w:p>
    <w:p>
      <w:pPr>
        <w:ind w:left="600" w:right="200" w:hanging="592"/>
        <w:spacing w:after="0" w:line="257"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12" w:lineRule="exact"/>
        <w:rPr>
          <w:rFonts w:ascii="Arial" w:cs="Arial" w:eastAsia="Arial" w:hAnsi="Arial"/>
          <w:sz w:val="18"/>
          <w:szCs w:val="18"/>
          <w:color w:val="auto"/>
        </w:rPr>
      </w:pPr>
    </w:p>
    <w:p>
      <w:pPr>
        <w:ind w:left="600" w:right="140" w:hanging="592"/>
        <w:spacing w:after="0" w:line="259"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27"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0" w:hanging="592"/>
        <w:spacing w:after="0"/>
        <w:tabs>
          <w:tab w:leader="none" w:pos="60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in the allowance for doubtful accounts for the years ended December 31, 2019, 2018 and 2017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19"/>
                <w:szCs w:val="19"/>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(10,746)</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(8,059)</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Bad debt expense, net of recoveries is included in “operating expenses–other” on the consolidated statements of operations.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2019 and 2018, the Company had receivables past due or deemed uncollectible of $43,339 and $42,309, respectively.</w:t>
      </w:r>
    </w:p>
    <w:p>
      <w:pPr>
        <w:spacing w:after="0" w:line="23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Of the Company’s fee receivables at December 31, 2019 and 2018, $77,052 and $90,966,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aggregate carrying amount of our non-interest-bearing receivables of $586,086 and $594,568 at December 31, 2019 and 2018,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113,579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531,478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12,894</w:t>
            </w:r>
          </w:p>
        </w:tc>
        <w:tc>
          <w:tcPr>
            <w:tcW w:w="280" w:type="dxa"/>
            <w:vAlign w:val="bottom"/>
          </w:tcPr>
          <w:p>
            <w:pPr>
              <w:spacing w:after="0"/>
              <w:rPr>
                <w:sz w:val="20"/>
                <w:szCs w:val="20"/>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7"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$9,881, $78,360 and $170,897, respectively, at December 31, 2019 and $9,741, $60,081 and $132,038, respectively, at December 31, 2018,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8 and 16).</w:t>
      </w:r>
    </w:p>
    <w:p>
      <w:pPr>
        <w:spacing w:after="0" w:line="188"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240" w:firstLine="598"/>
        <w:spacing w:after="0" w:line="342" w:lineRule="auto"/>
        <w:rPr>
          <w:sz w:val="20"/>
          <w:szCs w:val="20"/>
          <w:color w:val="auto"/>
        </w:rPr>
      </w:pPr>
      <w:r>
        <w:rPr>
          <w:rFonts w:ascii="Arial" w:cs="Arial" w:eastAsia="Arial" w:hAnsi="Arial"/>
          <w:sz w:val="16"/>
          <w:szCs w:val="16"/>
          <w:color w:val="auto"/>
        </w:rPr>
        <w:t>During the years ended December 31, 2019, 2018 and 2017, the Company reported in “revenue-other” on its consolidated statements of operations net unrealized investment gains and losses pertaining to “equity securities and trading debt securities” still held as of the reporting date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36,610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600" w:right="420" w:hanging="593"/>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600" w:right="200" w:hanging="593"/>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600" w:right="200" w:hanging="593"/>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December 31, 2019.</w:t>
      </w:r>
    </w:p>
    <w:p>
      <w:pPr>
        <w:spacing w:after="0" w:line="170"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consolidated statements of financial condition. See Note 14.</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8.</w:t>
      </w:r>
    </w:p>
    <w:p>
      <w:pPr>
        <w:spacing w:after="0" w:line="19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The following tables present, as of December 31, 2019 and 2018,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218,393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494,619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years ended December 31, 2019,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Acquisitions/</w:t>
            </w: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Transfers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2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17,170</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(27,179)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4"/>
              </w:rPr>
              <w:t>Year Ended December 31, 2018</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 (a)</w:t>
            </w:r>
          </w:p>
        </w:tc>
        <w:tc>
          <w:tcPr>
            <w:tcW w:w="1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Settlements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4"/>
              </w:rPr>
              <w:t>Year Ended December 31, 2017</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Sales/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 (a)</w:t>
            </w:r>
          </w:p>
        </w:tc>
        <w:tc>
          <w:tcPr>
            <w:tcW w:w="10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Settlements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80" w:hanging="592"/>
        <w:spacing w:after="0" w:line="259"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years ended December 31, 2019, 2018 and 2017 include net unrealized gains (losses) of $(781), $61 and $12, respectively. Earnings recorded in “amortization and other acquisition-related (benefits) costs” for the contingent consideration liability for the years ended December 31, 2019, 2018 and 2017 include unrealized (gains) losses of $17,170, $(18,932) and $6,582, respectively.</w:t>
      </w:r>
    </w:p>
    <w:p>
      <w:pPr>
        <w:spacing w:after="0" w:line="11" w:lineRule="exact"/>
        <w:rPr>
          <w:rFonts w:ascii="Arial" w:cs="Arial" w:eastAsia="Arial" w:hAnsi="Arial"/>
          <w:sz w:val="18"/>
          <w:szCs w:val="18"/>
          <w:color w:val="auto"/>
        </w:rPr>
      </w:pPr>
    </w:p>
    <w:p>
      <w:pPr>
        <w:ind w:left="600" w:right="40" w:hanging="592"/>
        <w:spacing w:after="0" w:line="27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2018 were transferred to Level 3 during the year ended December 31, 2019 as these investments are valued based on a potential transaction value that differs from NAV.</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2019 and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tables below present the carrying value, fair value and fair value hierarchy category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instruments as of December 31, 2019 and 2018 that are not measured at fair value in the Company’s consolidated statement of financial condition.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1,231,593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1,231,593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1,231,593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43,280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1,246,200</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1,246,200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1,246,200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1,679,562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1,246,537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1,246,537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1,246,537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1,006,969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1,154,207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1,154,207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1,154,207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1,429,280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1320" w:hanging="5017"/>
        <w:spacing w:after="0" w:line="528" w:lineRule="auto"/>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70"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24"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tables present, at December 31, 2019 and 2018, certain investments that are valued using NAV or its equivalent as a practical expedient in determining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20" w:type="dxa"/>
            <w:vAlign w:val="bottom"/>
            <w:gridSpan w:val="7"/>
          </w:tcPr>
          <w:p>
            <w:pPr>
              <w:ind w:left="68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86"/>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20" w:type="dxa"/>
            <w:vAlign w:val="bottom"/>
          </w:tcPr>
          <w:p>
            <w:pPr>
              <w:jc w:val="right"/>
              <w:ind w:right="327"/>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Next</w:t>
            </w:r>
          </w:p>
        </w:tc>
        <w:tc>
          <w:tcPr>
            <w:tcW w:w="920" w:type="dxa"/>
            <w:vAlign w:val="bottom"/>
          </w:tcPr>
          <w:p>
            <w:pPr>
              <w:jc w:val="right"/>
              <w:ind w:right="267"/>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5 Years</w:t>
            </w:r>
          </w:p>
        </w:tc>
        <w:tc>
          <w:tcPr>
            <w:tcW w:w="132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6"/>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8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Debt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8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32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Private 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Equity growth</w:t>
            </w:r>
          </w:p>
        </w:tc>
        <w:tc>
          <w:tcPr>
            <w:tcW w:w="1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32,991</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6,056</w:t>
            </w:r>
          </w:p>
        </w:tc>
        <w:tc>
          <w:tcPr>
            <w:tcW w:w="4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(e)</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100%</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5"/>
                <w:szCs w:val="15"/>
                <w:color w:val="auto"/>
              </w:rPr>
              <w:t>22%</w:t>
            </w:r>
          </w:p>
        </w:tc>
        <w:tc>
          <w:tcPr>
            <w:tcW w:w="1180" w:type="dxa"/>
            <w:vAlign w:val="bottom"/>
            <w:gridSpan w:val="2"/>
            <w:shd w:val="clear" w:color="auto" w:fill="CFF0FC"/>
          </w:tcPr>
          <w:p>
            <w:pPr>
              <w:ind w:left="760"/>
              <w:spacing w:after="0"/>
              <w:rPr>
                <w:sz w:val="20"/>
                <w:szCs w:val="20"/>
                <w:color w:val="auto"/>
              </w:rPr>
            </w:pPr>
            <w:r>
              <w:rPr>
                <w:rFonts w:ascii="Arial" w:cs="Arial" w:eastAsia="Arial" w:hAnsi="Arial"/>
                <w:sz w:val="15"/>
                <w:szCs w:val="15"/>
                <w:color w:val="auto"/>
              </w:rPr>
              <w:t>12%</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ind w:left="600"/>
              <w:spacing w:after="0"/>
              <w:rPr>
                <w:sz w:val="20"/>
                <w:szCs w:val="20"/>
                <w:color w:val="auto"/>
              </w:rPr>
            </w:pPr>
            <w:r>
              <w:rPr>
                <w:rFonts w:ascii="Arial" w:cs="Arial" w:eastAsia="Arial" w:hAnsi="Arial"/>
                <w:sz w:val="15"/>
                <w:szCs w:val="15"/>
                <w:color w:val="auto"/>
              </w:rPr>
              <w:t>66%</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33,888</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6,056</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(52%) and quarterly (48%)</w:t>
      </w:r>
    </w:p>
    <w:p>
      <w:pPr>
        <w:spacing w:after="0" w:line="36"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monthly (34%) and annually (66%)</w:t>
      </w:r>
    </w:p>
    <w:p>
      <w:pPr>
        <w:spacing w:after="0" w:line="22" w:lineRule="exact"/>
        <w:rPr>
          <w:rFonts w:ascii="Arial" w:cs="Arial" w:eastAsia="Arial" w:hAnsi="Arial"/>
          <w:sz w:val="18"/>
          <w:szCs w:val="18"/>
          <w:color w:val="auto"/>
        </w:rPr>
      </w:pPr>
    </w:p>
    <w:p>
      <w:pPr>
        <w:ind w:left="600" w:right="620" w:hanging="592"/>
        <w:spacing w:after="0" w:line="276"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$11,155 are excluded. Such commitments are required to be funded by capital contributions from noncontrolling interest 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2018</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ind w:left="68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86"/>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90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6"/>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21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216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299</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30-60 days</w:t>
            </w:r>
          </w:p>
        </w:tc>
      </w:tr>
      <w:tr>
        <w:trPr>
          <w:trHeight w:val="176"/>
        </w:trPr>
        <w:tc>
          <w:tcPr>
            <w:tcW w:w="2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&gt;90 days</w:t>
            </w:r>
          </w:p>
        </w:tc>
      </w:tr>
      <w:tr>
        <w:trPr>
          <w:trHeight w:val="176"/>
        </w:trPr>
        <w:tc>
          <w:tcPr>
            <w:tcW w:w="2160" w:type="dxa"/>
            <w:vAlign w:val="bottom"/>
          </w:tcPr>
          <w:p>
            <w:pPr>
              <w:ind w:left="26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&lt;30-30 days</w:t>
            </w:r>
          </w:p>
        </w:tc>
      </w:tr>
      <w:tr>
        <w:trPr>
          <w:trHeight w:val="176"/>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 days</w:t>
            </w:r>
          </w:p>
        </w:tc>
      </w:tr>
      <w:tr>
        <w:trPr>
          <w:trHeight w:val="176"/>
        </w:trPr>
        <w:tc>
          <w:tcPr>
            <w:tcW w:w="2160" w:type="dxa"/>
            <w:vAlign w:val="bottom"/>
          </w:tcPr>
          <w:p>
            <w:pPr>
              <w:spacing w:after="0"/>
              <w:rPr>
                <w:sz w:val="20"/>
                <w:szCs w:val="20"/>
                <w:color w:val="auto"/>
              </w:rPr>
            </w:pPr>
            <w:r>
              <w:rPr>
                <w:rFonts w:ascii="Arial" w:cs="Arial" w:eastAsia="Arial" w:hAnsi="Arial"/>
                <w:sz w:val="15"/>
                <w:szCs w:val="15"/>
                <w:color w:val="auto"/>
              </w:rPr>
              <w:t>Equity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ind w:left="54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4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76"/>
        </w:trPr>
        <w:tc>
          <w:tcPr>
            <w:tcW w:w="21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Equity growth</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56,343</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8,338</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Arial" w:cs="Arial" w:eastAsia="Arial" w:hAnsi="Arial"/>
                <w:sz w:val="15"/>
                <w:szCs w:val="15"/>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5"/>
                <w:szCs w:val="15"/>
                <w:color w:val="auto"/>
              </w:rPr>
              <w:t>14%</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5"/>
                <w:szCs w:val="15"/>
                <w:color w:val="auto"/>
              </w:rPr>
              <w:t>34%</w:t>
            </w:r>
          </w:p>
        </w:tc>
        <w:tc>
          <w:tcPr>
            <w:tcW w:w="140" w:type="dxa"/>
            <w:vAlign w:val="bottom"/>
            <w:tcBorders>
              <w:bottom w:val="single" w:sz="8" w:color="CFF0FC"/>
            </w:tcBorders>
          </w:tcPr>
          <w:p>
            <w:pPr>
              <w:spacing w:after="0"/>
              <w:rPr>
                <w:sz w:val="15"/>
                <w:szCs w:val="15"/>
                <w:color w:val="auto"/>
              </w:rPr>
            </w:pPr>
          </w:p>
        </w:tc>
        <w:tc>
          <w:tcPr>
            <w:tcW w:w="1040" w:type="dxa"/>
            <w:vAlign w:val="bottom"/>
            <w:tcBorders>
              <w:bottom w:val="single" w:sz="8" w:color="CFF0FC"/>
            </w:tcBorders>
            <w:gridSpan w:val="2"/>
          </w:tcPr>
          <w:p>
            <w:pPr>
              <w:ind w:left="600"/>
              <w:spacing w:after="0"/>
              <w:rPr>
                <w:sz w:val="20"/>
                <w:szCs w:val="20"/>
                <w:color w:val="auto"/>
              </w:rPr>
            </w:pPr>
            <w:r>
              <w:rPr>
                <w:rFonts w:ascii="Arial" w:cs="Arial" w:eastAsia="Arial" w:hAnsi="Arial"/>
                <w:sz w:val="15"/>
                <w:szCs w:val="15"/>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21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57,273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8,338</w:t>
            </w:r>
          </w:p>
        </w:tc>
        <w:tc>
          <w:tcPr>
            <w:tcW w:w="40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ind w:right="-1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1150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daily (100%)</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daily (25%), monthly (70%) and annually (5%)</w:t>
      </w:r>
    </w:p>
    <w:p>
      <w:pPr>
        <w:spacing w:after="0" w:line="49" w:lineRule="exact"/>
        <w:rPr>
          <w:rFonts w:ascii="Arial" w:cs="Arial" w:eastAsia="Arial" w:hAnsi="Arial"/>
          <w:sz w:val="18"/>
          <w:szCs w:val="18"/>
          <w:color w:val="auto"/>
        </w:rPr>
      </w:pPr>
    </w:p>
    <w:p>
      <w:pPr>
        <w:ind w:left="600" w:right="460" w:hanging="592"/>
        <w:spacing w:after="0" w:line="277"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17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2019,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$5,484.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67"/>
        </w:numPr>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16) on the accompanying consolidated statements of financial condition as of December 31, 2019 and 2018: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1,395</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shd w:val="clear" w:color="auto" w:fill="CFF0FC"/>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1,720</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226,026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bottom w:val="single" w:sz="8" w:color="CFF0FC"/>
            </w:tcBorders>
          </w:tcPr>
          <w:p>
            <w:pPr>
              <w:spacing w:after="0"/>
              <w:rPr>
                <w:sz w:val="19"/>
                <w:szCs w:val="19"/>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236,273</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80" w:hanging="592"/>
        <w:spacing w:after="0" w:line="312" w:lineRule="auto"/>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$152 and $8,679 as of December 31, 2019, respectively, and $10,792 and $369 as of December 31, 2018, respectively, for contracts with the same counterparty under legally enforceable master netting agreements. Such amounts are recorded “net” in “other liabilities” and “other assets” as of December 31, 2019 and 2018, respectively.</w:t>
      </w:r>
    </w:p>
    <w:p>
      <w:pPr>
        <w:spacing w:after="0" w:line="147" w:lineRule="exact"/>
        <w:rPr>
          <w:sz w:val="20"/>
          <w:szCs w:val="20"/>
          <w:color w:val="auto"/>
        </w:rPr>
      </w:pPr>
    </w:p>
    <w:p>
      <w:pPr>
        <w:ind w:right="460" w:firstLine="59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2019, 2018 and 2017,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(31,657)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(23,526)</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(14,294)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(15,709)</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(48,379)</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2019 and 2018, property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142,298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197,358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188,956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215,254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204,585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587,387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552,716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367,545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339,770</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219,842</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212,946</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80" w:type="dxa"/>
            <w:vAlign w:val="bottom"/>
            <w:vMerge w:val="restart"/>
          </w:tcPr>
          <w:p>
            <w:pPr>
              <w:jc w:val="right"/>
              <w:ind w:right="63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adopted the new lease accounting guidance as of January 1, 2019, which resulted in recognition of ROU assets and lease liabilities related to operating leases on the consolidated statements of financial condition. The Company determines if an arrangement is, or contains, a lease at its inception and reevaluates the arrangement if the terms are modified. Operating lease ROU assets represent the right to use an underlying asset for the lease term and operating lease liabilities reflect the obligation to make lease payments arising from the lease. At any given time during the lease term, the operating lease liability represents the present value of the remaining lease payments and the operating lease ROU asset is measured at the amount of the lease liability, adjusted for rent prepayments, unamortized initial direct costs and the remaining balance of lease incentives received. Both the operating lease ROU asset and the operating lease liability are reduced to zero at the end of the lease.</w:t>
      </w:r>
    </w:p>
    <w:p>
      <w:pPr>
        <w:spacing w:after="0" w:line="17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Company leases office space and equipment under non-cancelable lease agreements, which expire on various dates through 2033. Substantially all of these arrangements are operating leases relating to office space. Certain leases have renewal options that can be exercised at the discretion of the Company. The Company only includes renewal options in the lease term when it is reasonably certain to exercise the option. The Company does not record leases with a lease term of 12 months or less on the consolidated statements of financial condition; lease expense for these leases is recognized over the lease term on a straight-line basis.</w:t>
      </w:r>
    </w:p>
    <w:p>
      <w:pPr>
        <w:spacing w:after="0" w:line="188"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For leases commencing on January 1, 2019 or thereafter that are recognized on the consolidated statements of financial condition, the Company applies its estimated Discount. The Company bases this Discount on the information available at the lease commencement date. The Company determines its Discount with consideration of the Company’s public debt issuances as well as publicly available data for instruments with similar characteristics.</w:t>
      </w:r>
    </w:p>
    <w:p>
      <w:pPr>
        <w:spacing w:after="0" w:line="14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leases commencing on January 1, 2019 or thereafter that relate to office space and equipment, the Company accounts for the lease and non-lease components as a single lease component.</w:t>
      </w:r>
    </w:p>
    <w:p>
      <w:pPr>
        <w:spacing w:after="0" w:line="170"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In addition to rent payments, operating leases for office space generally contain payments for real estate taxes, insurance costs, common area maintenance, and utilities that are not fixed. The Company accounts for these costs as variable payments and does not include them in the lease component. There are certain office leases outside of the U.S. that have annual rent increases based on a year-over-year change in an index that are also accounted for as variable payments and are excluded from the lease component.</w:t>
      </w:r>
    </w:p>
    <w:p>
      <w:pPr>
        <w:spacing w:after="0" w:line="18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following table summarizes the components of operating lease expense reflected on the accompanying consolidated statements of operations for the year ended December 31,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28"/>
        </w:trPr>
        <w:tc>
          <w:tcPr>
            <w:tcW w:w="3620" w:type="dxa"/>
            <w:vAlign w:val="bottom"/>
            <w:tcBorders>
              <w:bottom w:val="single" w:sz="8" w:color="CFF0FC"/>
            </w:tcBorders>
          </w:tcPr>
          <w:p>
            <w:pPr>
              <w:spacing w:after="0"/>
              <w:rPr>
                <w:sz w:val="19"/>
                <w:szCs w:val="19"/>
                <w:color w:val="auto"/>
              </w:rPr>
            </w:pPr>
          </w:p>
        </w:tc>
        <w:tc>
          <w:tcPr>
            <w:tcW w:w="5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5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Variable lease cost</w:t>
            </w:r>
          </w:p>
        </w:tc>
        <w:tc>
          <w:tcPr>
            <w:tcW w:w="5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19,488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Less - sublease income</w:t>
            </w:r>
          </w:p>
        </w:tc>
        <w:tc>
          <w:tcPr>
            <w:tcW w:w="54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5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93,289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400" w:type="dxa"/>
            <w:vAlign w:val="bottom"/>
            <w:vMerge w:val="restart"/>
          </w:tcPr>
          <w:p>
            <w:pPr>
              <w:jc w:val="right"/>
              <w:ind w:right="3090"/>
              <w:spacing w:after="0"/>
              <w:rPr>
                <w:sz w:val="20"/>
                <w:szCs w:val="20"/>
                <w:color w:val="auto"/>
              </w:rPr>
            </w:pPr>
            <w:r>
              <w:rPr>
                <w:rFonts w:ascii="Arial" w:cs="Arial" w:eastAsia="Arial" w:hAnsi="Arial"/>
                <w:sz w:val="18"/>
                <w:szCs w:val="18"/>
                <w:color w:val="auto"/>
              </w:rPr>
              <w:t>101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supplemental cash flow information and certain other information related to operating leases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Year Ended</w:t>
            </w:r>
          </w:p>
        </w:tc>
      </w:tr>
      <w:tr>
        <w:trPr>
          <w:trHeight w:val="228"/>
        </w:trPr>
        <w:tc>
          <w:tcPr>
            <w:tcW w:w="8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December 31, 2019</w:t>
            </w:r>
          </w:p>
        </w:tc>
      </w:tr>
      <w:tr>
        <w:trPr>
          <w:trHeight w:val="237"/>
        </w:trPr>
        <w:tc>
          <w:tcPr>
            <w:tcW w:w="8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Borders>
              <w:top w:val="single" w:sz="8" w:color="auto"/>
            </w:tcBorders>
            <w:shd w:val="clear" w:color="auto" w:fill="CFF0FC"/>
          </w:tcPr>
          <w:p>
            <w:pPr>
              <w:spacing w:after="0"/>
              <w:rPr>
                <w:sz w:val="20"/>
                <w:szCs w:val="20"/>
                <w:color w:val="auto"/>
              </w:rPr>
            </w:pPr>
          </w:p>
        </w:tc>
        <w:tc>
          <w:tcPr>
            <w:tcW w:w="19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84,948</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608,343</w:t>
            </w:r>
          </w:p>
        </w:tc>
        <w:tc>
          <w:tcPr>
            <w:tcW w:w="180" w:type="dxa"/>
            <w:vAlign w:val="bottom"/>
          </w:tcPr>
          <w:p>
            <w:pPr>
              <w:spacing w:after="0"/>
              <w:rPr>
                <w:sz w:val="21"/>
                <w:szCs w:val="21"/>
                <w:color w:val="auto"/>
              </w:rPr>
            </w:pPr>
          </w:p>
        </w:tc>
      </w:tr>
      <w:tr>
        <w:trPr>
          <w:trHeight w:val="243"/>
        </w:trPr>
        <w:tc>
          <w:tcPr>
            <w:tcW w:w="8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21"/>
                <w:szCs w:val="21"/>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11 years</w:t>
            </w:r>
          </w:p>
        </w:tc>
      </w:tr>
      <w:tr>
        <w:trPr>
          <w:trHeight w:val="243"/>
        </w:trPr>
        <w:tc>
          <w:tcPr>
            <w:tcW w:w="8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89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1"/>
                <w:szCs w:val="21"/>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Maturities of the operating lease liabilities outstanding at December 31, 2019 for each of the years in the period ending December 31, 2024 and thereafter are set forth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780" w:type="dxa"/>
            <w:vAlign w:val="bottom"/>
            <w:shd w:val="clear" w:color="auto" w:fill="CFF0FC"/>
          </w:tcPr>
          <w:p>
            <w:pPr>
              <w:spacing w:after="0"/>
              <w:rPr>
                <w:sz w:val="20"/>
                <w:szCs w:val="20"/>
                <w:color w:val="auto"/>
              </w:rPr>
            </w:pPr>
          </w:p>
        </w:tc>
        <w:tc>
          <w:tcPr>
            <w:tcW w:w="446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89,130</w:t>
            </w:r>
          </w:p>
        </w:tc>
        <w:tc>
          <w:tcPr>
            <w:tcW w:w="100" w:type="dxa"/>
            <w:vAlign w:val="bottom"/>
            <w:shd w:val="clear" w:color="auto" w:fill="CFF0FC"/>
          </w:tcPr>
          <w:p>
            <w:pPr>
              <w:spacing w:after="0"/>
              <w:rPr>
                <w:sz w:val="20"/>
                <w:szCs w:val="20"/>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84,677</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FF0FC"/>
          </w:tcPr>
          <w:p>
            <w:pPr>
              <w:spacing w:after="0"/>
              <w:rPr>
                <w:sz w:val="21"/>
                <w:szCs w:val="21"/>
                <w:color w:val="auto"/>
              </w:rPr>
            </w:pPr>
          </w:p>
        </w:tc>
        <w:tc>
          <w:tcPr>
            <w:tcW w:w="35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67,795</w:t>
            </w:r>
          </w:p>
        </w:tc>
        <w:tc>
          <w:tcPr>
            <w:tcW w:w="100" w:type="dxa"/>
            <w:vAlign w:val="bottom"/>
            <w:shd w:val="clear" w:color="auto" w:fill="CFF0FC"/>
          </w:tcPr>
          <w:p>
            <w:pPr>
              <w:spacing w:after="0"/>
              <w:rPr>
                <w:sz w:val="21"/>
                <w:szCs w:val="2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62,647</w:t>
            </w:r>
          </w:p>
        </w:tc>
        <w:tc>
          <w:tcPr>
            <w:tcW w:w="100" w:type="dxa"/>
            <w:vAlign w:val="bottom"/>
          </w:tcPr>
          <w:p>
            <w:pPr>
              <w:spacing w:after="0"/>
              <w:rPr>
                <w:sz w:val="21"/>
                <w:szCs w:val="2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80" w:type="dxa"/>
            <w:vAlign w:val="bottom"/>
            <w:shd w:val="clear" w:color="auto" w:fill="CFF0FC"/>
          </w:tcPr>
          <w:p>
            <w:pPr>
              <w:spacing w:after="0"/>
              <w:rPr>
                <w:sz w:val="21"/>
                <w:szCs w:val="21"/>
                <w:color w:val="auto"/>
              </w:rPr>
            </w:pPr>
          </w:p>
        </w:tc>
        <w:tc>
          <w:tcPr>
            <w:tcW w:w="35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61,417</w:t>
            </w:r>
          </w:p>
        </w:tc>
        <w:tc>
          <w:tcPr>
            <w:tcW w:w="100" w:type="dxa"/>
            <w:vAlign w:val="bottom"/>
            <w:shd w:val="clear" w:color="auto" w:fill="CFF0FC"/>
          </w:tcPr>
          <w:p>
            <w:pPr>
              <w:spacing w:after="0"/>
              <w:rPr>
                <w:sz w:val="21"/>
                <w:szCs w:val="21"/>
                <w:color w:val="auto"/>
              </w:rPr>
            </w:pPr>
          </w:p>
        </w:tc>
      </w:tr>
      <w:tr>
        <w:trPr>
          <w:trHeight w:val="24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58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428,409</w:t>
            </w:r>
          </w:p>
        </w:tc>
        <w:tc>
          <w:tcPr>
            <w:tcW w:w="100" w:type="dxa"/>
            <w:vAlign w:val="bottom"/>
            <w:tcBorders>
              <w:bottom w:val="single" w:sz="8" w:color="CFF0FC"/>
            </w:tcBorders>
          </w:tcPr>
          <w:p>
            <w:pPr>
              <w:spacing w:after="0"/>
              <w:rPr>
                <w:sz w:val="21"/>
                <w:szCs w:val="21"/>
                <w:color w:val="auto"/>
              </w:rPr>
            </w:pPr>
          </w:p>
        </w:tc>
      </w:tr>
      <w:tr>
        <w:trPr>
          <w:trHeight w:val="237"/>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5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794,075</w:t>
            </w:r>
          </w:p>
        </w:tc>
        <w:tc>
          <w:tcPr>
            <w:tcW w:w="100" w:type="dxa"/>
            <w:vAlign w:val="bottom"/>
            <w:shd w:val="clear" w:color="auto" w:fill="CFF0FC"/>
          </w:tcPr>
          <w:p>
            <w:pPr>
              <w:spacing w:after="0"/>
              <w:rPr>
                <w:sz w:val="20"/>
                <w:szCs w:val="20"/>
                <w:color w:val="auto"/>
              </w:rPr>
            </w:pPr>
          </w:p>
        </w:tc>
      </w:tr>
      <w:tr>
        <w:trPr>
          <w:trHeight w:val="24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Discount</w:t>
            </w:r>
          </w:p>
        </w:tc>
        <w:tc>
          <w:tcPr>
            <w:tcW w:w="358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149,730</w:t>
            </w:r>
          </w:p>
        </w:tc>
        <w:tc>
          <w:tcPr>
            <w:tcW w:w="100" w:type="dxa"/>
            <w:vAlign w:val="bottom"/>
            <w:tcBorders>
              <w:bottom w:val="single" w:sz="8" w:color="CFF0FC"/>
            </w:tcBorders>
          </w:tcPr>
          <w:p>
            <w:pPr>
              <w:spacing w:after="0"/>
              <w:rPr>
                <w:sz w:val="21"/>
                <w:szCs w:val="21"/>
                <w:color w:val="auto"/>
              </w:rPr>
            </w:pPr>
          </w:p>
        </w:tc>
      </w:tr>
      <w:tr>
        <w:trPr>
          <w:trHeight w:val="237"/>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446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644,345</w:t>
            </w:r>
          </w:p>
        </w:tc>
        <w:tc>
          <w:tcPr>
            <w:tcW w:w="100" w:type="dxa"/>
            <w:vAlign w:val="bottom"/>
            <w:shd w:val="clear" w:color="auto" w:fill="CFF0FC"/>
          </w:tcPr>
          <w:p>
            <w:pPr>
              <w:spacing w:after="0"/>
              <w:rPr>
                <w:sz w:val="20"/>
                <w:szCs w:val="20"/>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August 2018, the Company entered into a lease agreement for additional office facilities, which were under construction. The lease commenced in the third quarter of 2019 when the facilities were delivered to the Company. The Company recognized the related operating lease right-of-use assets and the operating lease liability on the lease commencement date.</w:t>
      </w:r>
    </w:p>
    <w:p>
      <w:pPr>
        <w:spacing w:after="0" w:line="18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Prior to the adoption of the new lease accounting guidance, the minimum rental commitments under non-cancelable operating leases at December 31, 2018, net of sublease income, were approximately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420" w:type="dxa"/>
            <w:vAlign w:val="bottom"/>
            <w:shd w:val="clear" w:color="auto" w:fill="CFF0FC"/>
          </w:tcPr>
          <w:p>
            <w:pPr>
              <w:spacing w:after="0"/>
              <w:rPr>
                <w:sz w:val="20"/>
                <w:szCs w:val="20"/>
                <w:color w:val="auto"/>
              </w:rPr>
            </w:pPr>
          </w:p>
        </w:tc>
        <w:tc>
          <w:tcPr>
            <w:tcW w:w="582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24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89,445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20" w:type="dxa"/>
            <w:vAlign w:val="bottom"/>
            <w:shd w:val="clear" w:color="auto" w:fill="CFF0FC"/>
          </w:tcPr>
          <w:p>
            <w:pPr>
              <w:spacing w:after="0"/>
              <w:rPr>
                <w:sz w:val="21"/>
                <w:szCs w:val="21"/>
                <w:color w:val="auto"/>
              </w:rPr>
            </w:pPr>
          </w:p>
        </w:tc>
        <w:tc>
          <w:tcPr>
            <w:tcW w:w="49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24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70,780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FF0FC"/>
          </w:tcPr>
          <w:p>
            <w:pPr>
              <w:spacing w:after="0"/>
              <w:rPr>
                <w:sz w:val="21"/>
                <w:szCs w:val="21"/>
                <w:color w:val="auto"/>
              </w:rPr>
            </w:pPr>
          </w:p>
        </w:tc>
        <w:tc>
          <w:tcPr>
            <w:tcW w:w="49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9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49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49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582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852,409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4940" w:type="dxa"/>
            <w:vAlign w:val="bottom"/>
            <w:tcBorders>
              <w:top w:val="single" w:sz="8" w:color="CFF0FC"/>
              <w:bottom w:val="single" w:sz="8" w:color="CFF0FC"/>
            </w:tcBorders>
            <w:vMerge w:val="restart"/>
          </w:tcPr>
          <w:p>
            <w:pPr>
              <w:jc w:val="right"/>
              <w:ind w:right="3090"/>
              <w:spacing w:after="0"/>
              <w:rPr>
                <w:sz w:val="20"/>
                <w:szCs w:val="20"/>
                <w:color w:val="auto"/>
              </w:rPr>
            </w:pPr>
            <w:r>
              <w:rPr>
                <w:rFonts w:ascii="Arial" w:cs="Arial" w:eastAsia="Arial" w:hAnsi="Arial"/>
                <w:sz w:val="18"/>
                <w:szCs w:val="18"/>
                <w:color w:val="auto"/>
              </w:rPr>
              <w:t>102</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0"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2019 and 2018 are presented below:</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371,773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373,594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At December 31, 2019 and 2018, goodwill of $307,232 and $307,020, respectively, was attributable to the Company’s Financial Advisory segment and, at each such respective date, $64,541 of goodwill was attributable to the Company’s Asset Management segment.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carrying amount of goodwill for the years ended December 31, 2019, 2018 and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6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12,175</w:t>
            </w:r>
          </w:p>
        </w:tc>
        <w:tc>
          <w:tcPr>
            <w:tcW w:w="60" w:type="dxa"/>
            <w:vAlign w:val="bottom"/>
          </w:tcPr>
          <w:p>
            <w:pPr>
              <w:spacing w:after="0"/>
              <w:rPr>
                <w:sz w:val="19"/>
                <w:szCs w:val="19"/>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All changes in the carrying amount of goodwill for the years ended December 31, 2019, 2018 and 2017 are attributable to the Company’s Financial Advisory segment.</w:t>
      </w:r>
    </w:p>
    <w:p>
      <w:pPr>
        <w:spacing w:after="0" w:line="170" w:lineRule="exact"/>
        <w:rPr>
          <w:sz w:val="20"/>
          <w:szCs w:val="20"/>
          <w:color w:val="auto"/>
        </w:rPr>
      </w:pPr>
    </w:p>
    <w:p>
      <w:pPr>
        <w:jc w:val="both"/>
        <w:ind w:right="40" w:firstLine="598"/>
        <w:spacing w:after="0" w:line="34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2019, 2018 and 2017, the Company determined that no impairment existed.</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gross cost and accumulated amortization of other intangible assets as of December 31, 2019 and 2018, by major intangible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33,840</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33,714</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68,305</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Amortization expense of intangible assets, included in “amortization and other acquisition-related (benefits) costs” in the consolidated statements of operations, for the years ended December 31, 2019, 2018 and 2017 was $2,240, $3,035 and $2,932, respectively. Estimated future amortization expense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and other tax receivables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59,048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35,439</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Prepaid compensation (see Note 16)</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74,597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76,362</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advances and prepayments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66,266</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80,455</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80,567</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257,199</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258,634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Company’s other liabilities, by type, as of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5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166,112</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Current income taxes and other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130,261</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benefit-related liabilities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51,051</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Deferred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84,449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Unclaimed funds at LFB</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17,746</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Deferred revenue (a)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80,995</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10,009</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Securities sold, not yet purchased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32,434</w:t>
            </w:r>
          </w:p>
        </w:tc>
        <w:tc>
          <w:tcPr>
            <w:tcW w:w="120" w:type="dxa"/>
            <w:vAlign w:val="bottom"/>
            <w:shd w:val="clear" w:color="auto" w:fill="CFF0FC"/>
          </w:tcPr>
          <w:p>
            <w:pPr>
              <w:spacing w:after="0"/>
              <w:rPr>
                <w:sz w:val="19"/>
                <w:szCs w:val="19"/>
                <w:color w:val="auto"/>
              </w:rPr>
            </w:pPr>
          </w:p>
        </w:tc>
      </w:tr>
      <w:tr>
        <w:trPr>
          <w:trHeight w:val="223"/>
        </w:trPr>
        <w:tc>
          <w:tcPr>
            <w:tcW w:w="7660" w:type="dxa"/>
            <w:vAlign w:val="bottom"/>
            <w:gridSpan w:val="3"/>
          </w:tcPr>
          <w:p>
            <w:pPr>
              <w:ind w:left="5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534,268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576,986</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jc w:val="both"/>
        <w:ind w:left="600" w:right="460" w:hanging="592"/>
        <w:spacing w:after="0" w:line="264"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change in deferred revenue during the year ended December 31, 2019 principally relates to additional carried interest received from private equity investments that is subject to clawback. The revenue recognized during the current year related to the deferred revenue balance as of the beginning of the year was not material to the consolidated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760" w:type="dxa"/>
            <w:vAlign w:val="bottom"/>
            <w:tcBorders>
              <w:top w:val="single" w:sz="8" w:color="CFF0FC"/>
            </w:tcBorders>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2020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right"/>
              <w:ind w:right="650"/>
              <w:spacing w:after="0"/>
              <w:rPr>
                <w:sz w:val="20"/>
                <w:szCs w:val="20"/>
                <w:color w:val="auto"/>
              </w:rPr>
            </w:pPr>
            <w:r>
              <w:rPr>
                <w:rFonts w:ascii="Arial" w:cs="Arial" w:eastAsia="Arial" w:hAnsi="Arial"/>
                <w:sz w:val="18"/>
                <w:szCs w:val="18"/>
                <w:color w:val="auto"/>
              </w:rPr>
              <w:t>2025 Senior</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40"/>
              <w:spacing w:after="0"/>
              <w:rPr>
                <w:sz w:val="20"/>
                <w:szCs w:val="20"/>
                <w:color w:val="auto"/>
              </w:rPr>
            </w:pPr>
            <w:r>
              <w:rPr>
                <w:rFonts w:ascii="Arial" w:cs="Arial" w:eastAsia="Arial" w:hAnsi="Arial"/>
                <w:sz w:val="18"/>
                <w:szCs w:val="18"/>
                <w:color w:val="auto"/>
              </w:rPr>
              <w:t>Notes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397,584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2027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297,178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right"/>
              <w:ind w:right="650"/>
              <w:spacing w:after="0"/>
              <w:rPr>
                <w:sz w:val="20"/>
                <w:szCs w:val="20"/>
                <w:color w:val="auto"/>
              </w:rPr>
            </w:pPr>
            <w:r>
              <w:rPr>
                <w:rFonts w:ascii="Arial" w:cs="Arial" w:eastAsia="Arial" w:hAnsi="Arial"/>
                <w:sz w:val="18"/>
                <w:szCs w:val="18"/>
                <w:color w:val="auto"/>
              </w:rPr>
              <w:t>2028 Senior</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492,186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2029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3/11/29</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7,386</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492,614</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right"/>
              <w:ind w:right="105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1,679,562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1,450,000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40" w:hanging="592"/>
        <w:spacing w:after="0" w:line="25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53" w:lineRule="exact"/>
        <w:rPr>
          <w:rFonts w:ascii="Arial" w:cs="Arial" w:eastAsia="Arial" w:hAnsi="Arial"/>
          <w:sz w:val="18"/>
          <w:szCs w:val="18"/>
          <w:color w:val="auto"/>
        </w:rPr>
      </w:pPr>
    </w:p>
    <w:p>
      <w:pPr>
        <w:ind w:left="600" w:right="60"/>
        <w:spacing w:after="0" w:line="311" w:lineRule="auto"/>
        <w:rPr>
          <w:rFonts w:ascii="Arial" w:cs="Arial" w:eastAsia="Arial" w:hAnsi="Arial"/>
          <w:sz w:val="18"/>
          <w:szCs w:val="18"/>
          <w:color w:val="auto"/>
        </w:rPr>
      </w:pPr>
      <w:r>
        <w:rPr>
          <w:rFonts w:ascii="Arial" w:cs="Arial" w:eastAsia="Arial" w:hAnsi="Arial"/>
          <w:sz w:val="16"/>
          <w:szCs w:val="16"/>
          <w:color w:val="auto"/>
        </w:rPr>
        <w:t>During September 2018, Lazard Group completed an offering of $500,000 aggregate principal amount of 4.50% senior notes due 2028 (the “2028 Notes”). Interest on the 2028 Notes is payable semi-annually on March 19 and September 19 of each year, beginning March 19, 2019. Lazard Group used a portion of the net proceeds of the 2028 Notes to redeem or otherwise retire $250,000 aggregate principal amount of the 2020 Notes.</w:t>
      </w:r>
    </w:p>
    <w:p>
      <w:pPr>
        <w:ind w:left="600" w:hanging="592"/>
        <w:spacing w:after="0" w:line="308"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effective interest rates of Lazard Group’s 3.75% senior notes due February 13, 2025 (the “2025 Notes”), Lazard Group’s 3.625% senior notes due March 1, 2027 (the “2027 Notes”), the 2028 Notes and the 2029 Notes are 3.87%, 3.76%, 4.68% and 4.54%, respectively.</w:t>
      </w:r>
    </w:p>
    <w:p>
      <w:pPr>
        <w:spacing w:after="0" w:line="14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2019 and 2018, no amounts were outstanding under the Amended and Restated Credit Agreement.</w:t>
      </w:r>
    </w:p>
    <w:p>
      <w:pPr>
        <w:spacing w:after="0" w:line="158"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2019, the Company was in compliance with such provisions. All of the Company’s senior debt obligations are unsecured.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Debt maturities relating to senior borrowings outstanding at December 31, 2019 for each of the five years in the period ending December 31, 2024 and thereafter are set forth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2020 - 2024</w:t>
            </w:r>
          </w:p>
        </w:tc>
        <w:tc>
          <w:tcPr>
            <w:tcW w:w="63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Company’s senior debt at December 31, 2019 and 2018 is carried at historical amounts. See Note 7 for information regarding the fair value and fair value hierarchy category of the Company’s senior debt.</w:t>
      </w:r>
    </w:p>
    <w:p>
      <w:pPr>
        <w:spacing w:after="0" w:line="170"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As of December 31, 2019, the Company had approximately $168,000 in unused lines of credit available to it, including the credit facility provided under the Amended and Restated Credit Agreement and unused lines of credit available to LFB of approximately $17,000.</w:t>
      </w:r>
    </w:p>
    <w:p>
      <w:pPr>
        <w:spacing w:after="0" w:line="360" w:lineRule="exact"/>
        <w:rPr>
          <w:sz w:val="20"/>
          <w:szCs w:val="20"/>
          <w:color w:val="auto"/>
        </w:rPr>
      </w:pPr>
    </w:p>
    <w:p>
      <w:pPr>
        <w:ind w:left="600" w:hanging="592"/>
        <w:spacing w:after="0"/>
        <w:tabs>
          <w:tab w:leader="none" w:pos="60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clients. At December 31, 2019, LFB had $2,279 of such indemnifications and held $2,279 of collateral/counter-guarantees to secure these commitments. The Company believes the likelihood of loss with respect to these indemnities is remote. Accordingly, no liability is recorded in the consolidated statement of financial condition.</w:t>
      </w:r>
    </w:p>
    <w:p>
      <w:pPr>
        <w:spacing w:after="0" w:line="18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businesses acquired in 2016, as of December 31, 2019, the remaining consideration consists of non-contingent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exchangeable into 247,518 shares of Class A common stock, together with dividend equivalent amounts. Additionally, during the year ended December 31, 2019, 731,822 of the contingent issuable exchangeable shares were earned, together with dividend equivalent amounts, which are exchangeable into Class A common stock.</w:t>
      </w:r>
    </w:p>
    <w:p>
      <w:pPr>
        <w:spacing w:after="0" w:line="18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December 31, 2019, LFB and LFNY had no such underwriting commitments.</w:t>
      </w:r>
    </w:p>
    <w:p>
      <w:pPr>
        <w:spacing w:after="0" w:line="18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See Notes 7 and 17 for information regarding commitments relating to investment capital funding commitments and obligations to fund our pension plans, respectively.</w:t>
      </w:r>
    </w:p>
    <w:p>
      <w:pPr>
        <w:spacing w:after="0" w:line="170"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70" w:lineRule="exact"/>
        <w:rPr>
          <w:sz w:val="20"/>
          <w:szCs w:val="20"/>
          <w:color w:val="auto"/>
        </w:rPr>
      </w:pPr>
    </w:p>
    <w:p>
      <w:pPr>
        <w:jc w:val="both"/>
        <w:ind w:right="60" w:firstLine="59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an annual basis. Accordingly, the results of any pending matter or matters could be significant when compared to the Company’s earnings in any particular year.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b w:val="1"/>
          <w:bCs w:val="1"/>
          <w:i w:val="1"/>
          <w:iCs w:val="1"/>
          <w:color w:val="auto"/>
        </w:rPr>
        <w:t>Class A Common Stock Cancellation</w:t>
      </w:r>
      <w:r>
        <w:rPr>
          <w:rFonts w:ascii="Arial" w:cs="Arial" w:eastAsia="Arial" w:hAnsi="Arial"/>
          <w:sz w:val="18"/>
          <w:szCs w:val="18"/>
          <w:color w:val="auto"/>
        </w:rPr>
        <w:t>—On October 31, 2019, Lazard Group distributed to its managing members, which are subsidiaries of Lazard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Ltd, 17,000,000 shares of Class A common stock that were held by Lazard Group. These shares were ultimately received by Lazard Ltd and cancelled. There was no impact on total stockholders' equity as a result of the share cancellation.</w:t>
      </w:r>
    </w:p>
    <w:p>
      <w:pPr>
        <w:spacing w:after="0" w:line="18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 ended December 31, 2019 and since 2017, the Board of Directors of Lazard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74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Repurchase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6,956,097</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2018</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12,206,652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13,674,439</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There were 8,513,493 and 17,574,805 shares of Class A common stock held by our subsidiaries at December 31, 2019 and 2018, respectively. Such shares of Class A common stock are reported, at cost, as “Class A common stock held by subsidiaries” on the accompanying consolidated statements of financial condition.</w:t>
      </w:r>
    </w:p>
    <w:p>
      <w:pPr>
        <w:spacing w:after="0" w:line="18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During 2019, 2018 and 2017,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certain of our executive officers equal in value to all or a portion of the estimated amount of such tax. In addition, during the years ended December 31, 2018 and 2017, the Company purchased shares of Class A common stock from certain of our executive officers. The aggregate value of all such purchases in 2019, 2018 and 2017 was approximately $14,600, $17,700 and $14,700, respectively. Such shares of Class A common stock are reported at cost.</w:t>
      </w:r>
    </w:p>
    <w:p>
      <w:pPr>
        <w:spacing w:after="0" w:line="178" w:lineRule="exact"/>
        <w:rPr>
          <w:sz w:val="20"/>
          <w:szCs w:val="20"/>
          <w:color w:val="auto"/>
        </w:rPr>
      </w:pPr>
    </w:p>
    <w:p>
      <w:pPr>
        <w:ind w:right="820" w:firstLine="598"/>
        <w:spacing w:after="0" w:line="308" w:lineRule="auto"/>
        <w:rPr>
          <w:sz w:val="20"/>
          <w:szCs w:val="20"/>
          <w:color w:val="auto"/>
        </w:rPr>
      </w:pPr>
      <w:r>
        <w:rPr>
          <w:rFonts w:ascii="Arial" w:cs="Arial" w:eastAsia="Arial" w:hAnsi="Arial"/>
          <w:sz w:val="17"/>
          <w:szCs w:val="17"/>
          <w:color w:val="auto"/>
        </w:rPr>
        <w:t>As of December 31, 2019, a total of $400,825 of share repurchase authorization remained available under the Company’s share repurchase program, $100,825 of which will expire on December 31, 2020 and $300,000 of which will expire on December 31, 2021.</w:t>
      </w:r>
    </w:p>
    <w:p>
      <w:pPr>
        <w:spacing w:after="0" w:line="14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During the year ended December 31, 2019,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December 31, 2019, 2018 and 2017, no shares of Series A or Series B preferred stock were outstanding.</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tables below reflect the balances of each component of AOCI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and activity during the years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(130,137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(143,683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(273,820</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(34,098)</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(24,547)</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(24,547)</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(120,586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(173,064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(293,650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(293,648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(46,602)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(5,434)</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(52,036)</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(52,035)</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(130,137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(143,683</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(273,820</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(273,818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2019,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5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5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100" w:hanging="59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17). Such amounts are included in “operating expenses–other” on the consolidated statements of operations.</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(ii) profits interest participation rights (see Note 16) and (iii) consolidated VIE interests held by employees (see Note 24).</w:t>
      </w:r>
    </w:p>
    <w:p>
      <w:pPr>
        <w:spacing w:after="0" w:line="18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tables below summarize net income attributable to noncontrolling interests for the years ended December 31, 2019, 2018 and 2017 and noncontrolling interests as of December 31, 2019 and 2018, in the Company’s consolidated financial statements:</w:t>
      </w:r>
    </w:p>
    <w:p>
      <w:pPr>
        <w:spacing w:after="0" w:line="17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Net Income</w:t>
      </w:r>
    </w:p>
    <w:p>
      <w:pPr>
        <w:jc w:val="center"/>
        <w:ind w:left="6660"/>
        <w:spacing w:after="0" w:line="226" w:lineRule="auto"/>
        <w:rPr>
          <w:sz w:val="20"/>
          <w:szCs w:val="20"/>
          <w:color w:val="auto"/>
        </w:rPr>
      </w:pPr>
      <w:r>
        <w:rPr>
          <w:rFonts w:ascii="Arial" w:cs="Arial" w:eastAsia="Arial" w:hAnsi="Arial"/>
          <w:sz w:val="14"/>
          <w:szCs w:val="14"/>
          <w:b w:val="1"/>
          <w:bCs w:val="1"/>
          <w:color w:val="auto"/>
        </w:rPr>
        <w:t>Attributable to Noncontrolling Interests</w:t>
      </w:r>
    </w:p>
    <w:p>
      <w:pPr>
        <w:jc w:val="center"/>
        <w:ind w:left="6660"/>
        <w:spacing w:after="0" w:line="232" w:lineRule="auto"/>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464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9,850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5,320</w:t>
            </w:r>
          </w:p>
        </w:tc>
        <w:tc>
          <w:tcPr>
            <w:tcW w:w="280" w:type="dxa"/>
            <w:vAlign w:val="bottom"/>
            <w:gridSpan w:val="2"/>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Consolidated VIEs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11,216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5,324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9"/>
        </w:trPr>
        <w:tc>
          <w:tcPr>
            <w:tcW w:w="4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Profits interest participation rights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Consolidated VIEs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firstLine="598"/>
        <w:spacing w:after="0" w:line="308" w:lineRule="auto"/>
        <w:rPr>
          <w:sz w:val="20"/>
          <w:szCs w:val="20"/>
          <w:color w:val="auto"/>
        </w:rPr>
      </w:pPr>
      <w:r>
        <w:rPr>
          <w:rFonts w:ascii="Arial" w:cs="Arial" w:eastAsia="Arial" w:hAnsi="Arial"/>
          <w:sz w:val="17"/>
          <w:szCs w:val="17"/>
          <w:b w:val="1"/>
          <w:bCs w:val="1"/>
          <w:i w:val="1"/>
          <w:iCs w:val="1"/>
          <w:color w:val="auto"/>
        </w:rPr>
        <w:t>Dividends Declared, January 29, 2020</w:t>
      </w:r>
      <w:r>
        <w:rPr>
          <w:rFonts w:ascii="Arial" w:cs="Arial" w:eastAsia="Arial" w:hAnsi="Arial"/>
          <w:sz w:val="17"/>
          <w:szCs w:val="17"/>
          <w:color w:val="auto"/>
        </w:rPr>
        <w:t>—On January 29, 2020, the Board of Directors of Lazard declared a quarterly dividend of $0.47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Class A common stock. The dividend is payable on February 28, 2020, to stockholders of record on February 18, 2020.</w:t>
      </w:r>
    </w:p>
    <w:p>
      <w:pPr>
        <w:spacing w:after="0" w:line="255" w:lineRule="exact"/>
        <w:rPr>
          <w:sz w:val="20"/>
          <w:szCs w:val="20"/>
          <w:color w:val="auto"/>
        </w:rPr>
      </w:pPr>
    </w:p>
    <w:p>
      <w:pPr>
        <w:ind w:left="600" w:hanging="592"/>
        <w:spacing w:after="0"/>
        <w:tabs>
          <w:tab w:leader="none" w:pos="6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years ended December 31, 2019, 2018 and 2017 is presented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profits interest participation rights, including performance-based restricted participation units (“PRPUs”), and other share-based awards.</w:t>
      </w:r>
    </w:p>
    <w:p>
      <w:pPr>
        <w:spacing w:after="0" w:line="187"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5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222"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profits interest participation rights, including PRPUs, and other share-based awards) and “professional services” expense (with respect to DSUs) within the Company’s accompanying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RSUs</w:t>
            </w:r>
          </w:p>
        </w:tc>
        <w:tc>
          <w:tcPr>
            <w:tcW w:w="2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168,338</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193,924</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190,821</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39,369</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2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FF0FC"/>
            </w:tcBorders>
          </w:tcPr>
          <w:p>
            <w:pPr>
              <w:spacing w:after="0"/>
              <w:rPr>
                <w:sz w:val="19"/>
                <w:szCs w:val="19"/>
                <w:color w:val="auto"/>
              </w:rPr>
            </w:pPr>
          </w:p>
        </w:tc>
      </w:tr>
      <w:tr>
        <w:trPr>
          <w:trHeight w:val="223"/>
        </w:trPr>
        <w:tc>
          <w:tcPr>
            <w:tcW w:w="4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253,284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267,573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 ended December 31, 2019, dividend participation rights required the issuance of 862,609 RSUs and the associated charge to “retained earnings”, net of estimated forfeitures (with corresponding credits to “additional paid-in-capital”), was $28,801.</w:t>
      </w:r>
    </w:p>
    <w:p>
      <w:pPr>
        <w:spacing w:after="0" w:line="22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51,379 DSUs granted during the year ended December 31, 2019.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88" w:lineRule="exact"/>
        <w:rPr>
          <w:sz w:val="20"/>
          <w:szCs w:val="20"/>
          <w:color w:val="auto"/>
        </w:rPr>
      </w:pPr>
    </w:p>
    <w:p>
      <w:pPr>
        <w:jc w:val="both"/>
        <w:ind w:right="140" w:firstLine="598"/>
        <w:spacing w:after="0" w:line="302" w:lineRule="auto"/>
        <w:rPr>
          <w:sz w:val="20"/>
          <w:szCs w:val="20"/>
          <w:color w:val="auto"/>
        </w:rPr>
      </w:pPr>
      <w:r>
        <w:rPr>
          <w:rFonts w:ascii="Arial" w:cs="Arial" w:eastAsia="Arial" w:hAnsi="Arial"/>
          <w:sz w:val="16"/>
          <w:szCs w:val="16"/>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 ended December 31, 2019, 21,048 DSUs had been granted pursuant to such Plan.</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RSUs and DSUs for the year ended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RSUs</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DSUs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11,362,306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323,546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Granted (including 862,609 RSUs relating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40" w:type="dxa"/>
            <w:vAlign w:val="bottom"/>
          </w:tcPr>
          <w:p>
            <w:pPr>
              <w:jc w:val="right"/>
              <w:spacing w:after="0"/>
              <w:rPr>
                <w:sz w:val="20"/>
                <w:szCs w:val="20"/>
                <w:color w:val="auto"/>
              </w:rPr>
            </w:pPr>
            <w:r>
              <w:rPr>
                <w:rFonts w:ascii="Arial" w:cs="Arial" w:eastAsia="Arial" w:hAnsi="Arial"/>
                <w:sz w:val="18"/>
                <w:szCs w:val="18"/>
                <w:color w:val="auto"/>
              </w:rPr>
              <w:t>5,894,764</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(962,038)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Settled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(5,907,466)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10,387,566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395,973</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In connection with RSUs that settled during the year ended December 31, 2019, the Company satisfied its minimum statutory tax withholding requirements in lieu of delivering 2,064,257 shares of Class A common stock during the year. Accordingly, 3,843,209 shares of Class A common stock held by the Company were delivered during the year ended December 31, 2019.</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As of December 31, 2019, estimated unrecognized RSU compensation expense was $123,982, with such expense expected to be recognized over a weighted average period of approximately 0.8 years subsequent to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year ended December 31, 2019:</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1,541,058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1,039,736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(231,591)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(1,309,897)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connection with shares of restricted Class A common stock that settled during the year ended December 31, 2019, the Company satisfied its minimum statutory tax withholding requirements in lieu of delivering 434,924 shares of Class A common stock during the year. Accordingly, 874,973 shares of Class A common stock held by the Company were delivered during the year ended December 31, 2019.</w:t>
      </w:r>
    </w:p>
    <w:p>
      <w:pPr>
        <w:spacing w:after="0" w:line="181" w:lineRule="exact"/>
        <w:rPr>
          <w:sz w:val="20"/>
          <w:szCs w:val="20"/>
          <w:color w:val="auto"/>
        </w:rPr>
      </w:pPr>
    </w:p>
    <w:p>
      <w:pPr>
        <w:ind w:right="340" w:firstLine="59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December 31, 2019, estimated unrecognized restricted stock expense was $17,670, with such expense to be recognized over a weighted average period of approximately 0.8 years subsequent to December 31, 2019.</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PRSUs during the year ended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1,771,795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Performance units earned (a)</w:t>
            </w:r>
          </w:p>
        </w:tc>
        <w:tc>
          <w:tcPr>
            <w:tcW w:w="1260" w:type="dxa"/>
            <w:vAlign w:val="bottom"/>
          </w:tcPr>
          <w:p>
            <w:pPr>
              <w:jc w:val="right"/>
              <w:spacing w:after="0"/>
              <w:rPr>
                <w:sz w:val="20"/>
                <w:szCs w:val="20"/>
                <w:color w:val="auto"/>
              </w:rPr>
            </w:pPr>
            <w:r>
              <w:rPr>
                <w:rFonts w:ascii="Arial" w:cs="Arial" w:eastAsia="Arial" w:hAnsi="Arial"/>
                <w:sz w:val="18"/>
                <w:szCs w:val="18"/>
                <w:color w:val="auto"/>
              </w:rPr>
              <w:t>196,991</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(1,171,081)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2019</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797,705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480" w:hanging="592"/>
        <w:spacing w:after="0" w:line="277"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70"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connection with certain PRSUs that settled during the year ended December 31, 2019, the Company satisfied its minimum statutory tax withholding requirements in lieu of delivering 203,036 shares of Class A common stock during the year. Accordingly, 968,045 shares of Class A common stock held by the Company were delivered during the year ended December 31, 2019.</w:t>
      </w:r>
    </w:p>
    <w:p>
      <w:pPr>
        <w:spacing w:after="0" w:line="18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2019, the total estimated unrecognized compensation expense was $2,828, and the Company expects to amortize such expense over a weighted-average period of approximately 0.6 years subsequent to December 31, 2019.</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early 2019, the Company established a new long-term incentive compensation program consisting of profits interest participation rights, which are equity incentive awards that, subject to certain conditions, may be exchanged for shares of Class A common stock pursuant to the 2018 Plan. Pursuant to the program, in February 2019,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89"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Profits interest participation rights are a class of membership interests in Lazard Group that are intended to qualify as “profits interests” for U.S. federal income tax purposes, and are recorded as noncontrolling interests within stockholders’ equity in the Company’s consolidated statements of financial condition until they are exchanged into Class A common stock, at which time there is a reclassification to additional paid-in-capital. The profits interest participation rights generally allow the recipient to realize value only to the extent that both (i) the service-based vesting conditions and, if applicable, the performance conditions, are satisfied, and (ii) an amount of economic appreciation in the assets of Lazard Group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Class A common stock will be exchanged on a one-for-one basis for shares of Class A common stock. If forfeited based solely on failing to meet the Minimum Value Condition, the associated compensation expense would not be reversed.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are subject to continued employment and other conditions and restrictions and are forfeited if those conditions and restrictions are not fulfilled. More specifically, vesting of profits interest participation rights are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are subject to the achievement of incremental pre-established performance conditions and financial metrics and only result in value to the recipient to the extent the conditions are satisfied.</w:t>
      </w:r>
    </w:p>
    <w:p>
      <w:pPr>
        <w:spacing w:after="0" w:line="193"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The number of shares of Class A common stock that a recipient will receive upon the exchange of a PRPU award is calculated by reference to applicable financial metrics. The target number of shares of Class A common stock subject to each PRPU is one. Based on the achievement of performance criteria, as determined by the Compensation Committee, the number of shares of Class A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3"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the Company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Class A common stock.</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is a summary of activity relating to profits interest participation rights, including PRPUs, during the year ended December 31,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Profits Interest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Arial" w:cs="Arial" w:eastAsia="Arial" w:hAnsi="Arial"/>
                <w:sz w:val="14"/>
                <w:szCs w:val="14"/>
                <w:b w:val="1"/>
                <w:bCs w:val="1"/>
                <w:color w:val="auto"/>
              </w:rPr>
              <w:t>Participation Rights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580" w:type="dxa"/>
            <w:vAlign w:val="bottom"/>
          </w:tcPr>
          <w:p>
            <w:pPr>
              <w:jc w:val="right"/>
              <w:spacing w:after="0"/>
              <w:rPr>
                <w:sz w:val="20"/>
                <w:szCs w:val="20"/>
                <w:color w:val="auto"/>
              </w:rPr>
            </w:pPr>
            <w:r>
              <w:rPr>
                <w:rFonts w:ascii="Arial" w:cs="Arial" w:eastAsia="Arial" w:hAnsi="Arial"/>
                <w:sz w:val="18"/>
                <w:szCs w:val="18"/>
                <w:color w:val="auto"/>
              </w:rPr>
              <w:t>1,462,702</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Table includes 564,167 PRPUs, which represents the target number of PRPUs granted during the fiscal year.</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Class A common stock underlying such awards that, based on the Company’s estimate, are considered probable of vesting, by the grant date fair value. As of December 31, 2019, the total estimated unrecognized compensation expense was $17,447, and the Company expects to amortize such expense over a weighted-average period of approximately 1.1 years subsequent to December 31, 2019.</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of estimated forfeitures, and is adjusted for changes in fair value primarily related to changes in value of the underlying investments.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(96,976)</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(101,663)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December 31, 2019.</w:t>
      </w:r>
    </w:p>
    <w:p>
      <w:pPr>
        <w:spacing w:after="0" w:line="170"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consolidated statements of operations for the years ended December 31, 2019, 2018 and 2017:</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Pr>
          <w:p>
            <w:pPr>
              <w:spacing w:after="0"/>
              <w:rPr>
                <w:sz w:val="19"/>
                <w:szCs w:val="19"/>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Awards Granted In February 2020</w:t>
      </w:r>
    </w:p>
    <w:p>
      <w:pPr>
        <w:spacing w:after="0" w:line="117" w:lineRule="exact"/>
        <w:rPr>
          <w:sz w:val="20"/>
          <w:szCs w:val="20"/>
          <w:color w:val="auto"/>
        </w:rPr>
      </w:pPr>
    </w:p>
    <w:p>
      <w:pPr>
        <w:ind w:firstLine="598"/>
        <w:spacing w:after="0" w:line="280" w:lineRule="auto"/>
        <w:rPr>
          <w:sz w:val="20"/>
          <w:szCs w:val="20"/>
          <w:color w:val="auto"/>
        </w:rPr>
      </w:pPr>
      <w:r>
        <w:rPr>
          <w:rFonts w:ascii="Arial" w:cs="Arial" w:eastAsia="Arial" w:hAnsi="Arial"/>
          <w:sz w:val="18"/>
          <w:szCs w:val="18"/>
          <w:color w:val="auto"/>
        </w:rPr>
        <w:t>In February 2020, the Company granted approximately $361,300 of deferred incentive compensation awards to eligible employees as part of the year-end compensation process with respect to the 2019 fiscal year. These grants included: RSUs or shares of restricted Class A common stock; profits interest participation rights, including PRPUs; LFI awards; deferred cash awards; and a portion of certain fund managers’ year-end incentive compensation that is reinvested in certain funds managed by the Company’s Asset Management business.</w:t>
      </w:r>
    </w:p>
    <w:p>
      <w:pPr>
        <w:spacing w:after="0" w:line="16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RSUs, restricted Class A common stock and LFI granted generally provide for one-third vesting on the second anniversary of the grant date and the remaining two-thirds vesting on the third anniversary of the grant date, so long as applicable conditions have been satisfied. The profits interest participation rights granted generally provide for vesting on the third anniversary of the grant date, so long as applicable conditions have been satisfied. Compensation expense with respect to such incentive awards will generally be recognized over the applicable service period.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1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expenses–other” for the other components of benefit costs on the consolidated statements of operations.</w:t>
      </w:r>
    </w:p>
    <w:p>
      <w:pPr>
        <w:spacing w:after="0" w:line="154"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Management also evaluates from time to time whether to make voluntary contributions to the plans.</w:t>
      </w:r>
    </w:p>
    <w:p>
      <w:pPr>
        <w:spacing w:after="0" w:line="18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Company expects to contribute approximately $1,000 to the U.S. pension plan during the year ending December 31, 2020 and approximately $5,000 to the other non-U.S. pension plans during the year ending December 31, 2020.</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Pension Plans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92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655,015</w:t>
            </w:r>
          </w:p>
        </w:tc>
        <w:tc>
          <w:tcPr>
            <w:tcW w:w="18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763,831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Amendments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Actuarial (gain) loss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(30,817)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(64,747)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obligation at end of year</w:t>
            </w:r>
          </w:p>
        </w:tc>
        <w:tc>
          <w:tcPr>
            <w:tcW w:w="19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744,705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 at beginning of year</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642,837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Benefits paid</w:t>
            </w: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(30,760)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(62,056)</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and other adjustments</w:t>
            </w:r>
          </w:p>
        </w:tc>
        <w:tc>
          <w:tcPr>
            <w:tcW w:w="19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(34,933)</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9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710,592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Funded (deficit) at end of year</w:t>
            </w:r>
          </w:p>
        </w:tc>
        <w:tc>
          <w:tcPr>
            <w:tcW w:w="19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(34,113)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Amounts recognized in the consolidated statements</w:t>
            </w:r>
          </w:p>
        </w:tc>
        <w:tc>
          <w:tcPr>
            <w:tcW w:w="1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of financial condition at December 31, 2019 and</w:t>
            </w:r>
          </w:p>
        </w:tc>
        <w:tc>
          <w:tcPr>
            <w:tcW w:w="1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2018 consist of:</w:t>
            </w: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pension asset (included in “other assets”)</w:t>
            </w:r>
          </w:p>
        </w:tc>
        <w:tc>
          <w:tcPr>
            <w:tcW w:w="2920" w:type="dxa"/>
            <w:vAlign w:val="bottom"/>
            <w:gridSpan w:val="2"/>
            <w:shd w:val="clear" w:color="auto" w:fill="CFF0FC"/>
          </w:tcPr>
          <w:p>
            <w:pPr>
              <w:jc w:val="right"/>
              <w:ind w:right="78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Accrued benefit liability (included in “other</w:t>
            </w:r>
          </w:p>
        </w:tc>
        <w:tc>
          <w:tcPr>
            <w:tcW w:w="1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(37,035)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(31,751)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(34,113)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Amounts recognized in AOCI (excluding tax</w:t>
            </w:r>
          </w:p>
        </w:tc>
        <w:tc>
          <w:tcPr>
            <w:tcW w:w="1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benefits of $41,298 and $33,231 at December 31,</w:t>
            </w:r>
          </w:p>
        </w:tc>
        <w:tc>
          <w:tcPr>
            <w:tcW w:w="1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2019 and 2018, respectively) consist of:</w:t>
            </w: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Actuarial net loss (gain)</w:t>
            </w:r>
          </w:p>
        </w:tc>
        <w:tc>
          <w:tcPr>
            <w:tcW w:w="2920" w:type="dxa"/>
            <w:vAlign w:val="bottom"/>
            <w:gridSpan w:val="2"/>
            <w:shd w:val="clear" w:color="auto" w:fill="CFF0FC"/>
          </w:tcPr>
          <w:p>
            <w:pPr>
              <w:jc w:val="right"/>
              <w:ind w:right="78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211,197</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Prior service cost (credit)</w:t>
            </w:r>
          </w:p>
        </w:tc>
        <w:tc>
          <w:tcPr>
            <w:tcW w:w="19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amount recognized</w:t>
            </w:r>
          </w:p>
        </w:tc>
        <w:tc>
          <w:tcPr>
            <w:tcW w:w="19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214,362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22,914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687,678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622,024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710,592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642,837</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32,314</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28,869</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712,391</w:t>
            </w: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626,146</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744,705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655,015</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32,314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712,391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626,146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744,705</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9"/>
              </w:rPr>
              <w:t>655,015</w:t>
            </w:r>
          </w:p>
        </w:tc>
        <w:tc>
          <w:tcPr>
            <w:tcW w:w="100" w:type="dxa"/>
            <w:vAlign w:val="bottom"/>
            <w:shd w:val="clear" w:color="auto" w:fill="CFF0FC"/>
          </w:tcPr>
          <w:p>
            <w:pPr>
              <w:spacing w:after="0"/>
              <w:rPr>
                <w:sz w:val="19"/>
                <w:szCs w:val="19"/>
                <w:color w:val="auto"/>
              </w:rPr>
            </w:pPr>
          </w:p>
        </w:tc>
      </w:tr>
      <w:tr>
        <w:trPr>
          <w:trHeight w:val="64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w w:val="99"/>
              </w:rPr>
              <w:t>117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620" w:firstLine="598"/>
        <w:spacing w:after="0" w:line="308" w:lineRule="auto"/>
        <w:rPr>
          <w:sz w:val="20"/>
          <w:szCs w:val="20"/>
          <w:color w:val="auto"/>
        </w:rPr>
      </w:pPr>
      <w:r>
        <w:rPr>
          <w:rFonts w:ascii="Arial" w:cs="Arial" w:eastAsia="Arial" w:hAnsi="Arial"/>
          <w:sz w:val="17"/>
          <w:szCs w:val="17"/>
          <w:color w:val="auto"/>
        </w:rPr>
        <w:t>The following table summarizes the components of net periodic benefit cost (credit), the return on the Company’s post-retirement plan assets, benefits paid, contributions and other amounts recognized in AOCI for the years ended December 31, 2019,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Pension Plans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For The Year Ended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Components of Net Periodic Benefit Cost</w:t>
            </w:r>
          </w:p>
        </w:tc>
        <w:tc>
          <w:tcPr>
            <w:tcW w:w="1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(Credit):</w:t>
            </w:r>
          </w:p>
        </w:tc>
        <w:tc>
          <w:tcPr>
            <w:tcW w:w="1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1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(29,622)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w:t>
            </w: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Prior service cost</w:t>
            </w: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actuarial loss (gain)</w:t>
            </w: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Settlement loss (gain)</w:t>
            </w:r>
          </w:p>
        </w:tc>
        <w:tc>
          <w:tcPr>
            <w:tcW w:w="1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74,844</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(10,608)</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1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22,153</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Benefits paid</w:t>
            </w:r>
          </w:p>
        </w:tc>
        <w:tc>
          <w:tcPr>
            <w:tcW w:w="1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30,760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62,056</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changes in plan assets and benefit</w:t>
            </w: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obligations recognized in AOCI (excluding</w:t>
            </w: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expense (benefit) of $(8,067), $1,923</w:t>
            </w: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$(1,287) during the years ended</w:t>
            </w: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2019, 2018 and 2017,</w:t>
            </w: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Net actuarial (gain) loss</w:t>
            </w:r>
          </w:p>
        </w:tc>
        <w:tc>
          <w:tcPr>
            <w:tcW w:w="1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40,311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11,073</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Prior service cost (credit)</w:t>
            </w: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Reclassification of prior service (cost)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rPr>
              <w:t>credit to earnings</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of actuarial gain (loss)</w:t>
            </w: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 earnings</w:t>
            </w:r>
          </w:p>
        </w:tc>
        <w:tc>
          <w:tcPr>
            <w:tcW w:w="1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(5,774)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(13,052)</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Currency translation and other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620"/>
              <w:spacing w:after="0"/>
              <w:rPr>
                <w:sz w:val="20"/>
                <w:szCs w:val="20"/>
                <w:color w:val="auto"/>
              </w:rPr>
            </w:pPr>
            <w:r>
              <w:rPr>
                <w:rFonts w:ascii="Arial" w:cs="Arial" w:eastAsia="Arial" w:hAnsi="Arial"/>
                <w:sz w:val="18"/>
                <w:szCs w:val="18"/>
                <w:color w:val="auto"/>
              </w:rPr>
              <w:t>adjustments</w:t>
            </w: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(8,424)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18,778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recognized in AOCI</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 in total periodic</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benefit cost and AOCI</w:t>
            </w:r>
          </w:p>
        </w:tc>
        <w:tc>
          <w:tcPr>
            <w:tcW w:w="19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32,031</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(7,324)</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98"/>
        <w:spacing w:after="0" w:line="277" w:lineRule="auto"/>
        <w:rPr>
          <w:sz w:val="20"/>
          <w:szCs w:val="20"/>
          <w:color w:val="auto"/>
        </w:rPr>
      </w:pPr>
      <w:r>
        <w:rPr>
          <w:rFonts w:ascii="Arial" w:cs="Arial" w:eastAsia="Arial" w:hAnsi="Arial"/>
          <w:sz w:val="18"/>
          <w:szCs w:val="18"/>
          <w:color w:val="auto"/>
        </w:rPr>
        <w:t>The amounts in AOCI on the consolidated statement of financial condition as of December 31, 2019 that are expected to be recognized as components of net periodic benefit cost (credit) for the year ending December 31, 2020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Pension</w:t>
            </w:r>
          </w:p>
        </w:tc>
      </w:tr>
      <w:tr>
        <w:trPr>
          <w:trHeight w:val="171"/>
        </w:trPr>
        <w:tc>
          <w:tcPr>
            <w:tcW w:w="34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Plans</w:t>
            </w: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actuarial loss</w:t>
            </w:r>
          </w:p>
        </w:tc>
        <w:tc>
          <w:tcPr>
            <w:tcW w:w="59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Prior service cost</w:t>
            </w:r>
          </w:p>
        </w:tc>
        <w:tc>
          <w:tcPr>
            <w:tcW w:w="6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r>
      <w:tr>
        <w:trPr>
          <w:trHeight w:val="647"/>
        </w:trPr>
        <w:tc>
          <w:tcPr>
            <w:tcW w:w="3420" w:type="dxa"/>
            <w:vAlign w:val="bottom"/>
          </w:tcPr>
          <w:p>
            <w:pPr>
              <w:spacing w:after="0"/>
              <w:rPr>
                <w:sz w:val="24"/>
                <w:szCs w:val="24"/>
                <w:color w:val="auto"/>
              </w:rPr>
            </w:pPr>
          </w:p>
        </w:tc>
        <w:tc>
          <w:tcPr>
            <w:tcW w:w="5980" w:type="dxa"/>
            <w:vAlign w:val="bottom"/>
          </w:tcPr>
          <w:p>
            <w:pPr>
              <w:jc w:val="right"/>
              <w:ind w:right="347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are set forth below:</w:t>
      </w:r>
    </w:p>
    <w:p>
      <w:pPr>
        <w:spacing w:after="0" w:line="28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Pension Plans</w:t>
      </w:r>
    </w:p>
    <w:p>
      <w:pPr>
        <w:spacing w:after="0" w:line="1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654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r>
      <w:tr>
        <w:trPr>
          <w:trHeight w:val="209"/>
        </w:trPr>
        <w:tc>
          <w:tcPr>
            <w:tcW w:w="6540" w:type="dxa"/>
            <w:vAlign w:val="bottom"/>
            <w:shd w:val="clear" w:color="auto" w:fill="CFF0FC"/>
          </w:tcPr>
          <w:p>
            <w:pPr>
              <w:jc w:val="center"/>
              <w:ind w:right="3650"/>
              <w:spacing w:after="0"/>
              <w:rPr>
                <w:sz w:val="20"/>
                <w:szCs w:val="20"/>
                <w:color w:val="auto"/>
              </w:rPr>
            </w:pPr>
            <w:r>
              <w:rPr>
                <w:rFonts w:ascii="Arial" w:cs="Arial" w:eastAsia="Arial" w:hAnsi="Arial"/>
                <w:sz w:val="18"/>
                <w:szCs w:val="18"/>
                <w:color w:val="auto"/>
                <w:w w:val="88"/>
              </w:rPr>
              <w:t>Weighted average assumptions used to</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7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benefit obligations:</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r>
      <w:tr>
        <w:trPr>
          <w:trHeight w:val="230"/>
        </w:trPr>
        <w:tc>
          <w:tcPr>
            <w:tcW w:w="74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r>
      <w:tr>
        <w:trPr>
          <w:trHeight w:val="215"/>
        </w:trPr>
        <w:tc>
          <w:tcPr>
            <w:tcW w:w="7460" w:type="dxa"/>
            <w:vAlign w:val="bottom"/>
            <w:gridSpan w:val="2"/>
            <w:shd w:val="clear" w:color="auto" w:fill="CFF0FC"/>
          </w:tcPr>
          <w:p>
            <w:pPr>
              <w:jc w:val="center"/>
              <w:ind w:right="4588"/>
              <w:spacing w:after="0"/>
              <w:rPr>
                <w:sz w:val="20"/>
                <w:szCs w:val="20"/>
                <w:color w:val="auto"/>
              </w:rPr>
            </w:pPr>
            <w:r>
              <w:rPr>
                <w:rFonts w:ascii="Arial" w:cs="Arial" w:eastAsia="Arial" w:hAnsi="Arial"/>
                <w:sz w:val="18"/>
                <w:szCs w:val="18"/>
                <w:color w:val="auto"/>
                <w:w w:val="88"/>
              </w:rPr>
              <w:t>Weighted average assumptions used to</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7460" w:type="dxa"/>
            <w:vAlign w:val="bottom"/>
            <w:gridSpan w:val="2"/>
            <w:shd w:val="clear" w:color="auto" w:fill="CFF0FC"/>
          </w:tcPr>
          <w:p>
            <w:pPr>
              <w:jc w:val="center"/>
              <w:ind w:right="4548"/>
              <w:spacing w:after="0"/>
              <w:rPr>
                <w:sz w:val="20"/>
                <w:szCs w:val="20"/>
                <w:color w:val="auto"/>
              </w:rPr>
            </w:pPr>
            <w:r>
              <w:rPr>
                <w:rFonts w:ascii="Arial" w:cs="Arial" w:eastAsia="Arial" w:hAnsi="Arial"/>
                <w:sz w:val="18"/>
                <w:szCs w:val="18"/>
                <w:color w:val="auto"/>
                <w:w w:val="91"/>
              </w:rPr>
              <w:t>determine net periodic benefit cost:</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r>
      <w:tr>
        <w:trPr>
          <w:trHeight w:val="230"/>
        </w:trPr>
        <w:tc>
          <w:tcPr>
            <w:tcW w:w="746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r>
      <w:tr>
        <w:trPr>
          <w:trHeight w:val="215"/>
        </w:trPr>
        <w:tc>
          <w:tcPr>
            <w:tcW w:w="7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 on plan</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7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222"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pension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Arial" w:cs="Arial" w:eastAsia="Arial" w:hAnsi="Arial"/>
                <w:sz w:val="14"/>
                <w:szCs w:val="14"/>
                <w:b w:val="1"/>
                <w:bCs w:val="1"/>
                <w:color w:val="auto"/>
              </w:rPr>
              <w:t>Pension</w:t>
            </w:r>
          </w:p>
        </w:tc>
        <w:tc>
          <w:tcPr>
            <w:tcW w:w="114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600" w:type="dxa"/>
            <w:vAlign w:val="bottom"/>
            <w:tcBorders>
              <w:bottom w:val="single" w:sz="8" w:color="CFF0FC"/>
            </w:tcBorders>
          </w:tcPr>
          <w:p>
            <w:pPr>
              <w:spacing w:after="0"/>
              <w:rPr>
                <w:sz w:val="14"/>
                <w:szCs w:val="14"/>
                <w:color w:val="auto"/>
              </w:rPr>
            </w:pPr>
          </w:p>
        </w:tc>
        <w:tc>
          <w:tcPr>
            <w:tcW w:w="4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Plans</w:t>
            </w:r>
          </w:p>
        </w:tc>
        <w:tc>
          <w:tcPr>
            <w:tcW w:w="114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25,184</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27,505</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28,771</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29,269</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30,938</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2025-2029</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156,960</w:t>
            </w:r>
          </w:p>
        </w:tc>
        <w:tc>
          <w:tcPr>
            <w:tcW w:w="114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2019 and 2018, measured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fair value hierarchy and investments measured at NAV or its equivalent as a practical expedient in accordance with fair value measurement disclosure requirements: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0"/>
              </w:rPr>
              <w:t>As of December 31, 2019</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37,898</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359,909</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183,727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194,866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Derivatives</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320,135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710,592</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4"/>
                <w:szCs w:val="14"/>
                <w:b w:val="1"/>
                <w:bCs w:val="1"/>
                <w:color w:val="auto"/>
                <w:w w:val="90"/>
              </w:rPr>
              <w:t>As of December 31, 2018</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27,585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151,199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162,802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Derivatives</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277,529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6,563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358,745</w:t>
            </w:r>
          </w:p>
        </w:tc>
        <w:tc>
          <w:tcPr>
            <w:tcW w:w="22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642,837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460" w:hanging="592"/>
        <w:spacing w:after="0" w:line="277"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w:t>
      </w:r>
    </w:p>
    <w:p>
      <w:pPr>
        <w:spacing w:after="0" w:line="170"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Included in equity funds are $99,671 and $87,129 as of December 31, 2019 and 2018, respectively, that are invested in funds managed by the Company.</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Consistent with the plans’ investment strategies, at December 31, 2019 and 2018, the Company’s U.S. pension plan had 60% and 49%, respectively, of the plans’ assets invested in equity funds in Level 1 and measured at NAV or its equivalent as a practical expedient, 39% and 51%, respectively, invested in Level 1 debt funds and at December 31, 2019, 1% invested in cash, which is a Level 1 asset. The Company’s non-U.S. pension plans at December 31, 2019 and 2018 had 32% and 29%, respectively, of the plans’ assets invested in equities and equity funds that are primarily Level 1 and Level 2 assets; 62% and 65%, respectively, of the plans’ assets invested in debt and debt funds that are Level 1 and Level 2 assets or measured at NAV or its equivalent as a practical expedient, and 6% and 6%, respectively, of the plans’ assets invested in cash, which is a Level 1 asset, or in alternative investment funds that are primarily measured at NAV.</w:t>
      </w:r>
    </w:p>
    <w:p>
      <w:pPr>
        <w:spacing w:after="0" w:line="189"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b w:val="1"/>
          <w:bCs w:val="1"/>
          <w:i w:val="1"/>
          <w:iCs w:val="1"/>
          <w:color w:val="auto"/>
        </w:rPr>
        <w:t>Investment Policies and Strategies</w:t>
      </w:r>
      <w:r>
        <w:rPr>
          <w:rFonts w:ascii="Arial" w:cs="Arial" w:eastAsia="Arial" w:hAnsi="Arial"/>
          <w:sz w:val="17"/>
          <w:szCs w:val="17"/>
          <w:color w:val="auto"/>
        </w:rPr>
        <w:t>—The primary investment goal is to ensure that the pension plans remain well funded, taking account of the likely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47"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Such contributions amounted to $16,994, $15,872 and $15,065 for the years ended December 31, 2019, 2018 and 2017, respectively, which are included in “compensation and benefits” expense on the consolidated statements of operations.</w:t>
      </w:r>
    </w:p>
    <w:p>
      <w:pPr>
        <w:spacing w:after="0" w:line="370" w:lineRule="exact"/>
        <w:rPr>
          <w:sz w:val="20"/>
          <w:szCs w:val="20"/>
          <w:color w:val="auto"/>
        </w:rPr>
      </w:pPr>
    </w:p>
    <w:p>
      <w:pPr>
        <w:ind w:left="600" w:hanging="592"/>
        <w:spacing w:after="0"/>
        <w:tabs>
          <w:tab w:leader="none" w:pos="60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Company conducted a review of our business, which resulted in a realignment that included employee reductions and the closing of subscale offices and investment strategies, most of which were completed during the third quarter of 2019.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Expenses and losses associated with business realignment for the year ended December 31, 2019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17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Advisory</w:t>
            </w:r>
          </w:p>
        </w:tc>
        <w:tc>
          <w:tcPr>
            <w:tcW w:w="140" w:type="dxa"/>
            <w:vAlign w:val="bottom"/>
          </w:tcPr>
          <w:p>
            <w:pPr>
              <w:spacing w:after="0"/>
              <w:rPr>
                <w:sz w:val="18"/>
                <w:szCs w:val="18"/>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39,476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14,480</w:t>
            </w: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56,635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1760" w:hanging="592"/>
        <w:spacing w:after="0" w:line="602" w:lineRule="auto"/>
        <w:tabs>
          <w:tab w:leader="none" w:pos="5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Financial Advisory includes losses of $3,727 associated with the closing of certain offices as part of business realignment. Activity related to the obligations pursuant to business realignment during the year ended December 31, 2019 was as follows:</w:t>
      </w: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8"/>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and Benefits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New charges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Non-cash charges</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(22,052)</w:t>
            </w: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(20,480)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base erosion and anti-abuse tax and tax on global intangible low-taxed income.</w:t>
      </w:r>
    </w:p>
    <w:p>
      <w:pPr>
        <w:spacing w:after="0" w:line="173"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lower corporate tax rate resulted in a reduction of our net deferred tax assets by approximately $420,000 in the year ended December 31, 2017. See also Note 21 for the impact of the Tax Act on the tax receivable agreement obligation.</w:t>
      </w:r>
    </w:p>
    <w:p>
      <w:pPr>
        <w:spacing w:after="0" w:line="18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Tax Act also required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did not apply to these pass-through entities or their earnings. The Company instead provides for U.S. income taxes on a current basis for those earnings. The Company also conducts operations outside the U.S. through foreign corporate subsidiaries, and the Company recorded a provisional amount of deferred tax expense in the year ended December 31, 2017 related to the one-time repatriation tax on the foreign earnings of those corporate subsidiaries.</w:t>
      </w:r>
    </w:p>
    <w:p>
      <w:pPr>
        <w:spacing w:after="0" w:line="19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accordance with the guidance provided by Staff Accounting Bulletin No. 118, the Company recognized the provisional tax impact related to the one-time deemed repatriation tax on certain foreign earnings and the remeasurement of our deferred tax assets in the year ended December 31, 2017. In 2018, we finalized our analysis of the provisional items, including the one-time repatriation tax, and adjustments to previously recorded provisional amounts related to the Tax Act were not material to the Company’s consolidated financial statements.</w:t>
      </w:r>
    </w:p>
    <w:p>
      <w:pPr>
        <w:spacing w:after="0" w:line="187"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approximately $11,000, $33,000, and $9,000 from the vesting of share-based incentive compensation in the provision for income taxes in the consolidated statements of operations for the years ended December 31, 2019, 2018 and 2017, respectively.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4" w:name="page125"/>
    <w:bookmarkEnd w:id="124"/>
    <w:p>
      <w:pPr>
        <w:jc w:val="center"/>
        <w:ind w:right="-3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components of the Company’s provision for income taxes for the years ended December 31, 2019, 2018 and 2017, and a reconciliation of the U.S. federal statutory income tax rate to the Company’s effective tax rates for such years, are shown below.</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9"/>
          </w:tcPr>
          <w:p>
            <w:pPr>
              <w:jc w:val="right"/>
              <w:ind w:right="85"/>
              <w:spacing w:after="0"/>
              <w:rPr>
                <w:sz w:val="20"/>
                <w:szCs w:val="20"/>
                <w:color w:val="auto"/>
              </w:rPr>
            </w:pPr>
            <w:r>
              <w:rPr>
                <w:rFonts w:ascii="Arial" w:cs="Arial" w:eastAsia="Arial" w:hAnsi="Arial"/>
                <w:sz w:val="14"/>
                <w:szCs w:val="14"/>
                <w:b w:val="1"/>
                <w:bCs w:val="1"/>
                <w:color w:val="auto"/>
                <w:w w:val="98"/>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3,756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2,507</w:t>
            </w:r>
          </w:p>
        </w:tc>
        <w:tc>
          <w:tcPr>
            <w:tcW w:w="180" w:type="dxa"/>
            <w:vAlign w:val="bottom"/>
          </w:tcPr>
          <w:p>
            <w:pPr>
              <w:spacing w:after="0"/>
              <w:rPr>
                <w:sz w:val="19"/>
                <w:szCs w:val="19"/>
                <w:color w:val="auto"/>
              </w:rPr>
            </w:pPr>
          </w:p>
        </w:tc>
        <w:tc>
          <w:tcPr>
            <w:tcW w:w="24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62,885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95,279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64,119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5,145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70,110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102,931</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49,604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480,085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(12,632)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12,928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8,414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8,150</w:t>
            </w:r>
          </w:p>
        </w:tc>
        <w:tc>
          <w:tcPr>
            <w:tcW w:w="80" w:type="dxa"/>
            <w:vAlign w:val="bottom"/>
            <w:shd w:val="clear" w:color="auto" w:fill="CFF0FC"/>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45,386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501,163</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94,982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148,317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565,599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U.S. tax reform</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source income not subject to U.S.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Change in U.S. federal valuation allowance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compensation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tax credits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State and local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of non-controlling interests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68.5%</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23 regarding “operating income (loss)” by geographic region.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Basis adjustments (a)</w:t>
            </w:r>
          </w:p>
        </w:tc>
        <w:tc>
          <w:tcPr>
            <w:tcW w:w="3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233,371</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288,764</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167,631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159,799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Net operating loss and tax credit carryforwards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272,456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249,509</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35,801</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737,432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735,637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(76,486)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(73,114)</w:t>
            </w:r>
          </w:p>
        </w:tc>
      </w:tr>
      <w:tr>
        <w:trPr>
          <w:trHeight w:val="223"/>
        </w:trPr>
        <w:tc>
          <w:tcPr>
            <w:tcW w:w="5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660,946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662,523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9,816</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26,124</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19,828</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70,318</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583,239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592,205</w:t>
            </w:r>
          </w:p>
        </w:tc>
        <w:tc>
          <w:tcPr>
            <w:tcW w:w="1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40" w:hanging="592"/>
        <w:spacing w:after="0" w:line="277"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basis adjustments recorded as of December 31, 2019 and 2018 are primarily the result of additional basis from acquisitions of interests, including the impact of the tax receivable agreement obligation.</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$76,486 and $73,114 of deferred tax assets held by these entities as of December 31, 2019 and 2018, respectively.</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deferred tax assets valuation allowance for the years ended December 31, 2019, 2018 and 2017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69,593</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Charged (credited) to 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(23,670)</w:t>
            </w: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Charged (credited) to other comprehensive income and</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(2,498)</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100" w:type="dxa"/>
            <w:vAlign w:val="bottom"/>
            <w:shd w:val="clear" w:color="auto" w:fill="CFF0FC"/>
          </w:tcPr>
          <w:p>
            <w:pPr>
              <w:spacing w:after="0"/>
              <w:rPr>
                <w:sz w:val="20"/>
                <w:szCs w:val="20"/>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76,486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61,456</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280" w:hanging="592"/>
        <w:spacing w:after="0" w:line="277" w:lineRule="auto"/>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accordance with the accounting guidance described above, 2017 includes recognition of previously unrecognized excess tax benefits offset by a valuation allowance of $12,090 recorded to retained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center"/>
        <w:ind w:right="-19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$272,456 were recorded at December 31, 2019 primarily relating to:</w:t>
      </w:r>
    </w:p>
    <w:p>
      <w:pPr>
        <w:spacing w:after="0" w:line="62" w:lineRule="exact"/>
        <w:rPr>
          <w:sz w:val="20"/>
          <w:szCs w:val="20"/>
          <w:color w:val="auto"/>
        </w:rPr>
      </w:pPr>
    </w:p>
    <w:p>
      <w:pPr>
        <w:ind w:left="1200" w:right="20" w:hanging="598"/>
        <w:spacing w:after="0" w:line="277" w:lineRule="auto"/>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$40,000 in Australia, Germany, Hong Kong, Singapore and the U.S.;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carryforwards of approximately $177,000 in the U.S., which begin expiring in 2029.</w:t>
      </w:r>
    </w:p>
    <w:p>
      <w:pPr>
        <w:spacing w:after="0" w:line="225"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2014.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reconciliation of the beginning to the ending amount of gross unrecognized tax benefits (excluding interest and penalties)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is as follows: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(excluding interest and penalties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$15,901, $15,136 and $15,392,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77,889</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to tax positions taken during: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years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Current year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Decreases in gross unrecognized tax benefits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relating to:</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Tax positions taken during prior years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with tax authorities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Lapse of the applicable statute of limitations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(17,482)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(excluding interest and</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penalties of $18,376, $15,901 and $15,136,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86,886</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77,889</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w w:val="95"/>
              </w:rPr>
              <w:t>Additional information with respect to unrecognized tax benefits is as follows:</w:t>
            </w: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the end of the year that,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 recognized, would favorably affect the effective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rate (includes interest and penalties of $18,376,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$15,901 and $15,136,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85,603</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78,693</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Unrecognized tax benefits that, if recognized, would not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affect the effective tax rate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15,097</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Interest and penalties recognized in current income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expense (after giving effect to the reversal of</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and penalties of $3,455, $4,889 and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$6,185, respectively)</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The Company anticipates that it is reasonably possible that approximately $13,100 of unrecognized tax benefits, including interest and penalties recorded at December 31, 2019, may be recognized within 12 months as a result of the lapse of the statute of limitations in various tax jurisdictions.</w:t>
      </w: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81" w:lineRule="exact"/>
        <w:rPr>
          <w:sz w:val="20"/>
          <w:szCs w:val="20"/>
          <w:color w:val="auto"/>
        </w:rPr>
      </w:pPr>
    </w:p>
    <w:p>
      <w:pPr>
        <w:ind w:left="600" w:hanging="592"/>
        <w:spacing w:after="0"/>
        <w:tabs>
          <w:tab w:leader="none" w:pos="60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The Company issued certain profits interest participation rights, including certain PRPUs, that the Company is required under U.S. GAAP to treat as participating securities and therefore the Company is required to utilize the “two-class” method of computing basic and diluted net income per share.</w:t>
      </w:r>
    </w:p>
    <w:p>
      <w:pPr>
        <w:spacing w:after="0" w:line="124"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Company’s basic and diluted net income per share calculations using the “two-class” method for the year ended December 31, 2019 and using the “treasury stock” method for the years ended December 31, 2018 and 2017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Lazard Ltd</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(3,390)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7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283,110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Add - adjustment for earnings attributable to participating</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securities</w:t>
            </w:r>
          </w:p>
        </w:tc>
        <w:tc>
          <w:tcPr>
            <w:tcW w:w="17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diluted</w:t>
            </w:r>
          </w:p>
        </w:tc>
        <w:tc>
          <w:tcPr>
            <w:tcW w:w="17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283,135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stock outstanding</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108,316,241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118,753,778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121,309,174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Add - adjustment for shares of Class A common stock</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issuable on a non-contingent basis</w:t>
            </w:r>
          </w:p>
        </w:tc>
        <w:tc>
          <w:tcPr>
            <w:tcW w:w="17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1,873,621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252,753</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stock outstanding - basic</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110,189,862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119,006,531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121,573,442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Add - dilutive effect, as applicable, of:</w:t>
            </w: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common stock issuable from share-based</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incentive compensation</w:t>
            </w:r>
          </w:p>
        </w:tc>
        <w:tc>
          <w:tcPr>
            <w:tcW w:w="17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5,889,944</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10,761,061</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10,906,286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17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116,079,806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129,767,592</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132,479,728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per share of Class</w:t>
            </w: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A common stock:</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20"/>
                <w:szCs w:val="20"/>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40" w:type="dxa"/>
            <w:vAlign w:val="bottom"/>
            <w:vMerge w:val="restart"/>
          </w:tcPr>
          <w:p>
            <w:pPr>
              <w:jc w:val="right"/>
              <w:ind w:right="850"/>
              <w:spacing w:after="0"/>
              <w:rPr>
                <w:sz w:val="20"/>
                <w:szCs w:val="20"/>
                <w:color w:val="auto"/>
              </w:rPr>
            </w:pPr>
            <w:r>
              <w:rPr>
                <w:rFonts w:ascii="Arial" w:cs="Arial" w:eastAsia="Arial" w:hAnsi="Arial"/>
                <w:sz w:val="18"/>
                <w:szCs w:val="18"/>
                <w:color w:val="auto"/>
              </w:rPr>
              <w:t>126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0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300" w:right="9160" w:hanging="292"/>
        <w:spacing w:after="0" w:line="397" w:lineRule="auto"/>
        <w:tabs>
          <w:tab w:leader="none" w:pos="595" w:val="left"/>
        </w:tabs>
        <w:numPr>
          <w:ilvl w:val="0"/>
          <w:numId w:val="9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alternative investment funds, performance-based incentive fees for providing such services. Investment advisory fees relating to such services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$587,665, $654,561 and $649,089 for the years ended December 31, 2019, 2018 and 2017, respectively, and are included in “asset management fees”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Of such amounts, $54,561 and $59,304 remained as receivables at December 31, 2019 and 2018, respectively, and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“fees receivable” on the consolidated statements of financial condition.</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20" w:firstLine="59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firstLine="8"/>
        <w:spacing w:after="0" w:line="252"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94"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For the years ended December 31, 2019, 2018 and 2017, the Company recorded a “benefit pursuant to tax receivable agreement” on the consolidated statements of operations of $503, $6,495 and $202,546, respectively. As described in Note 19, the Tax Act reduced the U.S. corporate tax rate from 35% to 21% which required the Company to remeasure the tax receivable agreement obligation. Pursuant to the change in the U.S. corporate tax rate, in 2017, the Company reduced the tax receivable agreement obligation by $202,546. The cumulative liability relating to our obligations under the Amended and Restated Tax Receivable Agreement as of December 31, 2019 and 2018 was $247,344 and $270,640, respectively, and is recorded in “tax receivable agreement obligation” on the consolidated statements of financial condition. The balance at December 31, 2019 reflects a payment made under the Amended and Restated Tax Receivable Agreement in the year ended December 31, 2019 of $23,701.</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During the year ended December 31, 2019, the Company recognized approximately $9,000 of investment banking and other advisory fees pertaining to financial advisory services provided to clients of which a member of the Company’s Board of Directors also served as a member of the client’s board of directors or in a management capacity. The engagement terms were negotiated in the ordinary course of business on an arms-length basis.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15 for information regarding related party transactions pertaining to shares repurchased from certain of our executive officers.</w:t>
      </w:r>
    </w:p>
    <w:p>
      <w:pPr>
        <w:spacing w:after="0" w:line="374" w:lineRule="exact"/>
        <w:rPr>
          <w:sz w:val="20"/>
          <w:szCs w:val="20"/>
          <w:color w:val="auto"/>
        </w:rPr>
      </w:pPr>
    </w:p>
    <w:p>
      <w:pPr>
        <w:ind w:left="600" w:hanging="592"/>
        <w:spacing w:after="0"/>
        <w:tabs>
          <w:tab w:leader="none" w:pos="60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$5, whichever is greater. In addition, the ratio of aggregate indebtedness (as defined) to net capital may not exceed 15:1. At December 31, 2019, LFNY’s regulatory net capital was $134,374, which exceeded the minimum requirement by $127,427. LFNY’s aggregate indebtedness to net capital ratio was 0.78:1 as of December 31, 2019.</w:t>
      </w:r>
    </w:p>
    <w:p>
      <w:pPr>
        <w:spacing w:after="0" w:line="193"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2019, the aggregate regulatory net capital of the U.K. Subsidiaries was $175,890, which exceeded the minimum requirement by $158,700.</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December 31, 2019, the consolidated regulatory net capital of CFLF was $127,935, which exceeded the minimum requirement set for regulatory capital levels by $69,150.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2019, the regulatory net capital of the combined European regulated group was $182,054, which exceeded the minimum requirement set for regulatory capital levels by $75,566.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2019, for those subsidiaries with regulatory capital requirements, their aggregate net capital was $153,707, which exceeded the minimum required capital by $124,392.</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2019, each of these subsidiaries individually was in compliance with its regulatory capital requirements.</w:t>
      </w:r>
    </w:p>
    <w:p>
      <w:pPr>
        <w:spacing w:after="0" w:line="225"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600" w:hanging="592"/>
        <w:spacing w:after="0"/>
        <w:tabs>
          <w:tab w:leader="none" w:pos="60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segment information for the years ended December 31, 2019, 2018 and 2017 is prepared using the following methodology:</w:t>
      </w:r>
    </w:p>
    <w:p>
      <w:pPr>
        <w:spacing w:after="0" w:line="129" w:lineRule="exact"/>
        <w:rPr>
          <w:sz w:val="20"/>
          <w:szCs w:val="20"/>
          <w:color w:val="auto"/>
        </w:rPr>
      </w:pPr>
    </w:p>
    <w:p>
      <w:pPr>
        <w:ind w:left="1200" w:hanging="598"/>
        <w:spacing w:after="0"/>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1200" w:right="540" w:hanging="598"/>
        <w:spacing w:after="0" w:line="308" w:lineRule="auto"/>
        <w:tabs>
          <w:tab w:leader="none" w:pos="12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the years ended December 31, 2019, 2018 and 2017, no individual client constituted more than 10% of the net revenue of any of the Company’s business segments.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1,374,036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1,555,526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(a)/(c)</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1,225,795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1,198,807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148,241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356,719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1,144,339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859,306</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1,237,390</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1,331,801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(a)/(c)</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821,641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728,220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(a)/(b)/(c)</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(135,591)</w:t>
            </w:r>
          </w:p>
        </w:tc>
        <w:tc>
          <w:tcPr>
            <w:tcW w:w="0" w:type="dxa"/>
            <w:vAlign w:val="bottom"/>
          </w:tcPr>
          <w:p>
            <w:pPr>
              <w:spacing w:after="0"/>
              <w:rPr>
                <w:sz w:val="1"/>
                <w:szCs w:val="1"/>
                <w:color w:val="auto"/>
              </w:rPr>
            </w:pPr>
          </w:p>
        </w:tc>
      </w:tr>
      <w:tr>
        <w:trPr>
          <w:trHeight w:val="223"/>
        </w:trPr>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3,673,601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3,409,715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2,586,773</w:t>
            </w:r>
          </w:p>
        </w:tc>
        <w:tc>
          <w:tcPr>
            <w:tcW w:w="2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2,826,352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2,644,311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(a)/(c)</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2,194,075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2,145,586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392,698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5,639,581</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22,072</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0" w:right="240" w:hanging="592"/>
        <w:spacing w:after="0" w:line="291" w:lineRule="auto"/>
        <w:tabs>
          <w:tab w:leader="none" w:pos="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Operating expenses include a benefit of $503, $6,495 and $202,546 for the years ended December 31, 2019, 2018 and 2017, respectively, recorded for the benefit pursuant to the tax receivable agreement. See Note 21 for information regarding the tax receivable agreement obligation.</w:t>
      </w:r>
    </w:p>
    <w:p>
      <w:pPr>
        <w:ind w:left="600" w:hanging="592"/>
        <w:spacing w:after="0"/>
        <w:tabs>
          <w:tab w:leader="none" w:pos="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See Note 18 for information regarding business realignment.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 In the table below, Americas principally includes the U.S., EMEA principally includes the U.K. and France, and Asia Pacific principally includes Australia.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1,544,063</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1,615,736</w:t>
            </w:r>
          </w:p>
        </w:tc>
        <w:tc>
          <w:tcPr>
            <w:tcW w:w="6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1,558,070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1,022,994</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187,622</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2,586,773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2,826,352</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2,644,311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ind w:left="58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3"/>
            <w:vMerge w:val="continue"/>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Americas (a)</w:t>
            </w:r>
          </w:p>
        </w:tc>
        <w:tc>
          <w:tcPr>
            <w:tcW w:w="26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241,992</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434,111</w:t>
            </w:r>
          </w:p>
        </w:tc>
        <w:tc>
          <w:tcPr>
            <w:tcW w:w="6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206,578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40,077</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392,698</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680,766</w:t>
            </w:r>
          </w:p>
        </w:tc>
        <w:tc>
          <w:tcPr>
            <w:tcW w:w="2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825,446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2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Americas</w:t>
            </w:r>
          </w:p>
        </w:tc>
        <w:tc>
          <w:tcPr>
            <w:tcW w:w="2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2,908,926</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2,557,904</w:t>
            </w:r>
          </w:p>
        </w:tc>
        <w:tc>
          <w:tcPr>
            <w:tcW w:w="6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2,600,412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2,437,788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2,150,597</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2,039,385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292,867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288,740</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5,639,581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4,997,241</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4,928,677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line="342" w:lineRule="auto"/>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Operating income includes a benefit of $503, $6,495 and $202,546 for the years ended December 31, 2019, 2018 and 2017, respectively, recorded for the benefit pursuant to the tax receivable agreement. See Note 21 for information regarding the tax receivable agreement obligation.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CONSOLIDATED VIEs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Company’s consolidated VIEs as of December 31, 2019 include certain funds that were recently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consolidated statements of financial condition consist of the following at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Customers and other receivables</w:t>
            </w: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(a)</w:t>
            </w: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97,474</w:t>
            </w:r>
          </w:p>
        </w:tc>
        <w:tc>
          <w:tcPr>
            <w:tcW w:w="120" w:type="dxa"/>
            <w:vAlign w:val="bottom"/>
            <w:shd w:val="clear" w:color="auto" w:fill="CFF0FC"/>
          </w:tcPr>
          <w:p>
            <w:pPr>
              <w:spacing w:after="0"/>
              <w:rPr>
                <w:sz w:val="21"/>
                <w:szCs w:val="21"/>
                <w:color w:val="auto"/>
              </w:rPr>
            </w:pPr>
          </w:p>
        </w:tc>
      </w:tr>
      <w:tr>
        <w:trPr>
          <w:trHeight w:val="243"/>
        </w:trPr>
        <w:tc>
          <w:tcPr>
            <w:tcW w:w="9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FF0FC"/>
            </w:tcBorders>
          </w:tcPr>
          <w:p>
            <w:pPr>
              <w:spacing w:after="0"/>
              <w:rPr>
                <w:sz w:val="21"/>
                <w:szCs w:val="21"/>
                <w:color w:val="auto"/>
              </w:rPr>
            </w:pPr>
          </w:p>
        </w:tc>
      </w:tr>
      <w:tr>
        <w:trPr>
          <w:trHeight w:val="237"/>
        </w:trPr>
        <w:tc>
          <w:tcPr>
            <w:tcW w:w="94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7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17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Deposits and other customer payables</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r>
      <w:tr>
        <w:trPr>
          <w:trHeight w:val="243"/>
        </w:trPr>
        <w:tc>
          <w:tcPr>
            <w:tcW w:w="9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FF0FC"/>
          </w:tcPr>
          <w:p>
            <w:pPr>
              <w:spacing w:after="0"/>
              <w:rPr>
                <w:sz w:val="21"/>
                <w:szCs w:val="21"/>
                <w:color w:val="auto"/>
              </w:rPr>
            </w:pPr>
          </w:p>
        </w:tc>
      </w:tr>
      <w:tr>
        <w:trPr>
          <w:trHeight w:val="237"/>
        </w:trPr>
        <w:tc>
          <w:tcPr>
            <w:tcW w:w="94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r>
      <w:tr>
        <w:trPr>
          <w:trHeight w:val="20"/>
        </w:trPr>
        <w:tc>
          <w:tcPr>
            <w:tcW w:w="17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7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99"/>
        </w:numPr>
        <w:rPr>
          <w:rFonts w:ascii="Arial" w:cs="Arial" w:eastAsia="Arial" w:hAnsi="Arial"/>
          <w:sz w:val="16"/>
          <w:szCs w:val="16"/>
          <w:color w:val="auto"/>
        </w:rPr>
      </w:pPr>
      <w:r>
        <w:rPr>
          <w:rFonts w:ascii="Arial" w:cs="Arial" w:eastAsia="Arial" w:hAnsi="Arial"/>
          <w:sz w:val="18"/>
          <w:szCs w:val="18"/>
          <w:color w:val="auto"/>
        </w:rPr>
        <w:t>Includes $83,036 of LFI held by Lazard Group which is eliminated in the consolidated statements of financial condition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2019 and 2018.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2019 Fiscal Quarter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643,674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630,690</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591,068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2,586,773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529,005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538,695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602,364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2,194,075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119,663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101,685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73,513</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48,196</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79,531</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(loss)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Lazard Ltd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65,777</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46,704</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76,977</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Attributable to Lazard Ltd Class A common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0.55</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2018 Fiscal Quarter</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754,698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757,938</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687,235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2,826,352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568,870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557,998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530,918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2,145,586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185,828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199,940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138,681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156,317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148,379</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108,725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113,684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Lazard Ltd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159,692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113,396</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Attributable to Lazard Ltd Class A common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5" w:name="page136"/>
    <w:bookmarkEnd w:id="135"/>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4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36" w:name="page137"/>
    <w:bookmarkEnd w:id="136"/>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right="40" w:firstLine="598"/>
        <w:spacing w:after="0" w:line="28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 as well as information regarding our Code of Business Conduct and Ethics that applies to our Chief Executive Officer and senior financial officers, will be presented in Lazard Ltd’s definitive proxy statement for its 2020 annual general meeting of shareholders, which will be held in April 2020, and is incorporated herein by reference.</w:t>
      </w:r>
    </w:p>
    <w:p>
      <w:pPr>
        <w:ind w:right="840"/>
        <w:spacing w:after="0" w:line="261" w:lineRule="auto"/>
        <w:rPr>
          <w:sz w:val="20"/>
          <w:szCs w:val="20"/>
          <w:color w:val="auto"/>
        </w:rPr>
      </w:pPr>
      <w:r>
        <w:rPr>
          <w:rFonts w:ascii="Arial" w:cs="Arial" w:eastAsia="Arial" w:hAnsi="Arial"/>
          <w:sz w:val="18"/>
          <w:szCs w:val="18"/>
          <w:color w:val="auto"/>
        </w:rPr>
        <w:t>Information regarding our executive officers is included in Part I of this Annual Report on Form 10-K under the caption “Executive Officers of the Registrant”.</w:t>
      </w:r>
    </w:p>
    <w:p>
      <w:pPr>
        <w:spacing w:after="0" w:line="184"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and Compliance” in Lazard Ltd’s definitive proxy statement for its 2020 annual general meeting of shareholders, and is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2020 annual general meeting of shareholders, which will be held in April 2020, and is incorporated herein by reference.</w:t>
      </w: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Information regarding security ownership of certain beneficial owners and management and related shareholder matters will be presented in Lazard Ltd’s definitive proxy statement for its 2020 annual general meeting of shareholders, which will be held in April 2020,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following table provides information as of December 31, 2019 regarding securities issued under our 2018 Incentive Compensation Plan, 2008 Incentive Compensation Plan and 2005 Equity Incentive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44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44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Plan</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44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44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w:t>
            </w:r>
          </w:p>
        </w:tc>
        <w:tc>
          <w:tcPr>
            <w:tcW w:w="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Reflected in the</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Category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4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Warrants and Rights</w:t>
            </w:r>
          </w:p>
        </w:tc>
        <w:tc>
          <w:tcPr>
            <w:tcW w:w="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Second Column)</w:t>
            </w: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12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0"/>
              </w:rPr>
              <w:t>2018 Incentive</w:t>
            </w:r>
          </w:p>
        </w:tc>
        <w:tc>
          <w:tcPr>
            <w:tcW w:w="1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plans approved by</w:t>
            </w:r>
          </w:p>
        </w:tc>
        <w:tc>
          <w:tcPr>
            <w:tcW w:w="1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Compensation</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6,660,998</w:t>
            </w:r>
          </w:p>
        </w:tc>
        <w:tc>
          <w:tcPr>
            <w:tcW w:w="4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22,788,980</w:t>
            </w: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2008 Incentive</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plans approved by</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Compensation</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7,396,652</w:t>
            </w:r>
          </w:p>
        </w:tc>
        <w:tc>
          <w:tcPr>
            <w:tcW w:w="440" w:type="dxa"/>
            <w:vAlign w:val="bottom"/>
          </w:tcPr>
          <w:p>
            <w:pPr>
              <w:jc w:val="right"/>
              <w:ind w:right="63"/>
              <w:spacing w:after="0"/>
              <w:rPr>
                <w:sz w:val="20"/>
                <w:szCs w:val="20"/>
                <w:color w:val="auto"/>
              </w:rPr>
            </w:pPr>
            <w:r>
              <w:rPr>
                <w:rFonts w:ascii="Arial" w:cs="Arial" w:eastAsia="Arial" w:hAnsi="Arial"/>
                <w:sz w:val="15"/>
                <w:szCs w:val="15"/>
                <w:color w:val="auto"/>
              </w:rPr>
              <w:t>(4)</w:t>
            </w:r>
          </w:p>
        </w:tc>
        <w:tc>
          <w:tcPr>
            <w:tcW w:w="1560" w:type="dxa"/>
            <w:vAlign w:val="bottom"/>
            <w:gridSpan w:val="2"/>
          </w:tcPr>
          <w:p>
            <w:pPr>
              <w:jc w:val="right"/>
              <w:ind w:right="80"/>
              <w:spacing w:after="0"/>
              <w:rPr>
                <w:sz w:val="20"/>
                <w:szCs w:val="20"/>
                <w:color w:val="auto"/>
              </w:rPr>
            </w:pPr>
            <w:r>
              <w:rPr>
                <w:rFonts w:ascii="Arial" w:cs="Arial" w:eastAsia="Arial" w:hAnsi="Arial"/>
                <w:sz w:val="15"/>
                <w:szCs w:val="15"/>
                <w:color w:val="auto"/>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1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2005 Equity</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plans not approved by</w:t>
            </w:r>
          </w:p>
        </w:tc>
        <w:tc>
          <w:tcPr>
            <w:tcW w:w="1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Incentive</w:t>
            </w:r>
          </w:p>
        </w:tc>
        <w:tc>
          <w:tcPr>
            <w:tcW w:w="1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25,602</w:t>
            </w:r>
          </w:p>
        </w:tc>
        <w:tc>
          <w:tcPr>
            <w:tcW w:w="4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14,083,252</w:t>
            </w:r>
          </w:p>
        </w:tc>
        <w:tc>
          <w:tcPr>
            <w:tcW w:w="440" w:type="dxa"/>
            <w:vAlign w:val="bottom"/>
          </w:tcPr>
          <w:p>
            <w:pPr>
              <w:jc w:val="right"/>
              <w:ind w:right="63"/>
              <w:spacing w:after="0"/>
              <w:rPr>
                <w:sz w:val="20"/>
                <w:szCs w:val="20"/>
                <w:color w:val="auto"/>
              </w:rPr>
            </w:pPr>
            <w:r>
              <w:rPr>
                <w:rFonts w:ascii="Arial" w:cs="Arial" w:eastAsia="Arial" w:hAnsi="Arial"/>
                <w:sz w:val="15"/>
                <w:szCs w:val="15"/>
                <w:color w:val="auto"/>
              </w:rPr>
              <w:t>(4)</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22,788,980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0" w:hanging="592"/>
        <w:spacing w:after="0" w:line="264" w:lineRule="auto"/>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2018 Incentive Compensation Plan was approved by the stockholders of Lazard Ltd on April 24, 2018 and replaced the 2008 Incentive Compensation Plan, which was terminated on April 24, 2018. The 2018 Plan authorizes the issuance of up to 30 million shares of Class A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7" w:name="page138"/>
    <w:bookmarkEnd w:id="137"/>
    <w:p>
      <w:pPr>
        <w:jc w:val="both"/>
        <w:ind w:left="600" w:hanging="592"/>
        <w:spacing w:after="0" w:line="264"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2008 Incentive Compensation Plan was approved by the stockholders of Lazard Ltd on May 6, 2008. The 2008 Incentive Compensation Plan was terminated on April 24, 2018, although awards granted under the 2008 Incentive Compensation Plan remain outstanding and continue to be subject to its terms.</w:t>
      </w:r>
    </w:p>
    <w:p>
      <w:pPr>
        <w:spacing w:after="0" w:line="73" w:lineRule="exact"/>
        <w:rPr>
          <w:rFonts w:ascii="Arial" w:cs="Arial" w:eastAsia="Arial" w:hAnsi="Arial"/>
          <w:sz w:val="18"/>
          <w:szCs w:val="18"/>
          <w:color w:val="auto"/>
        </w:rPr>
      </w:pPr>
    </w:p>
    <w:p>
      <w:pPr>
        <w:ind w:left="600" w:right="40" w:hanging="592"/>
        <w:spacing w:after="0" w:line="264"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2005 Equity Incentive Plan was established prior to our equity public offering in May 2005 and, as a result, did not require approval by security holders. The 2005 Equity Incentive Plan expired in the second quarter of 2015, although awards granted under the 2005 Equity Incentive Plan remain outstanding and continue to be subject to its terms.</w:t>
      </w:r>
    </w:p>
    <w:p>
      <w:pPr>
        <w:spacing w:after="0" w:line="73" w:lineRule="exact"/>
        <w:rPr>
          <w:rFonts w:ascii="Arial" w:cs="Arial" w:eastAsia="Arial" w:hAnsi="Arial"/>
          <w:sz w:val="18"/>
          <w:szCs w:val="18"/>
          <w:color w:val="auto"/>
        </w:rPr>
      </w:pPr>
    </w:p>
    <w:p>
      <w:pPr>
        <w:ind w:left="600" w:hanging="592"/>
        <w:spacing w:after="0" w:line="259"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outstanding stock unit awards and profits interest participation rights, after giving effect to forfeitures, as of December 31, 2019. As of that date, the only grants made under the 2018 Incentive Compensation Plan, 2008 Incentive Compensation Plan and 2005 Equity Incentive Plan have been in the form of stock unit awards and restricted stock awards. See Note 16 of Notes to Consolidated Financial Statements for a description of the plans.</w:t>
      </w:r>
    </w:p>
    <w:p>
      <w:pPr>
        <w:spacing w:after="0" w:line="78" w:lineRule="exact"/>
        <w:rPr>
          <w:rFonts w:ascii="Arial" w:cs="Arial" w:eastAsia="Arial" w:hAnsi="Arial"/>
          <w:sz w:val="18"/>
          <w:szCs w:val="18"/>
          <w:color w:val="auto"/>
        </w:rPr>
      </w:pPr>
    </w:p>
    <w:p>
      <w:pPr>
        <w:ind w:left="600" w:right="80" w:hanging="592"/>
        <w:spacing w:after="0" w:line="290" w:lineRule="auto"/>
        <w:tabs>
          <w:tab w:leader="none" w:pos="6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restricted stock unit awarded under our 2018 Incentive Compensation Plan, 2008 Incentive Compensation Plan and 2005 Equity Incentive Plan was granted at no cost to the persons receiving them and represents the contingent right to receive the equivalent number of shares of Lazard Ltd Class A common stock. Performance-based units awarded represent the contingent right to receive Class A common stock based on the achievement of performance criteria, and the number of shares of Class A common stock that ultimately may be received generally can range from zero to two times the target number. Profits interest participation rights, including PRPUs, represent the contingent right to receive the equivalent number of shares of Class A common stock in exchange for such rights, subject to the satisfaction of certain service-based criteria and the Minimum Value Condition, and, in the case of PRPUs, certain performance-based criteria. For PRPUs, the number of shares of Class A common stock that ultimately may be received generally can range from zero to two times the target number. See Note 16 of Notes to Consolidated Financial Statements.</w:t>
      </w:r>
    </w:p>
    <w:p>
      <w:pPr>
        <w:spacing w:after="0" w:line="35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Information regarding certain relationships and related transactions, and director independence, will be presented in Lazard Ltd’s definitive proxy statement for its 2020 annual general meeting of shareholders, which will be held in April 2020, and is incorporated herein by reference.</w:t>
      </w:r>
    </w:p>
    <w:p>
      <w:pPr>
        <w:spacing w:after="0" w:line="33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2020 annual general meeting of shareholders, which will be held in April 2020, and is incorporated herein by reference.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17" w:lineRule="exact"/>
        <w:rPr>
          <w:rFonts w:ascii="Arial" w:cs="Arial" w:eastAsia="Arial" w:hAnsi="Arial"/>
          <w:sz w:val="18"/>
          <w:szCs w:val="18"/>
          <w:b w:val="1"/>
          <w:bCs w:val="1"/>
          <w:color w:val="auto"/>
        </w:rPr>
      </w:pPr>
    </w:p>
    <w:p>
      <w:pPr>
        <w:ind w:left="1200" w:hanging="598"/>
        <w:spacing w:after="0"/>
        <w:tabs>
          <w:tab w:leader="none" w:pos="120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12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1200" w:hanging="598"/>
        <w:spacing w:after="0"/>
        <w:tabs>
          <w:tab w:leader="none" w:pos="120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21" w:lineRule="exact"/>
        <w:rPr>
          <w:rFonts w:ascii="Arial" w:cs="Arial" w:eastAsia="Arial" w:hAnsi="Arial"/>
          <w:sz w:val="18"/>
          <w:szCs w:val="18"/>
          <w:b w:val="1"/>
          <w:bCs w:val="1"/>
          <w:color w:val="auto"/>
        </w:rPr>
      </w:pPr>
    </w:p>
    <w:p>
      <w:pPr>
        <w:jc w:val="both"/>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 All other schedules have been omitted because they are not applicable, not required or the information required is included in the Company’s consolidated financial statements or notes thereto.</w:t>
      </w:r>
    </w:p>
    <w:p>
      <w:pPr>
        <w:spacing w:after="0" w:line="285" w:lineRule="exact"/>
        <w:rPr>
          <w:rFonts w:ascii="Arial" w:cs="Arial" w:eastAsia="Arial" w:hAnsi="Arial"/>
          <w:sz w:val="18"/>
          <w:szCs w:val="18"/>
          <w:b w:val="1"/>
          <w:bCs w:val="1"/>
          <w:color w:val="auto"/>
        </w:rPr>
      </w:pPr>
    </w:p>
    <w:p>
      <w:pPr>
        <w:ind w:left="1200" w:hanging="598"/>
        <w:spacing w:after="0"/>
        <w:tabs>
          <w:tab w:leader="none" w:pos="1200" w:val="left"/>
        </w:tabs>
        <w:numPr>
          <w:ilvl w:val="1"/>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3.1</w:t>
            </w:r>
          </w:p>
        </w:tc>
        <w:tc>
          <w:tcPr>
            <w:tcW w:w="10060" w:type="dxa"/>
            <w:vAlign w:val="bottom"/>
            <w:gridSpan w:val="10"/>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Certificate of Incorporation and Memorandum of Association of the Registrant (incorporated by reference to Exhibit 3.1 to the Registrant’s</w:t>
              </w:r>
            </w:hyperlink>
          </w:p>
        </w:tc>
      </w:tr>
      <w:tr>
        <w:trPr>
          <w:trHeight w:val="196"/>
        </w:trPr>
        <w:tc>
          <w:tcPr>
            <w:tcW w:w="1080" w:type="dxa"/>
            <w:vAlign w:val="bottom"/>
          </w:tcPr>
          <w:p>
            <w:pPr>
              <w:spacing w:after="0"/>
              <w:rPr>
                <w:sz w:val="17"/>
                <w:szCs w:val="17"/>
                <w:color w:val="auto"/>
              </w:rPr>
            </w:pPr>
          </w:p>
        </w:tc>
        <w:tc>
          <w:tcPr>
            <w:tcW w:w="10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Registration Statement (File No. 333-121407) on Form S-1/A filed on March 21, 2005).</w:t>
              </w:r>
            </w:hyperlink>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3.2</w:t>
            </w:r>
          </w:p>
        </w:tc>
        <w:tc>
          <w:tcPr>
            <w:tcW w:w="10060" w:type="dxa"/>
            <w:vAlign w:val="bottom"/>
            <w:gridSpan w:val="10"/>
          </w:tcPr>
          <w:p>
            <w:pPr>
              <w:spacing w:after="0"/>
              <w:rPr>
                <w:rFonts w:ascii="Arial" w:cs="Arial" w:eastAsia="Arial" w:hAnsi="Arial"/>
                <w:sz w:val="18"/>
                <w:szCs w:val="18"/>
                <w:color w:val="0000EE"/>
                <w:w w:val="92"/>
              </w:rPr>
            </w:pPr>
            <w:hyperlink r:id="rId181">
              <w:r>
                <w:rPr>
                  <w:rFonts w:ascii="Arial" w:cs="Arial" w:eastAsia="Arial" w:hAnsi="Arial"/>
                  <w:sz w:val="18"/>
                  <w:szCs w:val="18"/>
                  <w:color w:val="0000EE"/>
                  <w:w w:val="92"/>
                </w:rPr>
                <w:t>Certificate of Incorporation on Change of Name of the Registrant (incorporated by reference to Exhibit 3.2 to the Registrant’s Registration</w:t>
              </w:r>
            </w:hyperlink>
          </w:p>
        </w:tc>
      </w:tr>
      <w:tr>
        <w:trPr>
          <w:trHeight w:val="196"/>
        </w:trPr>
        <w:tc>
          <w:tcPr>
            <w:tcW w:w="1080" w:type="dxa"/>
            <w:vAlign w:val="bottom"/>
          </w:tcPr>
          <w:p>
            <w:pPr>
              <w:spacing w:after="0"/>
              <w:rPr>
                <w:sz w:val="17"/>
                <w:szCs w:val="17"/>
                <w:color w:val="auto"/>
              </w:rPr>
            </w:pPr>
          </w:p>
        </w:tc>
        <w:tc>
          <w:tcPr>
            <w:tcW w:w="9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Statement (File No. 333-121407) on Form S-1/A filed on March 21, 2005).</w:t>
              </w:r>
            </w:hyperlink>
          </w:p>
        </w:tc>
        <w:tc>
          <w:tcPr>
            <w:tcW w:w="8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3.3</w:t>
            </w:r>
          </w:p>
        </w:tc>
        <w:tc>
          <w:tcPr>
            <w:tcW w:w="9820" w:type="dxa"/>
            <w:vAlign w:val="bottom"/>
            <w:tcBorders>
              <w:bottom w:val="single" w:sz="8" w:color="0000EE"/>
            </w:tcBorders>
            <w:gridSpan w:val="7"/>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Amended and Restated Bye-Laws of Lazard Ltd (incorporated by reference to Exhibit 3.3 to the Registrant’s Quarterly Report (File No.</w:t>
              </w:r>
            </w:hyperlink>
          </w:p>
        </w:tc>
        <w:tc>
          <w:tcPr>
            <w:tcW w:w="24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6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001-32492) on Form 10-Q filed on June 16, 2005).</w:t>
              </w:r>
            </w:hyperlink>
          </w:p>
        </w:tc>
        <w:tc>
          <w:tcPr>
            <w:tcW w:w="6380" w:type="dxa"/>
            <w:vAlign w:val="bottom"/>
            <w:gridSpan w:val="9"/>
          </w:tcPr>
          <w:p>
            <w:pPr>
              <w:spacing w:after="0"/>
              <w:rPr>
                <w:sz w:val="17"/>
                <w:szCs w:val="17"/>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3.4</w:t>
            </w:r>
          </w:p>
        </w:tc>
        <w:tc>
          <w:tcPr>
            <w:tcW w:w="10060" w:type="dxa"/>
            <w:vAlign w:val="bottom"/>
            <w:tcBorders>
              <w:bottom w:val="single" w:sz="8" w:color="0000EE"/>
            </w:tcBorders>
            <w:gridSpan w:val="10"/>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First Amendment to Amended and Restated Bye-Laws of Lazard Ltd (incorporated by reference to Exhibit 3.4 to the Registrant’s Quarterly</w:t>
              </w:r>
            </w:hyperlink>
          </w:p>
        </w:tc>
      </w:tr>
      <w:tr>
        <w:trPr>
          <w:trHeight w:val="196"/>
        </w:trPr>
        <w:tc>
          <w:tcPr>
            <w:tcW w:w="1080" w:type="dxa"/>
            <w:vAlign w:val="bottom"/>
          </w:tcPr>
          <w:p>
            <w:pPr>
              <w:spacing w:after="0"/>
              <w:rPr>
                <w:sz w:val="17"/>
                <w:szCs w:val="17"/>
                <w:color w:val="auto"/>
              </w:rPr>
            </w:pPr>
          </w:p>
        </w:tc>
        <w:tc>
          <w:tcPr>
            <w:tcW w:w="48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Report (File No. 001-32492) on Form 10-Q filed on May 9, 2008).</w:t>
              </w:r>
            </w:hyperlink>
          </w:p>
        </w:tc>
        <w:tc>
          <w:tcPr>
            <w:tcW w:w="5240" w:type="dxa"/>
            <w:vAlign w:val="bottom"/>
            <w:gridSpan w:val="8"/>
          </w:tcPr>
          <w:p>
            <w:pPr>
              <w:spacing w:after="0"/>
              <w:rPr>
                <w:sz w:val="17"/>
                <w:szCs w:val="17"/>
                <w:color w:val="auto"/>
              </w:rPr>
            </w:pPr>
          </w:p>
        </w:tc>
      </w:tr>
      <w:tr>
        <w:trPr>
          <w:trHeight w:val="31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3.5</w:t>
            </w:r>
          </w:p>
        </w:tc>
        <w:tc>
          <w:tcPr>
            <w:tcW w:w="9800" w:type="dxa"/>
            <w:vAlign w:val="bottom"/>
            <w:tcBorders>
              <w:bottom w:val="single" w:sz="8" w:color="0000EE"/>
            </w:tcBorders>
            <w:gridSpan w:val="6"/>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26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60" w:type="dxa"/>
            <w:vAlign w:val="bottom"/>
            <w:gridSpan w:val="10"/>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Quarterly Report (File No. 001-32492) on Form 10-Q filed on April 30, 2010).</w:t>
              </w:r>
            </w:hyperlink>
          </w:p>
        </w:tc>
      </w:tr>
      <w:tr>
        <w:trPr>
          <w:trHeight w:val="20"/>
        </w:trPr>
        <w:tc>
          <w:tcPr>
            <w:tcW w:w="1080" w:type="dxa"/>
            <w:vAlign w:val="bottom"/>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ind w:left="180"/>
        <w:spacing w:after="0"/>
        <w:rPr>
          <w:sz w:val="20"/>
          <w:szCs w:val="20"/>
          <w:color w:val="auto"/>
        </w:rPr>
      </w:pPr>
      <w:r>
        <w:rPr>
          <w:rFonts w:ascii="Arial" w:cs="Arial" w:eastAsia="Arial" w:hAnsi="Arial"/>
          <w:sz w:val="17"/>
          <w:szCs w:val="17"/>
          <w:color w:val="auto"/>
        </w:rPr>
        <w:t>4.1</w:t>
      </w:r>
    </w:p>
    <w:p>
      <w:pPr>
        <w:spacing w:after="0" w:line="35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4.2</w:t>
      </w:r>
    </w:p>
    <w:p>
      <w:pPr>
        <w:spacing w:after="0" w:line="35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br w:type="column"/>
      </w:r>
    </w:p>
    <w:p>
      <w:pPr>
        <w:ind w:right="20"/>
        <w:spacing w:after="0" w:line="277" w:lineRule="auto"/>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Form of Specimen Certificate for Class A common stock (incorporated by reference to Exhibit 4.1 to the Registrant’s Registration Statement</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(File No. 333-121407) on Form S-1/A filed on April 11, 2005).</w:t>
        </w:r>
      </w:hyperlink>
    </w:p>
    <w:p>
      <w:pPr>
        <w:spacing w:after="0" w:line="76" w:lineRule="exact"/>
        <w:rPr>
          <w:sz w:val="20"/>
          <w:szCs w:val="20"/>
          <w:color w:val="auto"/>
        </w:rPr>
      </w:pPr>
    </w:p>
    <w:p>
      <w:pPr>
        <w:ind w:right="100"/>
        <w:spacing w:after="0" w:line="308" w:lineRule="auto"/>
        <w:rPr>
          <w:rFonts w:ascii="Arial" w:cs="Arial" w:eastAsia="Arial" w:hAnsi="Arial"/>
          <w:sz w:val="17"/>
          <w:szCs w:val="17"/>
          <w:u w:val="single" w:color="auto"/>
          <w:color w:val="0000EE"/>
        </w:rPr>
      </w:pPr>
      <w:hyperlink r:id="rId186">
        <w:r>
          <w:rPr>
            <w:rFonts w:ascii="Arial" w:cs="Arial" w:eastAsia="Arial" w:hAnsi="Arial"/>
            <w:sz w:val="17"/>
            <w:szCs w:val="17"/>
            <w:u w:val="single" w:color="auto"/>
            <w:color w:val="0000EE"/>
          </w:rPr>
          <w:t>Indenture, dated as of May 10, 2005, by and between Lazard Group LLC and The Bank of New York, as Trustee (incorporated by reference</w:t>
        </w:r>
      </w:hyperlink>
      <w:r>
        <w:rPr>
          <w:rFonts w:ascii="Arial" w:cs="Arial" w:eastAsia="Arial" w:hAnsi="Arial"/>
          <w:sz w:val="17"/>
          <w:szCs w:val="17"/>
          <w:u w:val="single" w:color="auto"/>
          <w:color w:val="0000EE"/>
        </w:rPr>
        <w:t xml:space="preserve"> </w:t>
      </w:r>
      <w:hyperlink r:id="rId186">
        <w:r>
          <w:rPr>
            <w:rFonts w:ascii="Arial" w:cs="Arial" w:eastAsia="Arial" w:hAnsi="Arial"/>
            <w:sz w:val="17"/>
            <w:szCs w:val="17"/>
            <w:u w:val="single" w:color="auto"/>
            <w:color w:val="0000EE"/>
          </w:rPr>
          <w:t>to Exhibit 4.1 to Lazard Group LLC’s Registration Statement (File No. 333-126751) on Form S-4 filed on July 21, 2005).</w:t>
        </w:r>
      </w:hyperlink>
    </w:p>
    <w:p>
      <w:pPr>
        <w:spacing w:after="0" w:line="93" w:lineRule="exact"/>
        <w:rPr>
          <w:sz w:val="20"/>
          <w:szCs w:val="20"/>
          <w:color w:val="auto"/>
        </w:rPr>
      </w:pPr>
    </w:p>
    <w:p>
      <w:pPr>
        <w:ind w:right="80"/>
        <w:spacing w:after="0" w:line="342" w:lineRule="auto"/>
        <w:rPr>
          <w:rFonts w:ascii="Arial" w:cs="Arial" w:eastAsia="Arial" w:hAnsi="Arial"/>
          <w:sz w:val="16"/>
          <w:szCs w:val="16"/>
          <w:u w:val="single" w:color="auto"/>
          <w:color w:val="0000EE"/>
        </w:rPr>
      </w:pPr>
      <w:hyperlink r:id="rId187">
        <w:r>
          <w:rPr>
            <w:rFonts w:ascii="Arial" w:cs="Arial" w:eastAsia="Arial" w:hAnsi="Arial"/>
            <w:sz w:val="16"/>
            <w:szCs w:val="16"/>
            <w:u w:val="single" w:color="auto"/>
            <w:color w:val="0000EE"/>
          </w:rPr>
          <w:t>Sixth Supplemental Indenture, dated as of February 13, 2015, between Lazard Group LLC and The Bank of New York Mellon, as trustee</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(incorporated by reference to Exhibit 4.1 of the Registrant’s Current Report on Form 8-K (File No. 001-32492) filed on February 13, 2015).</w:t>
        </w:r>
      </w:hyperlink>
    </w:p>
    <w:p>
      <w:pPr>
        <w:spacing w:after="0" w:line="12" w:lineRule="exact"/>
        <w:rPr>
          <w:sz w:val="20"/>
          <w:szCs w:val="20"/>
          <w:color w:val="auto"/>
        </w:rPr>
      </w:pPr>
    </w:p>
    <w:p>
      <w:pPr>
        <w:sectPr>
          <w:pgSz w:w="11900" w:h="16838" w:orient="portrait"/>
          <w:cols w:equalWidth="0" w:num="2">
            <w:col w:w="540" w:space="720"/>
            <w:col w:w="101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4.4</w:t>
            </w:r>
          </w:p>
        </w:tc>
        <w:tc>
          <w:tcPr>
            <w:tcW w:w="10120" w:type="dxa"/>
            <w:vAlign w:val="bottom"/>
            <w:tcBorders>
              <w:bottom w:val="single" w:sz="8" w:color="0000EE"/>
            </w:tcBorders>
            <w:gridSpan w:val="6"/>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4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0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(incorporated by reference to Exhibit 4.1 of the Registrant’s Current Report on Form 8-K (File No. 001-32492) filed on November 7, 2016).</w:t>
              </w:r>
            </w:hyperlink>
          </w:p>
        </w:tc>
        <w:tc>
          <w:tcPr>
            <w:tcW w:w="60" w:type="dxa"/>
            <w:vAlign w:val="bottom"/>
            <w:gridSpan w:val="2"/>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4.5</w:t>
            </w:r>
          </w:p>
        </w:tc>
        <w:tc>
          <w:tcPr>
            <w:tcW w:w="10040" w:type="dxa"/>
            <w:vAlign w:val="bottom"/>
            <w:tcBorders>
              <w:bottom w:val="single" w:sz="8" w:color="0000EE"/>
            </w:tcBorders>
            <w:gridSpan w:val="3"/>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Eighth Supplemental Indenture, dated as of September 19, 2018, between Lazard Group LLC and the Bank of New York Mellon, as trustee</w:t>
              </w:r>
            </w:hyperlink>
          </w:p>
        </w:tc>
        <w:tc>
          <w:tcPr>
            <w:tcW w:w="1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(incorporated by reference to Exhibit 4.1 to the Registrant’s Current Report on Form 8-K (File No. 001-32492) filed on September 19, 2018</w:t>
              </w:r>
            </w:hyperlink>
            <w:r>
              <w:rPr>
                <w:rFonts w:ascii="Arial" w:cs="Arial" w:eastAsia="Arial" w:hAnsi="Arial"/>
                <w:sz w:val="18"/>
                <w:szCs w:val="18"/>
                <w:color w:val="000000"/>
                <w:w w:val="91"/>
              </w:rPr>
              <w:t>.</w:t>
            </w: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4.6</w:t>
            </w:r>
          </w:p>
        </w:tc>
        <w:tc>
          <w:tcPr>
            <w:tcW w:w="10080" w:type="dxa"/>
            <w:vAlign w:val="bottom"/>
            <w:tcBorders>
              <w:top w:val="single" w:sz="8" w:color="0000EE"/>
            </w:tcBorders>
            <w:gridSpan w:val="4"/>
          </w:tcPr>
          <w:p>
            <w:pPr>
              <w:spacing w:after="0"/>
              <w:rPr>
                <w:rFonts w:ascii="Arial" w:cs="Arial" w:eastAsia="Arial" w:hAnsi="Arial"/>
                <w:sz w:val="18"/>
                <w:szCs w:val="18"/>
                <w:color w:val="0000EE"/>
                <w:w w:val="94"/>
              </w:rPr>
            </w:pPr>
            <w:hyperlink r:id="rId190">
              <w:r>
                <w:rPr>
                  <w:rFonts w:ascii="Arial" w:cs="Arial" w:eastAsia="Arial" w:hAnsi="Arial"/>
                  <w:sz w:val="18"/>
                  <w:szCs w:val="18"/>
                  <w:color w:val="0000EE"/>
                  <w:w w:val="94"/>
                </w:rPr>
                <w:t>Ninth Supplemental Indenture, dated as of March 11, 2019, between Lazard Group LLC and The Bank of New York Mellon, as trustee</w:t>
              </w:r>
            </w:hyperlink>
          </w:p>
        </w:tc>
        <w:tc>
          <w:tcPr>
            <w:tcW w:w="80" w:type="dxa"/>
            <w:vAlign w:val="bottom"/>
            <w:gridSpan w:val="3"/>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9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w w:val="94"/>
              </w:rPr>
            </w:pPr>
            <w:hyperlink r:id="rId190">
              <w:r>
                <w:rPr>
                  <w:rFonts w:ascii="Arial" w:cs="Arial" w:eastAsia="Arial" w:hAnsi="Arial"/>
                  <w:sz w:val="18"/>
                  <w:szCs w:val="18"/>
                  <w:color w:val="0000EE"/>
                  <w:w w:val="94"/>
                </w:rPr>
                <w:t>(incorporated by reference to Exhibit 4.1 to the Registrant’s Current Report on Form 8-K (File No. 001-32492) filed on March 11, 2019)</w:t>
              </w:r>
            </w:hyperlink>
          </w:p>
        </w:tc>
      </w:tr>
      <w:tr>
        <w:trPr>
          <w:trHeight w:val="453"/>
        </w:trPr>
        <w:tc>
          <w:tcPr>
            <w:tcW w:w="1260" w:type="dxa"/>
            <w:vAlign w:val="bottom"/>
          </w:tcPr>
          <w:p>
            <w:pPr>
              <w:spacing w:after="0"/>
              <w:rPr>
                <w:sz w:val="24"/>
                <w:szCs w:val="24"/>
                <w:color w:val="auto"/>
              </w:rPr>
            </w:pPr>
          </w:p>
        </w:tc>
        <w:tc>
          <w:tcPr>
            <w:tcW w:w="9720" w:type="dxa"/>
            <w:vAlign w:val="bottom"/>
            <w:tcBorders>
              <w:top w:val="single" w:sz="8" w:color="0000EE"/>
            </w:tcBorders>
          </w:tcPr>
          <w:p>
            <w:pPr>
              <w:ind w:left="4320"/>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1260" w:type="dxa"/>
            <w:vAlign w:val="bottom"/>
          </w:tcPr>
          <w:p>
            <w:pPr>
              <w:ind w:left="180"/>
              <w:spacing w:after="0"/>
              <w:rPr>
                <w:sz w:val="20"/>
                <w:szCs w:val="20"/>
                <w:color w:val="auto"/>
              </w:rPr>
            </w:pPr>
            <w:r>
              <w:rPr>
                <w:rFonts w:ascii="Arial" w:cs="Arial" w:eastAsia="Arial" w:hAnsi="Arial"/>
                <w:sz w:val="18"/>
                <w:szCs w:val="18"/>
                <w:color w:val="auto"/>
              </w:rPr>
              <w:t>4.7</w:t>
            </w:r>
          </w:p>
        </w:tc>
        <w:tc>
          <w:tcPr>
            <w:tcW w:w="1016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87">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88">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89">
              <w:r>
                <w:rPr>
                  <w:rFonts w:ascii="Arial" w:cs="Arial" w:eastAsia="Arial" w:hAnsi="Arial"/>
                  <w:sz w:val="18"/>
                  <w:szCs w:val="18"/>
                  <w:color w:val="0000EE"/>
                </w:rPr>
                <w:t>4.5</w:t>
              </w:r>
            </w:hyperlink>
            <w:r>
              <w:rPr>
                <w:rFonts w:ascii="Arial" w:cs="Arial" w:eastAsia="Arial" w:hAnsi="Arial"/>
                <w:sz w:val="18"/>
                <w:szCs w:val="18"/>
                <w:color w:val="auto"/>
              </w:rPr>
              <w:t xml:space="preserve">, and </w:t>
            </w:r>
            <w:hyperlink r:id="rId190">
              <w:r>
                <w:rPr>
                  <w:rFonts w:ascii="Arial" w:cs="Arial" w:eastAsia="Arial" w:hAnsi="Arial"/>
                  <w:sz w:val="18"/>
                  <w:szCs w:val="18"/>
                  <w:color w:val="0000EE"/>
                </w:rPr>
                <w:t>4.6</w:t>
              </w:r>
            </w:hyperlink>
            <w:r>
              <w:rPr>
                <w:rFonts w:ascii="Arial" w:cs="Arial" w:eastAsia="Arial" w:hAnsi="Arial"/>
                <w:sz w:val="18"/>
                <w:szCs w:val="18"/>
                <w:color w:val="auto"/>
              </w:rPr>
              <w:t>).</w:t>
            </w:r>
          </w:p>
        </w:tc>
      </w:tr>
      <w:tr>
        <w:trPr>
          <w:trHeight w:val="20"/>
        </w:trPr>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180"/>
              <w:spacing w:after="0"/>
              <w:rPr>
                <w:sz w:val="20"/>
                <w:szCs w:val="20"/>
                <w:color w:val="auto"/>
              </w:rPr>
            </w:pPr>
            <w:r>
              <w:rPr>
                <w:rFonts w:ascii="Arial" w:cs="Arial" w:eastAsia="Arial" w:hAnsi="Arial"/>
                <w:sz w:val="18"/>
                <w:szCs w:val="18"/>
                <w:color w:val="auto"/>
              </w:rPr>
              <w:t>4.8</w:t>
            </w:r>
          </w:p>
        </w:tc>
        <w:tc>
          <w:tcPr>
            <w:tcW w:w="10160" w:type="dxa"/>
            <w:vAlign w:val="bottom"/>
            <w:gridSpan w:val="33"/>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Description of Registrant’s Class A Common Stock.</w:t>
              </w:r>
            </w:hyperlink>
          </w:p>
        </w:tc>
      </w:tr>
      <w:tr>
        <w:trPr>
          <w:trHeight w:val="20"/>
        </w:trPr>
        <w:tc>
          <w:tcPr>
            <w:tcW w:w="1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w:t>
            </w:r>
          </w:p>
        </w:tc>
        <w:tc>
          <w:tcPr>
            <w:tcW w:w="10140" w:type="dxa"/>
            <w:vAlign w:val="bottom"/>
            <w:tcBorders>
              <w:bottom w:val="single" w:sz="8" w:color="0000EE"/>
            </w:tcBorders>
            <w:gridSpan w:val="32"/>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Amended and Restated Operating Agreement of Lazard Group LLC, dated as of February 4, 2019 (incorporated by reference to Exhibit 99.1</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to Registrant’s Current Report (File No. 001-32492) on Form 8-K filed on February 5, 2019).</w:t>
              </w:r>
            </w:hyperlink>
          </w:p>
        </w:tc>
      </w:tr>
      <w:tr>
        <w:trPr>
          <w:trHeight w:val="20"/>
        </w:trPr>
        <w:tc>
          <w:tcPr>
            <w:tcW w:w="1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w:t>
            </w:r>
          </w:p>
        </w:tc>
        <w:tc>
          <w:tcPr>
            <w:tcW w:w="9940" w:type="dxa"/>
            <w:vAlign w:val="bottom"/>
            <w:tcBorders>
              <w:bottom w:val="single" w:sz="8" w:color="0000EE"/>
            </w:tcBorders>
            <w:gridSpan w:val="26"/>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Second Amended and Restated Tax Receivable Agreement, dated as of October 26, 2015, by and among Ltd Sub A, Ltd Sub B and LTBP</w:t>
              </w:r>
            </w:hyperlink>
          </w:p>
        </w:tc>
        <w:tc>
          <w:tcPr>
            <w:tcW w:w="22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Trust (incorporated by reference to Exhibit 10.2 to the Registrant’s Quarterly Report (File No. 001-32492) on Form 10-Q filed on October</w:t>
              </w:r>
            </w:hyperlink>
          </w:p>
        </w:tc>
      </w:tr>
      <w:tr>
        <w:trPr>
          <w:trHeight w:val="196"/>
        </w:trPr>
        <w:tc>
          <w:tcPr>
            <w:tcW w:w="12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94">
              <w:r>
                <w:rPr>
                  <w:rFonts w:ascii="Arial" w:cs="Arial" w:eastAsia="Arial" w:hAnsi="Arial"/>
                  <w:sz w:val="18"/>
                  <w:szCs w:val="18"/>
                  <w:color w:val="0000EE"/>
                  <w:w w:val="88"/>
                </w:rPr>
                <w:t>28, 2015).</w:t>
              </w:r>
            </w:hyperlink>
          </w:p>
        </w:tc>
        <w:tc>
          <w:tcPr>
            <w:tcW w:w="2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10.3</w:t>
            </w:r>
          </w:p>
        </w:tc>
        <w:tc>
          <w:tcPr>
            <w:tcW w:w="10160" w:type="dxa"/>
            <w:vAlign w:val="bottom"/>
            <w:tcBorders>
              <w:bottom w:val="single" w:sz="8" w:color="0000EE"/>
            </w:tcBorders>
            <w:gridSpan w:val="33"/>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Lease, dated as of January 27, 1994, by and between Rockefeller Center Properties and Lazard Frères &amp; Co. LLC (incorporated by reference</w:t>
              </w:r>
            </w:hyperlink>
          </w:p>
        </w:tc>
      </w:tr>
      <w:tr>
        <w:trPr>
          <w:trHeight w:val="196"/>
        </w:trPr>
        <w:tc>
          <w:tcPr>
            <w:tcW w:w="12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to Exhibit 10.19 to the Registrant’s Registration Statement (File No. 333-121407) on Form S-1/A filed on February 11, 2005).</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10.4</w:t>
            </w:r>
          </w:p>
        </w:tc>
        <w:tc>
          <w:tcPr>
            <w:tcW w:w="10160" w:type="dxa"/>
            <w:vAlign w:val="bottom"/>
            <w:gridSpan w:val="33"/>
          </w:tcPr>
          <w:p>
            <w:pPr>
              <w:spacing w:after="0"/>
              <w:rPr>
                <w:rFonts w:ascii="Arial" w:cs="Arial" w:eastAsia="Arial" w:hAnsi="Arial"/>
                <w:sz w:val="18"/>
                <w:szCs w:val="18"/>
                <w:color w:val="0000EE"/>
                <w:w w:val="96"/>
              </w:rPr>
            </w:pPr>
            <w:hyperlink r:id="rId196">
              <w:r>
                <w:rPr>
                  <w:rFonts w:ascii="Arial" w:cs="Arial" w:eastAsia="Arial" w:hAnsi="Arial"/>
                  <w:sz w:val="18"/>
                  <w:szCs w:val="18"/>
                  <w:color w:val="0000EE"/>
                  <w:w w:val="96"/>
                </w:rPr>
                <w:t>Fourth Amendment dated as of February 16, 2011, by and among RCPI Landmark Properties, L.L.C. (as the successor in interest to</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Rockefeller Center Properties), RCPI 30 Rock 22234849, L.L.C. and Lazard Group LLC (as the successor in interest to Lazard Frères &amp; Co.</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LLC), to the Lease dated as of January 27, 1994, by and among Rockefeller Center Properties and Lazard Frères &amp; Co. LLC (incorporated</w:t>
              </w:r>
            </w:hyperlink>
          </w:p>
        </w:tc>
        <w:tc>
          <w:tcPr>
            <w:tcW w:w="16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by reference to Exhibit 10.16 to the Registrant’s Quarterly Report (File No. 001-32492) on Form 10-Q filed on April 29, 2011).</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10.5*</w:t>
            </w:r>
          </w:p>
        </w:tc>
        <w:tc>
          <w:tcPr>
            <w:tcW w:w="10160" w:type="dxa"/>
            <w:vAlign w:val="bottom"/>
            <w:gridSpan w:val="33"/>
          </w:tcPr>
          <w:p>
            <w:pPr>
              <w:spacing w:after="0"/>
              <w:rPr>
                <w:rFonts w:ascii="Arial" w:cs="Arial" w:eastAsia="Arial" w:hAnsi="Arial"/>
                <w:sz w:val="18"/>
                <w:szCs w:val="18"/>
                <w:color w:val="0000EE"/>
                <w:w w:val="92"/>
              </w:rPr>
            </w:pPr>
            <w:hyperlink r:id="rId197">
              <w:r>
                <w:rPr>
                  <w:rFonts w:ascii="Arial" w:cs="Arial" w:eastAsia="Arial" w:hAnsi="Arial"/>
                  <w:sz w:val="18"/>
                  <w:szCs w:val="18"/>
                  <w:color w:val="0000EE"/>
                  <w:w w:val="92"/>
                </w:rPr>
                <w:t>Lazard Ltd 2005 Equity Incentive Plan (incorporated by reference to Exhibit 10.21 to the Registrant’s Registration Statement (File No. 333-</w:t>
              </w:r>
            </w:hyperlink>
          </w:p>
        </w:tc>
      </w:tr>
      <w:tr>
        <w:trPr>
          <w:trHeight w:val="196"/>
        </w:trPr>
        <w:tc>
          <w:tcPr>
            <w:tcW w:w="1260" w:type="dxa"/>
            <w:vAlign w:val="bottom"/>
          </w:tcPr>
          <w:p>
            <w:pPr>
              <w:spacing w:after="0"/>
              <w:rPr>
                <w:sz w:val="17"/>
                <w:szCs w:val="17"/>
                <w:color w:val="auto"/>
              </w:rPr>
            </w:pPr>
          </w:p>
        </w:tc>
        <w:tc>
          <w:tcPr>
            <w:tcW w:w="100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121407) on Form S-1/A filed on May 2, 2005).</w:t>
              </w:r>
            </w:hyperlink>
          </w:p>
        </w:tc>
        <w:tc>
          <w:tcPr>
            <w:tcW w:w="8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10.6*</w:t>
            </w:r>
          </w:p>
        </w:tc>
        <w:tc>
          <w:tcPr>
            <w:tcW w:w="9820" w:type="dxa"/>
            <w:vAlign w:val="bottom"/>
            <w:tcBorders>
              <w:bottom w:val="single" w:sz="8" w:color="0000EE"/>
            </w:tcBorders>
            <w:gridSpan w:val="24"/>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Lazard Ltd 2008 Incentive Compensation Plan (incorporated by reference to Annex B to the Registrant’s Definitive Proxy Statement on</w:t>
              </w:r>
            </w:hyperlink>
          </w:p>
        </w:tc>
        <w:tc>
          <w:tcPr>
            <w:tcW w:w="34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5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Schedule 14A (File No. 001-32492) filed on March 24, 2008).</w:t>
              </w:r>
            </w:hyperlink>
          </w:p>
        </w:tc>
        <w:tc>
          <w:tcPr>
            <w:tcW w:w="5660" w:type="dxa"/>
            <w:vAlign w:val="bottom"/>
            <w:gridSpan w:val="21"/>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10.7*</w:t>
            </w:r>
          </w:p>
        </w:tc>
        <w:tc>
          <w:tcPr>
            <w:tcW w:w="10160" w:type="dxa"/>
            <w:vAlign w:val="bottom"/>
            <w:gridSpan w:val="33"/>
          </w:tcPr>
          <w:p>
            <w:pPr>
              <w:spacing w:after="0"/>
              <w:rPr>
                <w:rFonts w:ascii="Arial" w:cs="Arial" w:eastAsia="Arial" w:hAnsi="Arial"/>
                <w:sz w:val="18"/>
                <w:szCs w:val="18"/>
                <w:color w:val="0000EE"/>
                <w:w w:val="93"/>
              </w:rPr>
            </w:pPr>
            <w:hyperlink r:id="rId199">
              <w:r>
                <w:rPr>
                  <w:rFonts w:ascii="Arial" w:cs="Arial" w:eastAsia="Arial" w:hAnsi="Arial"/>
                  <w:sz w:val="18"/>
                  <w:szCs w:val="18"/>
                  <w:color w:val="0000EE"/>
                  <w:w w:val="93"/>
                </w:rPr>
                <w:t>Lazard Ltd 2016 French Sub-plan (incorporated by reference to Annex B to the Registrant’s Definitive Proxy Statement on Schedule 14A</w:t>
              </w:r>
            </w:hyperlink>
          </w:p>
        </w:tc>
      </w:tr>
      <w:tr>
        <w:trPr>
          <w:trHeight w:val="196"/>
        </w:trPr>
        <w:tc>
          <w:tcPr>
            <w:tcW w:w="126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(File No. 001-32492) filed on March 10, 2016).</w:t>
              </w:r>
            </w:hyperlink>
          </w:p>
        </w:tc>
        <w:tc>
          <w:tcPr>
            <w:tcW w:w="6480" w:type="dxa"/>
            <w:vAlign w:val="bottom"/>
            <w:tcBorders>
              <w:top w:val="single" w:sz="8" w:color="0000EE"/>
            </w:tcBorders>
            <w:gridSpan w:val="20"/>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10.8*</w:t>
            </w:r>
          </w:p>
        </w:tc>
        <w:tc>
          <w:tcPr>
            <w:tcW w:w="9820" w:type="dxa"/>
            <w:vAlign w:val="bottom"/>
            <w:tcBorders>
              <w:bottom w:val="single" w:sz="8" w:color="0000EE"/>
            </w:tcBorders>
            <w:gridSpan w:val="24"/>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Lazard Ltd 2018 Incentive Compensation Plan (incorporated by reference to Annex B to the Registrant’s Definitive Proxy Statement on</w:t>
              </w:r>
            </w:hyperlink>
          </w:p>
        </w:tc>
        <w:tc>
          <w:tcPr>
            <w:tcW w:w="34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5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Schedule 14A (File No. 001-32492) filed on March 15, 2018).</w:t>
              </w:r>
            </w:hyperlink>
          </w:p>
        </w:tc>
        <w:tc>
          <w:tcPr>
            <w:tcW w:w="5660" w:type="dxa"/>
            <w:vAlign w:val="bottom"/>
            <w:gridSpan w:val="21"/>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10.9*</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among the Registrant, Lazard Group LLC and Kenneth M. Jacobs (incorporated by reference to Exhibit 10.1 to the Registrant’s Current</w:t>
              </w:r>
            </w:hyperlink>
          </w:p>
        </w:tc>
        <w:tc>
          <w:tcPr>
            <w:tcW w:w="36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78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Report on Form 8-K (File No. 001-32492) filed on April 3, 2019).</w:t>
              </w:r>
            </w:hyperlink>
          </w:p>
        </w:tc>
        <w:tc>
          <w:tcPr>
            <w:tcW w:w="5380" w:type="dxa"/>
            <w:vAlign w:val="bottom"/>
            <w:gridSpan w:val="19"/>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10.10*</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among the Registrant, Lazard Group LLC and Ashish Bhutani (incorporated by reference to Exhibit 10.3 to the Registrant’s Current Report</w:t>
              </w:r>
            </w:hyperlink>
          </w:p>
        </w:tc>
      </w:tr>
      <w:tr>
        <w:trPr>
          <w:trHeight w:val="196"/>
        </w:trPr>
        <w:tc>
          <w:tcPr>
            <w:tcW w:w="12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on Form 8-K (File No. 001-32492) filed on April 3, 2019).</w:t>
              </w:r>
            </w:hyperlink>
          </w:p>
        </w:tc>
        <w:tc>
          <w:tcPr>
            <w:tcW w:w="580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10.11*</w:t>
            </w:r>
          </w:p>
        </w:tc>
        <w:tc>
          <w:tcPr>
            <w:tcW w:w="10160" w:type="dxa"/>
            <w:vAlign w:val="bottom"/>
            <w:gridSpan w:val="33"/>
          </w:tcPr>
          <w:p>
            <w:pPr>
              <w:spacing w:after="0"/>
              <w:rPr>
                <w:rFonts w:ascii="Arial" w:cs="Arial" w:eastAsia="Arial" w:hAnsi="Arial"/>
                <w:sz w:val="18"/>
                <w:szCs w:val="18"/>
                <w:color w:val="0000EE"/>
                <w:w w:val="93"/>
              </w:rPr>
            </w:pPr>
            <w:hyperlink r:id="rId203">
              <w:r>
                <w:rPr>
                  <w:rFonts w:ascii="Arial" w:cs="Arial" w:eastAsia="Arial" w:hAnsi="Arial"/>
                  <w:sz w:val="18"/>
                  <w:szCs w:val="18"/>
                  <w:color w:val="0000EE"/>
                  <w:w w:val="93"/>
                </w:rPr>
                <w:t>Amended and Restated Agreement relating to Retention and Noncompetition and Other Covenants, dated as of March 29, 2019, by and</w:t>
              </w:r>
            </w:hyperlink>
          </w:p>
        </w:tc>
      </w:tr>
      <w:tr>
        <w:trPr>
          <w:trHeight w:val="196"/>
        </w:trPr>
        <w:tc>
          <w:tcPr>
            <w:tcW w:w="126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among the Registrant, Lazard Group LLC and Scott D. Hoffman (incorporated by reference to Exhibit 10.4 to the Registrant’s Current</w:t>
              </w:r>
            </w:hyperlink>
          </w:p>
        </w:tc>
        <w:tc>
          <w:tcPr>
            <w:tcW w:w="80" w:type="dxa"/>
            <w:vAlign w:val="bottom"/>
            <w:tcBorders>
              <w:top w:val="single" w:sz="8" w:color="0000EE"/>
            </w:tcBorders>
            <w:gridSpan w:val="2"/>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78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203">
              <w:r>
                <w:rPr>
                  <w:rFonts w:ascii="Arial" w:cs="Arial" w:eastAsia="Arial" w:hAnsi="Arial"/>
                  <w:sz w:val="18"/>
                  <w:szCs w:val="18"/>
                  <w:color w:val="0000EE"/>
                  <w:w w:val="93"/>
                </w:rPr>
                <w:t>Report on Form 8-K (File No. 001-32492) filed on April 3, 2019).</w:t>
              </w:r>
            </w:hyperlink>
          </w:p>
        </w:tc>
        <w:tc>
          <w:tcPr>
            <w:tcW w:w="5380" w:type="dxa"/>
            <w:vAlign w:val="bottom"/>
            <w:gridSpan w:val="19"/>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10.12*</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Agreement relating to Retention and Noncompetition and Other Covenants, dated as of March 29, 2019, by and</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3"/>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among the Registrant, Lazard Group LLC and Evan L. Russo (incorporated by reference to Exhibit 10.2 to the Registrant’s Current Report</w:t>
              </w:r>
            </w:hyperlink>
          </w:p>
        </w:tc>
      </w:tr>
      <w:tr>
        <w:trPr>
          <w:trHeight w:val="196"/>
        </w:trPr>
        <w:tc>
          <w:tcPr>
            <w:tcW w:w="126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r:id="rId204">
              <w:r>
                <w:rPr>
                  <w:rFonts w:ascii="Arial" w:cs="Arial" w:eastAsia="Arial" w:hAnsi="Arial"/>
                  <w:sz w:val="18"/>
                  <w:szCs w:val="18"/>
                  <w:color w:val="0000EE"/>
                  <w:w w:val="94"/>
                </w:rPr>
                <w:t>on Form 8-K (File No. 001-32492) filed April 3, 2019).</w:t>
              </w:r>
            </w:hyperlink>
          </w:p>
        </w:tc>
        <w:tc>
          <w:tcPr>
            <w:tcW w:w="5960" w:type="dxa"/>
            <w:vAlign w:val="bottom"/>
            <w:tcBorders>
              <w:top w:val="single" w:sz="8" w:color="0000EE"/>
            </w:tcBorders>
            <w:gridSpan w:val="19"/>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10.13*</w:t>
            </w:r>
          </w:p>
        </w:tc>
        <w:tc>
          <w:tcPr>
            <w:tcW w:w="10160" w:type="dxa"/>
            <w:vAlign w:val="bottom"/>
            <w:gridSpan w:val="33"/>
          </w:tcPr>
          <w:p>
            <w:pPr>
              <w:spacing w:after="0"/>
              <w:rPr>
                <w:rFonts w:ascii="Arial" w:cs="Arial" w:eastAsia="Arial" w:hAnsi="Arial"/>
                <w:sz w:val="18"/>
                <w:szCs w:val="18"/>
                <w:color w:val="0000EE"/>
                <w:w w:val="93"/>
              </w:rPr>
            </w:pPr>
            <w:hyperlink r:id="rId205">
              <w:r>
                <w:rPr>
                  <w:rFonts w:ascii="Arial" w:cs="Arial" w:eastAsia="Arial" w:hAnsi="Arial"/>
                  <w:sz w:val="18"/>
                  <w:szCs w:val="18"/>
                  <w:color w:val="0000EE"/>
                  <w:w w:val="93"/>
                </w:rPr>
                <w:t>Amended and Restated Agreement relating to Retention and Noncompetition and Other Covenants, dated as of March 29, 2019, by and</w:t>
              </w:r>
            </w:hyperlink>
          </w:p>
        </w:tc>
      </w:tr>
      <w:tr>
        <w:trPr>
          <w:trHeight w:val="196"/>
        </w:trPr>
        <w:tc>
          <w:tcPr>
            <w:tcW w:w="1260" w:type="dxa"/>
            <w:vAlign w:val="bottom"/>
          </w:tcPr>
          <w:p>
            <w:pPr>
              <w:spacing w:after="0"/>
              <w:rPr>
                <w:sz w:val="17"/>
                <w:szCs w:val="17"/>
                <w:color w:val="auto"/>
              </w:rPr>
            </w:pPr>
          </w:p>
        </w:tc>
        <w:tc>
          <w:tcPr>
            <w:tcW w:w="9760" w:type="dxa"/>
            <w:vAlign w:val="bottom"/>
            <w:tcBorders>
              <w:top w:val="single" w:sz="8" w:color="0000EE"/>
            </w:tcBorders>
            <w:gridSpan w:val="21"/>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among the Registrant, Lazard Group LLC and Alexander F. Stern (incorporated by reference to Exhibit 10.5 to the Registrant’s Current</w:t>
              </w:r>
            </w:hyperlink>
          </w:p>
        </w:tc>
        <w:tc>
          <w:tcPr>
            <w:tcW w:w="4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7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Report on Form 8-K (File No. 001-32492) filed on April 3, 2019).</w:t>
              </w:r>
            </w:hyperlink>
          </w:p>
        </w:tc>
        <w:tc>
          <w:tcPr>
            <w:tcW w:w="420" w:type="dxa"/>
            <w:vAlign w:val="bottom"/>
            <w:gridSpan w:val="13"/>
          </w:tcPr>
          <w:p>
            <w:pPr>
              <w:spacing w:after="0"/>
              <w:rPr>
                <w:sz w:val="17"/>
                <w:szCs w:val="17"/>
                <w:color w:val="auto"/>
              </w:rPr>
            </w:pPr>
          </w:p>
        </w:tc>
      </w:tr>
      <w:tr>
        <w:trPr>
          <w:trHeight w:val="453"/>
        </w:trPr>
        <w:tc>
          <w:tcPr>
            <w:tcW w:w="1260" w:type="dxa"/>
            <w:vAlign w:val="bottom"/>
          </w:tcPr>
          <w:p>
            <w:pPr>
              <w:spacing w:after="0"/>
              <w:rPr>
                <w:sz w:val="24"/>
                <w:szCs w:val="24"/>
                <w:color w:val="auto"/>
              </w:rPr>
            </w:pPr>
          </w:p>
        </w:tc>
        <w:tc>
          <w:tcPr>
            <w:tcW w:w="4780" w:type="dxa"/>
            <w:vAlign w:val="bottom"/>
            <w:tcBorders>
              <w:top w:val="single" w:sz="8" w:color="0000EE"/>
            </w:tcBorders>
            <w:gridSpan w:val="14"/>
          </w:tcPr>
          <w:p>
            <w:pPr>
              <w:ind w:left="4320"/>
              <w:spacing w:after="0"/>
              <w:rPr>
                <w:sz w:val="20"/>
                <w:szCs w:val="20"/>
                <w:color w:val="auto"/>
              </w:rPr>
            </w:pPr>
            <w:r>
              <w:rPr>
                <w:rFonts w:ascii="Arial" w:cs="Arial" w:eastAsia="Arial" w:hAnsi="Arial"/>
                <w:sz w:val="18"/>
                <w:szCs w:val="18"/>
                <w:color w:val="auto"/>
              </w:rPr>
              <w:t>138</w:t>
            </w:r>
          </w:p>
        </w:tc>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10.14*</w:t>
            </w:r>
          </w:p>
        </w:tc>
        <w:tc>
          <w:tcPr>
            <w:tcW w:w="10160" w:type="dxa"/>
            <w:vAlign w:val="bottom"/>
            <w:gridSpan w:val="32"/>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Form of Award Letter for Annual Grant of Deferred Stock Units to Non-Executive Directors (incorporated by reference to Exhibit 99.1 to</w:t>
              </w:r>
            </w:hyperlink>
          </w:p>
        </w:tc>
      </w:tr>
      <w:tr>
        <w:trPr>
          <w:trHeight w:val="196"/>
        </w:trPr>
        <w:tc>
          <w:tcPr>
            <w:tcW w:w="1260" w:type="dxa"/>
            <w:vAlign w:val="bottom"/>
          </w:tcPr>
          <w:p>
            <w:pPr>
              <w:spacing w:after="0"/>
              <w:rPr>
                <w:sz w:val="17"/>
                <w:szCs w:val="17"/>
                <w:color w:val="auto"/>
              </w:rPr>
            </w:pPr>
          </w:p>
        </w:tc>
        <w:tc>
          <w:tcPr>
            <w:tcW w:w="9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the Registrant’s Current Report on Form 8-K (File No. 001-32492) filed on September 8, 2005).</w:t>
              </w:r>
            </w:hyperlink>
          </w:p>
        </w:tc>
        <w:tc>
          <w:tcPr>
            <w:tcW w:w="24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10.15*</w:t>
            </w:r>
          </w:p>
        </w:tc>
        <w:tc>
          <w:tcPr>
            <w:tcW w:w="9540" w:type="dxa"/>
            <w:vAlign w:val="bottom"/>
            <w:tcBorders>
              <w:bottom w:val="single" w:sz="8" w:color="0000EE"/>
            </w:tcBorders>
            <w:gridSpan w:val="18"/>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Form of Agreement evidencing a grant of Restricted Stock Units to Executive Officers under the 2008 Incentive Compensation Plan</w:t>
              </w:r>
            </w:hyperlink>
          </w:p>
        </w:tc>
        <w:tc>
          <w:tcPr>
            <w:tcW w:w="62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09">
              <w:r>
                <w:rPr>
                  <w:rFonts w:ascii="Arial" w:cs="Arial" w:eastAsia="Arial" w:hAnsi="Arial"/>
                  <w:sz w:val="18"/>
                  <w:szCs w:val="18"/>
                  <w:color w:val="0000EE"/>
                  <w:w w:val="92"/>
                </w:rPr>
                <w:t>(incorporated by reference to Exhibit 10.41 to the Registrant’s Annual Report (File No. 001-32492) on Form 10-K filed on March 2, 2009).</w:t>
              </w:r>
            </w:hyperlink>
          </w:p>
        </w:tc>
        <w:tc>
          <w:tcPr>
            <w:tcW w:w="100" w:type="dxa"/>
            <w:vAlign w:val="bottom"/>
            <w:gridSpan w:val="2"/>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10.16*</w:t>
            </w:r>
          </w:p>
        </w:tc>
        <w:tc>
          <w:tcPr>
            <w:tcW w:w="10160" w:type="dxa"/>
            <w:vAlign w:val="bottom"/>
            <w:gridSpan w:val="32"/>
          </w:tcPr>
          <w:p>
            <w:pPr>
              <w:spacing w:after="0"/>
              <w:rPr>
                <w:rFonts w:ascii="Arial" w:cs="Arial" w:eastAsia="Arial" w:hAnsi="Arial"/>
                <w:sz w:val="18"/>
                <w:szCs w:val="18"/>
                <w:color w:val="0000EE"/>
                <w:w w:val="94"/>
              </w:rPr>
            </w:pPr>
            <w:hyperlink r:id="rId210">
              <w:r>
                <w:rPr>
                  <w:rFonts w:ascii="Arial" w:cs="Arial" w:eastAsia="Arial" w:hAnsi="Arial"/>
                  <w:sz w:val="18"/>
                  <w:szCs w:val="18"/>
                  <w:color w:val="0000EE"/>
                  <w:w w:val="94"/>
                </w:rPr>
                <w:t>Form of Agreement evidencing a grant of Deferred Cash Award to Executive Officers (incorporated by reference to Exhibit 10.42 to the</w:t>
              </w:r>
            </w:hyperlink>
          </w:p>
        </w:tc>
      </w:tr>
      <w:tr>
        <w:trPr>
          <w:trHeight w:val="196"/>
        </w:trPr>
        <w:tc>
          <w:tcPr>
            <w:tcW w:w="12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Registrant’s Annual Report (File No. 001-32492) on Form 10-K filed on March 2, 2009).</w:t>
              </w:r>
            </w:hyperlink>
          </w:p>
        </w:tc>
        <w:tc>
          <w:tcPr>
            <w:tcW w:w="3360" w:type="dxa"/>
            <w:vAlign w:val="bottom"/>
            <w:tcBorders>
              <w:top w:val="single" w:sz="8" w:color="0000EE"/>
            </w:tcBorders>
            <w:gridSpan w:val="9"/>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10.17*</w:t>
            </w:r>
          </w:p>
        </w:tc>
        <w:tc>
          <w:tcPr>
            <w:tcW w:w="10160" w:type="dxa"/>
            <w:vAlign w:val="bottom"/>
            <w:gridSpan w:val="32"/>
          </w:tcPr>
          <w:p>
            <w:pPr>
              <w:spacing w:after="0"/>
              <w:rPr>
                <w:rFonts w:ascii="Arial" w:cs="Arial" w:eastAsia="Arial" w:hAnsi="Arial"/>
                <w:sz w:val="18"/>
                <w:szCs w:val="18"/>
                <w:color w:val="0000EE"/>
                <w:w w:val="93"/>
              </w:rPr>
            </w:pPr>
            <w:hyperlink r:id="rId211">
              <w:r>
                <w:rPr>
                  <w:rFonts w:ascii="Arial" w:cs="Arial" w:eastAsia="Arial" w:hAnsi="Arial"/>
                  <w:sz w:val="18"/>
                  <w:szCs w:val="18"/>
                  <w:color w:val="0000EE"/>
                  <w:w w:val="93"/>
                </w:rPr>
                <w:t>Directors’ Fee Deferral Unit Plan (incorporated by reference to Exhibit 10.39 to the Registrant’s Quarterly Report (File No. 001-32492) on</w:t>
              </w:r>
            </w:hyperlink>
          </w:p>
        </w:tc>
      </w:tr>
      <w:tr>
        <w:trPr>
          <w:trHeight w:val="196"/>
        </w:trPr>
        <w:tc>
          <w:tcPr>
            <w:tcW w:w="12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Form 10-Q filed on May 11, 2006).</w:t>
              </w:r>
            </w:hyperlink>
          </w:p>
        </w:tc>
        <w:tc>
          <w:tcPr>
            <w:tcW w:w="7440" w:type="dxa"/>
            <w:vAlign w:val="bottom"/>
            <w:tcBorders>
              <w:top w:val="single" w:sz="8" w:color="0000EE"/>
            </w:tcBorders>
            <w:gridSpan w:val="2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10.18</w:t>
            </w:r>
          </w:p>
        </w:tc>
        <w:tc>
          <w:tcPr>
            <w:tcW w:w="10040" w:type="dxa"/>
            <w:vAlign w:val="bottom"/>
            <w:tcBorders>
              <w:bottom w:val="single" w:sz="8" w:color="0000EE"/>
            </w:tcBorders>
            <w:gridSpan w:val="29"/>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Amended and Restated Credit Agreement, dated as of September 25, 2015, among Lazard Group LLC, the Banks from time to time parties</w:t>
              </w:r>
            </w:hyperlink>
          </w:p>
        </w:tc>
        <w:tc>
          <w:tcPr>
            <w:tcW w:w="12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EE"/>
                <w:w w:val="93"/>
              </w:rPr>
            </w:pPr>
            <w:hyperlink r:id="rId212">
              <w:r>
                <w:rPr>
                  <w:rFonts w:ascii="Arial" w:cs="Arial" w:eastAsia="Arial" w:hAnsi="Arial"/>
                  <w:sz w:val="18"/>
                  <w:szCs w:val="18"/>
                  <w:color w:val="0000EE"/>
                  <w:w w:val="93"/>
                </w:rPr>
                <w:t>thereto, and Citibank, N.A., as Administrative Agent (incorporated by reference to Exhibit 10.27 to the Registrant’s Quarterly Report (File</w:t>
              </w:r>
            </w:hyperlink>
          </w:p>
        </w:tc>
      </w:tr>
      <w:tr>
        <w:trPr>
          <w:trHeight w:val="196"/>
        </w:trPr>
        <w:tc>
          <w:tcPr>
            <w:tcW w:w="12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No. 001-32492) on Form 10-Q filed on October 28, 2015).</w:t>
              </w:r>
            </w:hyperlink>
          </w:p>
        </w:tc>
        <w:tc>
          <w:tcPr>
            <w:tcW w:w="5740" w:type="dxa"/>
            <w:vAlign w:val="bottom"/>
            <w:tcBorders>
              <w:top w:val="single" w:sz="8" w:color="0000EE"/>
            </w:tcBorders>
            <w:gridSpan w:val="18"/>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10.19*</w:t>
            </w:r>
          </w:p>
        </w:tc>
        <w:tc>
          <w:tcPr>
            <w:tcW w:w="10120" w:type="dxa"/>
            <w:vAlign w:val="bottom"/>
            <w:tcBorders>
              <w:bottom w:val="single" w:sz="8" w:color="0000EE"/>
            </w:tcBorders>
            <w:gridSpan w:val="31"/>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Form of Agreement evidencing a grant of Lazard Fund Interests to Named Executive Officers (incorporated by reference to Exhibit 10.55 to</w:t>
              </w:r>
            </w:hyperlink>
          </w:p>
        </w:tc>
        <w:tc>
          <w:tcPr>
            <w:tcW w:w="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the Registrant’s Quarterly Report (File No. 001-32492) on Form 10-Q filed on May 1, 2013).</w:t>
              </w:r>
            </w:hyperlink>
          </w:p>
        </w:tc>
        <w:tc>
          <w:tcPr>
            <w:tcW w:w="3440" w:type="dxa"/>
            <w:vAlign w:val="bottom"/>
            <w:gridSpan w:val="19"/>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10.20*</w:t>
            </w:r>
          </w:p>
        </w:tc>
        <w:tc>
          <w:tcPr>
            <w:tcW w:w="10020" w:type="dxa"/>
            <w:vAlign w:val="bottom"/>
            <w:tcBorders>
              <w:bottom w:val="single" w:sz="8" w:color="0000EE"/>
            </w:tcBorders>
            <w:gridSpan w:val="28"/>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Form of Agreement evidencing a February 20, 2014 grant of Performance-Based Stock Units under the 2008 Incentive Compensation Plan</w:t>
              </w:r>
            </w:hyperlink>
          </w:p>
        </w:tc>
        <w:tc>
          <w:tcPr>
            <w:tcW w:w="14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EE"/>
                <w:w w:val="94"/>
              </w:rPr>
            </w:pPr>
            <w:hyperlink r:id="rId214">
              <w:r>
                <w:rPr>
                  <w:rFonts w:ascii="Arial" w:cs="Arial" w:eastAsia="Arial" w:hAnsi="Arial"/>
                  <w:sz w:val="18"/>
                  <w:szCs w:val="18"/>
                  <w:color w:val="0000EE"/>
                  <w:w w:val="94"/>
                </w:rPr>
                <w:t>(incorporated by reference to Exhibit 10.55 to the Registrant’s Quarterly Report (File No. 001-32492) on Form 10-Q filed May 6, 2014).</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10.21*</w:t>
            </w:r>
          </w:p>
        </w:tc>
        <w:tc>
          <w:tcPr>
            <w:tcW w:w="10160" w:type="dxa"/>
            <w:vAlign w:val="bottom"/>
            <w:gridSpan w:val="32"/>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Agreement between the Company and Kenneth M. Jacobs, dated as of February 20, 2014, evidencing a grant of Performance-Based Stock</w:t>
              </w:r>
            </w:hyperlink>
          </w:p>
        </w:tc>
      </w:tr>
      <w:tr>
        <w:trPr>
          <w:trHeight w:val="196"/>
        </w:trPr>
        <w:tc>
          <w:tcPr>
            <w:tcW w:w="12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Units under the 2008 Incentive Compensation Plan (incorporated by reference to Exhibit 10.56 to the Registrant’s Quarterly Report</w:t>
              </w:r>
            </w:hyperlink>
          </w:p>
        </w:tc>
        <w:tc>
          <w:tcPr>
            <w:tcW w:w="480" w:type="dxa"/>
            <w:vAlign w:val="bottom"/>
            <w:tcBorders>
              <w:top w:val="single" w:sz="8" w:color="0000EE"/>
            </w:tcBorders>
            <w:gridSpan w:val="8"/>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2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(File No. 001-32492) on Form 10-Q filed on May 6, 2014).</w:t>
              </w:r>
            </w:hyperlink>
          </w:p>
        </w:tc>
        <w:tc>
          <w:tcPr>
            <w:tcW w:w="5880" w:type="dxa"/>
            <w:vAlign w:val="bottom"/>
            <w:gridSpan w:val="23"/>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10.22*</w:t>
            </w:r>
          </w:p>
        </w:tc>
        <w:tc>
          <w:tcPr>
            <w:tcW w:w="10160" w:type="dxa"/>
            <w:vAlign w:val="bottom"/>
            <w:gridSpan w:val="32"/>
          </w:tcPr>
          <w:p>
            <w:pPr>
              <w:spacing w:after="0"/>
              <w:rPr>
                <w:rFonts w:ascii="Arial" w:cs="Arial" w:eastAsia="Arial" w:hAnsi="Arial"/>
                <w:sz w:val="18"/>
                <w:szCs w:val="18"/>
                <w:color w:val="0000EE"/>
                <w:w w:val="95"/>
              </w:rPr>
            </w:pPr>
            <w:hyperlink r:id="rId216">
              <w:r>
                <w:rPr>
                  <w:rFonts w:ascii="Arial" w:cs="Arial" w:eastAsia="Arial" w:hAnsi="Arial"/>
                  <w:sz w:val="18"/>
                  <w:szCs w:val="18"/>
                  <w:color w:val="0000EE"/>
                  <w:w w:val="95"/>
                </w:rPr>
                <w:t>Form of Agreement evidencing a grant of Restricted Stock under the 2008 Incentive Compensation Plan (incorporated by reference to</w:t>
              </w:r>
            </w:hyperlink>
          </w:p>
        </w:tc>
      </w:tr>
      <w:tr>
        <w:trPr>
          <w:trHeight w:val="196"/>
        </w:trPr>
        <w:tc>
          <w:tcPr>
            <w:tcW w:w="1260" w:type="dxa"/>
            <w:vAlign w:val="bottom"/>
          </w:tcPr>
          <w:p>
            <w:pPr>
              <w:spacing w:after="0"/>
              <w:rPr>
                <w:sz w:val="17"/>
                <w:szCs w:val="17"/>
                <w:color w:val="auto"/>
              </w:rPr>
            </w:pPr>
          </w:p>
        </w:tc>
        <w:tc>
          <w:tcPr>
            <w:tcW w:w="9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Exhibit 10.55 to the Registrant’s Quarterly Report (File No. 001-32492) on Form 10-Q filed on April 30, 2010).</w:t>
              </w:r>
            </w:hyperlink>
          </w:p>
        </w:tc>
        <w:tc>
          <w:tcPr>
            <w:tcW w:w="50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10.23*</w:t>
            </w:r>
          </w:p>
        </w:tc>
        <w:tc>
          <w:tcPr>
            <w:tcW w:w="9880" w:type="dxa"/>
            <w:vAlign w:val="bottom"/>
            <w:tcBorders>
              <w:bottom w:val="single" w:sz="8" w:color="0000EE"/>
            </w:tcBorders>
            <w:gridSpan w:val="23"/>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Form of Agreement evidencing a grant of Lazard Fund Interests (incorporated by reference to Exhibit 10.55 to the Registrant’s Quarterly</w:t>
              </w:r>
            </w:hyperlink>
          </w:p>
        </w:tc>
        <w:tc>
          <w:tcPr>
            <w:tcW w:w="28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Report (File No. 001-32492) on Form 10-Q filed on April 29, 2011).</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10.24*</w:t>
            </w:r>
          </w:p>
        </w:tc>
        <w:tc>
          <w:tcPr>
            <w:tcW w:w="9400" w:type="dxa"/>
            <w:vAlign w:val="bottom"/>
            <w:tcBorders>
              <w:bottom w:val="single" w:sz="8" w:color="0000EE"/>
            </w:tcBorders>
            <w:gridSpan w:val="16"/>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Form of Agreement for Performance-Based Profits Interest Participation Right Units under the 2018 Incentive Compensation Plan</w:t>
              </w:r>
            </w:hyperlink>
          </w:p>
        </w:tc>
        <w:tc>
          <w:tcPr>
            <w:tcW w:w="76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color w:val="0000EE"/>
                <w:w w:val="96"/>
              </w:rPr>
            </w:pPr>
            <w:hyperlink r:id="rId218">
              <w:r>
                <w:rPr>
                  <w:rFonts w:ascii="Arial" w:cs="Arial" w:eastAsia="Arial" w:hAnsi="Arial"/>
                  <w:sz w:val="18"/>
                  <w:szCs w:val="18"/>
                  <w:color w:val="0000EE"/>
                  <w:w w:val="96"/>
                </w:rPr>
                <w:t>(incorporated by reference to Exhibit 10.24 to the Registrant’s Quarterly Report (File No. 001-32492) on Form 10-Q filed on April 30,</w:t>
              </w:r>
            </w:hyperlink>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18">
              <w:r>
                <w:rPr>
                  <w:rFonts w:ascii="Arial" w:cs="Arial" w:eastAsia="Arial" w:hAnsi="Arial"/>
                  <w:sz w:val="18"/>
                  <w:szCs w:val="18"/>
                  <w:color w:val="0000EE"/>
                  <w:w w:val="86"/>
                </w:rPr>
                <w:t>2019).</w:t>
              </w:r>
            </w:hyperlink>
          </w:p>
        </w:tc>
        <w:tc>
          <w:tcPr>
            <w:tcW w:w="1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57">
              <w:r>
                <w:rPr>
                  <w:rFonts w:ascii="Arial" w:cs="Arial" w:eastAsia="Arial" w:hAnsi="Arial"/>
                  <w:sz w:val="18"/>
                  <w:szCs w:val="18"/>
                  <w:color w:val="0000EE"/>
                  <w:w w:val="89"/>
                </w:rPr>
                <w:t>Subsidiaries of the Registrant.</w:t>
              </w:r>
            </w:hyperlink>
          </w:p>
        </w:tc>
        <w:tc>
          <w:tcPr>
            <w:tcW w:w="7980" w:type="dxa"/>
            <w:vAlign w:val="bottom"/>
            <w:gridSpan w:val="30"/>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23.1</w:t>
            </w:r>
          </w:p>
        </w:tc>
        <w:tc>
          <w:tcPr>
            <w:tcW w:w="10160" w:type="dxa"/>
            <w:vAlign w:val="bottom"/>
            <w:gridSpan w:val="32"/>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Consent of Independent Registered Public Accounting Firm.</w:t>
              </w:r>
            </w:hyperlink>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Rule 13a-14(a) Certification of Kenneth M. Jacobs.</w:t>
              </w:r>
            </w:hyperlink>
          </w:p>
        </w:tc>
        <w:tc>
          <w:tcPr>
            <w:tcW w:w="640" w:type="dxa"/>
            <w:vAlign w:val="bottom"/>
            <w:tcBorders>
              <w:top w:val="single" w:sz="8" w:color="0000EE"/>
            </w:tcBorders>
            <w:gridSpan w:val="3"/>
          </w:tcPr>
          <w:p>
            <w:pPr>
              <w:spacing w:after="0"/>
              <w:rPr>
                <w:sz w:val="24"/>
                <w:szCs w:val="24"/>
                <w:color w:val="auto"/>
              </w:rPr>
            </w:pPr>
          </w:p>
        </w:tc>
        <w:tc>
          <w:tcPr>
            <w:tcW w:w="5800" w:type="dxa"/>
            <w:vAlign w:val="bottom"/>
            <w:gridSpan w:val="22"/>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31.2</w:t>
            </w:r>
          </w:p>
        </w:tc>
        <w:tc>
          <w:tcPr>
            <w:tcW w:w="10160" w:type="dxa"/>
            <w:vAlign w:val="bottom"/>
            <w:gridSpan w:val="3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Rule 13a-14(a) Certification of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20" w:type="dxa"/>
            <w:vAlign w:val="bottom"/>
            <w:gridSpan w:val="26"/>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Section 1350 Certification for Kenneth M. Jacobs.</w:t>
              </w:r>
            </w:hyperlink>
          </w:p>
        </w:tc>
        <w:tc>
          <w:tcPr>
            <w:tcW w:w="6520" w:type="dxa"/>
            <w:vAlign w:val="bottom"/>
            <w:gridSpan w:val="26"/>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32.2</w:t>
            </w:r>
          </w:p>
        </w:tc>
        <w:tc>
          <w:tcPr>
            <w:tcW w:w="10160" w:type="dxa"/>
            <w:vAlign w:val="bottom"/>
            <w:gridSpan w:val="32"/>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Section 1350 Certification for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6860" w:type="dxa"/>
            <w:vAlign w:val="bottom"/>
            <w:gridSpan w:val="28"/>
          </w:tcPr>
          <w:p>
            <w:pPr>
              <w:spacing w:after="0" w:line="20" w:lineRule="exact"/>
              <w:rPr>
                <w:sz w:val="1"/>
                <w:szCs w:val="1"/>
                <w:color w:val="auto"/>
              </w:rPr>
            </w:pPr>
          </w:p>
        </w:tc>
      </w:tr>
      <w:tr>
        <w:trPr>
          <w:trHeight w:val="344"/>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32"/>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iXBRL tags are embedded</w:t>
            </w:r>
          </w:p>
        </w:tc>
      </w:tr>
      <w:tr>
        <w:trPr>
          <w:trHeight w:val="230"/>
        </w:trPr>
        <w:tc>
          <w:tcPr>
            <w:tcW w:w="1260" w:type="dxa"/>
            <w:vAlign w:val="bottom"/>
          </w:tcPr>
          <w:p>
            <w:pPr>
              <w:spacing w:after="0"/>
              <w:rPr>
                <w:sz w:val="20"/>
                <w:szCs w:val="20"/>
                <w:color w:val="auto"/>
              </w:rPr>
            </w:pPr>
          </w:p>
        </w:tc>
        <w:tc>
          <w:tcPr>
            <w:tcW w:w="10160" w:type="dxa"/>
            <w:vAlign w:val="bottom"/>
            <w:gridSpan w:val="32"/>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260" w:type="dxa"/>
            <w:vAlign w:val="bottom"/>
          </w:tcPr>
          <w:p>
            <w:pPr>
              <w:spacing w:after="0"/>
              <w:rPr>
                <w:sz w:val="24"/>
                <w:szCs w:val="24"/>
                <w:color w:val="auto"/>
              </w:rPr>
            </w:pPr>
          </w:p>
        </w:tc>
        <w:tc>
          <w:tcPr>
            <w:tcW w:w="4940" w:type="dxa"/>
            <w:vAlign w:val="bottom"/>
            <w:gridSpan w:val="11"/>
          </w:tcPr>
          <w:p>
            <w:pPr>
              <w:ind w:left="4320"/>
              <w:spacing w:after="0"/>
              <w:rPr>
                <w:sz w:val="20"/>
                <w:szCs w:val="20"/>
                <w:color w:val="auto"/>
              </w:rPr>
            </w:pPr>
            <w:r>
              <w:rPr>
                <w:rFonts w:ascii="Arial" w:cs="Arial" w:eastAsia="Arial" w:hAnsi="Arial"/>
                <w:sz w:val="18"/>
                <w:szCs w:val="18"/>
                <w:color w:val="auto"/>
              </w:rPr>
              <w:t>139</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440" w:type="dxa"/>
            <w:vAlign w:val="bottom"/>
          </w:tcPr>
          <w:p>
            <w:pPr>
              <w:ind w:left="28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44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338"/>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440" w:type="dxa"/>
            <w:vAlign w:val="bottom"/>
          </w:tcPr>
          <w:p>
            <w:pPr>
              <w:ind w:left="28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107" w:lineRule="exact"/>
        <w:rPr>
          <w:sz w:val="20"/>
          <w:szCs w:val="20"/>
          <w:color w:val="auto"/>
        </w:rPr>
      </w:pPr>
    </w:p>
    <w:p>
      <w:pPr>
        <w:ind w:left="1260" w:hanging="1252"/>
        <w:spacing w:after="0"/>
        <w:tabs>
          <w:tab w:leader="none" w:pos="12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1150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15(a)(1) AND 15(a)(2)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11"/>
            <w:vMerge w:val="restart"/>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Management’s Report on Internal Control Over Financial Reporting</w:t>
              </w:r>
            </w:hyperlink>
          </w:p>
        </w:tc>
        <w:tc>
          <w:tcPr>
            <w:tcW w:w="5680" w:type="dxa"/>
            <w:vAlign w:val="bottom"/>
            <w:gridSpan w:val="10"/>
            <w:vMerge w:val="restart"/>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11"/>
            <w:vMerge w:val="continue"/>
          </w:tcPr>
          <w:p>
            <w:pPr>
              <w:spacing w:after="0"/>
              <w:rPr>
                <w:sz w:val="13"/>
                <w:szCs w:val="13"/>
                <w:color w:val="auto"/>
              </w:rPr>
            </w:pPr>
          </w:p>
        </w:tc>
        <w:tc>
          <w:tcPr>
            <w:tcW w:w="5680" w:type="dxa"/>
            <w:vAlign w:val="bottom"/>
            <w:gridSpan w:val="10"/>
            <w:vMerge w:val="continue"/>
          </w:tcPr>
          <w:p>
            <w:pPr>
              <w:spacing w:after="0"/>
              <w:rPr>
                <w:sz w:val="13"/>
                <w:szCs w:val="13"/>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Reports of Independent Registered Public Accounting Firm</w:t>
              </w:r>
            </w:hyperlink>
          </w:p>
        </w:tc>
        <w:tc>
          <w:tcPr>
            <w:tcW w:w="6300" w:type="dxa"/>
            <w:vAlign w:val="bottom"/>
            <w:gridSpan w:val="11"/>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58"/>
        </w:trPr>
        <w:tc>
          <w:tcPr>
            <w:tcW w:w="10600" w:type="dxa"/>
            <w:vAlign w:val="bottom"/>
            <w:gridSpan w:val="21"/>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Financial Condition as of December 31, 2019 and 2018</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0" w:type="dxa"/>
            <w:vAlign w:val="bottom"/>
            <w:gridSpan w:val="2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years ended December 31, 2019, 2018 and 2017</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18"/>
        </w:trPr>
        <w:tc>
          <w:tcPr>
            <w:tcW w:w="67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Consolidated Statements of Comprehensive Income for the years ended December 31, 2019,</w:t>
              </w:r>
            </w:hyperlink>
          </w:p>
        </w:tc>
        <w:tc>
          <w:tcPr>
            <w:tcW w:w="140" w:type="dxa"/>
            <w:vAlign w:val="bottom"/>
            <w:tcBorders>
              <w:top w:val="single" w:sz="8" w:color="0000EE"/>
            </w:tcBorders>
          </w:tcPr>
          <w:p>
            <w:pPr>
              <w:spacing w:after="0"/>
              <w:rPr>
                <w:sz w:val="24"/>
                <w:szCs w:val="24"/>
                <w:color w:val="auto"/>
              </w:rPr>
            </w:pPr>
          </w:p>
        </w:tc>
        <w:tc>
          <w:tcPr>
            <w:tcW w:w="374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2018 and 2017</w:t>
              </w:r>
            </w:hyperlink>
          </w:p>
        </w:tc>
        <w:tc>
          <w:tcPr>
            <w:tcW w:w="9300" w:type="dxa"/>
            <w:vAlign w:val="bottom"/>
            <w:gridSpan w:val="16"/>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 for the years ended December 31, 2019, 2018 and 2017</w:t>
              </w:r>
            </w:hyperlink>
          </w:p>
        </w:tc>
        <w:tc>
          <w:tcPr>
            <w:tcW w:w="3680" w:type="dxa"/>
            <w:vAlign w:val="bottom"/>
            <w:gridSpan w:val="5"/>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8"/>
        </w:trPr>
        <w:tc>
          <w:tcPr>
            <w:tcW w:w="73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Consolidated Statements of Changes in Stockholders’ Equity for the years ended December 31, 2019,</w:t>
              </w:r>
            </w:hyperlink>
          </w:p>
        </w:tc>
        <w:tc>
          <w:tcPr>
            <w:tcW w:w="3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2018 and 2017</w:t>
              </w:r>
            </w:hyperlink>
          </w:p>
        </w:tc>
        <w:tc>
          <w:tcPr>
            <w:tcW w:w="9300" w:type="dxa"/>
            <w:vAlign w:val="bottom"/>
            <w:gridSpan w:val="16"/>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3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Notes to Consolidated Financial Statements</w:t>
              </w:r>
            </w:hyperlink>
          </w:p>
        </w:tc>
        <w:tc>
          <w:tcPr>
            <w:tcW w:w="7440" w:type="dxa"/>
            <w:vAlign w:val="bottom"/>
            <w:gridSpan w:val="1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7"/>
          </w:tcPr>
          <w:p>
            <w:pPr>
              <w:spacing w:after="0"/>
              <w:rPr>
                <w:rFonts w:ascii="Arial" w:cs="Arial" w:eastAsia="Arial" w:hAnsi="Arial"/>
                <w:sz w:val="18"/>
                <w:szCs w:val="18"/>
                <w:b w:val="1"/>
                <w:bCs w:val="1"/>
                <w:color w:val="0000EE"/>
                <w:w w:val="91"/>
              </w:rPr>
            </w:pPr>
            <w:hyperlink w:anchor="page135">
              <w:r>
                <w:rPr>
                  <w:rFonts w:ascii="Arial" w:cs="Arial" w:eastAsia="Arial" w:hAnsi="Arial"/>
                  <w:sz w:val="18"/>
                  <w:szCs w:val="18"/>
                  <w:b w:val="1"/>
                  <w:bCs w:val="1"/>
                  <w:color w:val="0000EE"/>
                  <w:w w:val="91"/>
                </w:rPr>
                <w:t>Supplemental Financial Information</w:t>
              </w:r>
            </w:hyperlink>
          </w:p>
        </w:tc>
        <w:tc>
          <w:tcPr>
            <w:tcW w:w="7780" w:type="dxa"/>
            <w:vAlign w:val="bottom"/>
            <w:gridSpan w:val="14"/>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Quarterly Results</w:t>
              </w:r>
            </w:hyperlink>
          </w:p>
        </w:tc>
        <w:tc>
          <w:tcPr>
            <w:tcW w:w="9320" w:type="dxa"/>
            <w:vAlign w:val="bottom"/>
            <w:gridSpan w:val="17"/>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58"/>
        </w:trPr>
        <w:tc>
          <w:tcPr>
            <w:tcW w:w="10600" w:type="dxa"/>
            <w:vAlign w:val="bottom"/>
            <w:gridSpan w:val="21"/>
          </w:tcPr>
          <w:p>
            <w:pPr>
              <w:spacing w:after="0"/>
              <w:rPr>
                <w:sz w:val="20"/>
                <w:szCs w:val="20"/>
                <w:color w:val="auto"/>
              </w:rPr>
            </w:pPr>
            <w:r>
              <w:rPr>
                <w:rFonts w:ascii="Arial" w:cs="Arial" w:eastAsia="Arial" w:hAnsi="Arial"/>
                <w:sz w:val="18"/>
                <w:szCs w:val="18"/>
                <w:b w:val="1"/>
                <w:bCs w:val="1"/>
                <w:color w:val="auto"/>
              </w:rPr>
              <w:t>Financial Statement Schedules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00" w:type="dxa"/>
            <w:vAlign w:val="bottom"/>
            <w:gridSpan w:val="21"/>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4">
              <w:r>
                <w:rPr>
                  <w:rFonts w:ascii="Arial" w:cs="Arial" w:eastAsia="Arial" w:hAnsi="Arial"/>
                  <w:sz w:val="18"/>
                  <w:szCs w:val="18"/>
                  <w:color w:val="0000EE"/>
                  <w:w w:val="89"/>
                </w:rPr>
                <w:t>Condensed Statements of Financial Condition as of December 31, 2019 and 2018</w:t>
              </w:r>
            </w:hyperlink>
          </w:p>
        </w:tc>
        <w:tc>
          <w:tcPr>
            <w:tcW w:w="4280" w:type="dxa"/>
            <w:vAlign w:val="bottom"/>
            <w:gridSpan w:val="8"/>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Condensed Statements of Operations for the years ended December 31, 2019, 2018 and 2017</w:t>
              </w:r>
            </w:hyperlink>
          </w:p>
        </w:tc>
        <w:tc>
          <w:tcPr>
            <w:tcW w:w="3440" w:type="dxa"/>
            <w:vAlign w:val="bottom"/>
            <w:gridSpan w:val="3"/>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Condensed Statements of Comprehensive Income for the years ended December 31, 2019,</w:t>
              </w:r>
            </w:hyperlink>
          </w:p>
        </w:tc>
        <w:tc>
          <w:tcPr>
            <w:tcW w:w="360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2018 and 2017</w:t>
              </w:r>
            </w:hyperlink>
          </w:p>
        </w:tc>
        <w:tc>
          <w:tcPr>
            <w:tcW w:w="8860" w:type="dxa"/>
            <w:vAlign w:val="bottom"/>
            <w:gridSpan w:val="15"/>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9"/>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Condensed Statements of Cash Flows for the years ended December 31, 2019, 2018 and 2017</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7"/>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Notes to Condensed Financial Statements</w:t>
              </w:r>
            </w:hyperlink>
          </w:p>
        </w:tc>
        <w:tc>
          <w:tcPr>
            <w:tcW w:w="3400" w:type="dxa"/>
            <w:vAlign w:val="bottom"/>
            <w:gridSpan w:val="2"/>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2,734</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subsidiaries, equity method</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(1,259,668)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(1,275,357)</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Due from subsidiaries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1,872,940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2,191,915</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616,014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920,713</w:t>
            </w:r>
          </w:p>
        </w:tc>
        <w:tc>
          <w:tcPr>
            <w:tcW w:w="12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subsidiaries</w:t>
            </w:r>
          </w:p>
        </w:tc>
        <w:tc>
          <w:tcPr>
            <w:tcW w:w="1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A—no shares issued and outstanding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Series B—no shares issued and outstanding</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64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112,766,091 and 129,766,091 shares issued at December 31, 2019</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and 2018, respectively, including shares held by subsidiaries as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Pr>
          <w:p>
            <w:pPr>
              <w:ind w:left="640"/>
              <w:spacing w:after="0"/>
              <w:rPr>
                <w:sz w:val="20"/>
                <w:szCs w:val="20"/>
                <w:color w:val="auto"/>
              </w:rPr>
            </w:pPr>
            <w:r>
              <w:rPr>
                <w:rFonts w:ascii="Arial" w:cs="Arial" w:eastAsia="Arial" w:hAnsi="Arial"/>
                <w:sz w:val="18"/>
                <w:szCs w:val="18"/>
                <w:color w:val="auto"/>
              </w:rPr>
              <w:t>indicated below)</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750,692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1,193,570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1,195,563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(293,648)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(273,818)</w:t>
            </w:r>
          </w:p>
        </w:tc>
      </w:tr>
      <w:tr>
        <w:trPr>
          <w:trHeight w:val="223"/>
        </w:trPr>
        <w:tc>
          <w:tcPr>
            <w:tcW w:w="6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1,673,735</w:t>
            </w: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(8,513,493 and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17,574,805 shares at December 31, 2019 and 2018,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(332,079)</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(756,884)</w:t>
            </w: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609,991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916,851</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616,014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920,713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153,450</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392,574</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145,008</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135,220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136,399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110,381</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288,670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528,973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255,389</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286,500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shd w:val="clear" w:color="auto" w:fill="CFF0FC"/>
          </w:tcPr>
          <w:p>
            <w:pPr>
              <w:spacing w:after="0"/>
              <w:rPr>
                <w:sz w:val="19"/>
                <w:szCs w:val="19"/>
                <w:color w:val="auto"/>
              </w:rPr>
            </w:pPr>
          </w:p>
        </w:tc>
      </w:tr>
      <w:tr>
        <w:trPr>
          <w:trHeight w:val="205"/>
        </w:trPr>
        <w:tc>
          <w:tcPr>
            <w:tcW w:w="568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(46,601)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71,668</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benefit of $17 and $543</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years ended December 31, 2019 and 2018,</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5680" w:type="dxa"/>
            <w:vAlign w:val="bottom"/>
          </w:tcPr>
          <w:p>
            <w:pPr>
              <w:ind w:left="500"/>
              <w:spacing w:after="0"/>
              <w:rPr>
                <w:sz w:val="20"/>
                <w:szCs w:val="20"/>
                <w:color w:val="auto"/>
              </w:rPr>
            </w:pPr>
            <w:r>
              <w:rPr>
                <w:rFonts w:ascii="Arial" w:cs="Arial" w:eastAsia="Arial" w:hAnsi="Arial"/>
                <w:sz w:val="18"/>
                <w:szCs w:val="18"/>
                <w:color w:val="auto"/>
              </w:rPr>
              <w:t>Actuarial gain (loss) (net of tax expense (benefit) of</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Pr>
          <w:p>
            <w:pPr>
              <w:ind w:left="640"/>
              <w:spacing w:after="0"/>
              <w:rPr>
                <w:sz w:val="20"/>
                <w:szCs w:val="20"/>
                <w:color w:val="auto"/>
              </w:rPr>
            </w:pPr>
            <w:r>
              <w:rPr>
                <w:rFonts w:ascii="Arial" w:cs="Arial" w:eastAsia="Arial" w:hAnsi="Arial"/>
                <w:sz w:val="18"/>
                <w:szCs w:val="18"/>
                <w:color w:val="auto"/>
              </w:rPr>
              <w:t>$(9,219), $131 and $(3,507) for the years ended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80" w:type="dxa"/>
            <w:vAlign w:val="bottom"/>
          </w:tcPr>
          <w:p>
            <w:pPr>
              <w:ind w:left="640"/>
              <w:spacing w:after="0"/>
              <w:rPr>
                <w:sz w:val="20"/>
                <w:szCs w:val="20"/>
                <w:color w:val="auto"/>
              </w:rPr>
            </w:pPr>
            <w:r>
              <w:rPr>
                <w:rFonts w:ascii="Arial" w:cs="Arial" w:eastAsia="Arial" w:hAnsi="Arial"/>
                <w:sz w:val="18"/>
                <w:szCs w:val="18"/>
                <w:color w:val="auto"/>
              </w:rPr>
              <w:t>December 31, 2019, 2018 and 2017, respectively)</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(34,014)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0"/>
                <w:szCs w:val="20"/>
                <w:color w:val="auto"/>
              </w:rPr>
            </w:pPr>
          </w:p>
        </w:tc>
      </w:tr>
      <w:tr>
        <w:trPr>
          <w:trHeight w:val="215"/>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for items reclassified to earnings (net of tax</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expense of $1,167, $2,335 and $2,220 for the</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years ended December 31, 2019, 2018 and 2017,</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11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100" w:type="dxa"/>
            <w:vAlign w:val="bottom"/>
            <w:shd w:val="clear" w:color="auto" w:fill="CFF0FC"/>
          </w:tcPr>
          <w:p>
            <w:pPr>
              <w:spacing w:after="0"/>
              <w:rPr>
                <w:sz w:val="20"/>
                <w:szCs w:val="20"/>
                <w:color w:val="auto"/>
              </w:rPr>
            </w:pPr>
          </w:p>
        </w:tc>
      </w:tr>
      <w:tr>
        <w:trPr>
          <w:trHeight w:val="205"/>
        </w:trPr>
        <w:tc>
          <w:tcPr>
            <w:tcW w:w="568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(41,300)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81,704</w:t>
            </w:r>
          </w:p>
        </w:tc>
        <w:tc>
          <w:tcPr>
            <w:tcW w:w="100" w:type="dxa"/>
            <w:vAlign w:val="bottom"/>
          </w:tcPr>
          <w:p>
            <w:pPr>
              <w:spacing w:after="0"/>
              <w:rPr>
                <w:sz w:val="20"/>
                <w:szCs w:val="20"/>
                <w:color w:val="auto"/>
              </w:rPr>
            </w:pP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485,825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527,125</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Pr>
          <w:p>
            <w:pPr>
              <w:spacing w:after="0"/>
              <w:rPr>
                <w:sz w:val="19"/>
                <w:szCs w:val="19"/>
                <w:color w:val="auto"/>
              </w:rPr>
            </w:pPr>
          </w:p>
        </w:tc>
      </w:tr>
      <w:tr>
        <w:trPr>
          <w:trHeight w:val="215"/>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(153,450)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(392,574)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(145,008)</w:t>
            </w: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received from subsidiaries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189,786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63,822</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Changes in due to/from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169,056</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1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253,522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359,854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341,480</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Capital contribution to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5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dividends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(254,924)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(359,639)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(341,450)</w:t>
            </w:r>
          </w:p>
        </w:tc>
      </w:tr>
      <w:tr>
        <w:trPr>
          <w:trHeight w:val="223"/>
        </w:trPr>
        <w:tc>
          <w:tcPr>
            <w:tcW w:w="5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(254,924)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(359,639)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(341,450)</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January 1</w:t>
            </w: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December 31</w:t>
            </w:r>
          </w:p>
        </w:tc>
        <w:tc>
          <w:tcPr>
            <w:tcW w:w="1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7" w:name="page148"/>
    <w:bookmarkEnd w:id="147"/>
    <w:p>
      <w:pPr>
        <w:jc w:val="center"/>
        <w:ind w:right="-159"/>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6" w:lineRule="exact"/>
        <w:rPr>
          <w:sz w:val="20"/>
          <w:szCs w:val="20"/>
          <w:color w:val="auto"/>
        </w:rPr>
      </w:pPr>
    </w:p>
    <w:p>
      <w:pPr>
        <w:ind w:left="600" w:hanging="592"/>
        <w:spacing w:after="0"/>
        <w:tabs>
          <w:tab w:leader="none" w:pos="60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14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Parent Company Financial Statements as of December 31, 2019 and 2018, and for each of the three years in the period ended December 31, 2019,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26498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Chairman, Chief Executive Officer and 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Evan L. Russo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8"/>
              </w:rPr>
              <w:t>Evan L. Russo</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0"/>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Iris Knobloch</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6"/>
              </w:rPr>
              <w:t>Iris Knobloch</w:t>
            </w:r>
          </w:p>
        </w:tc>
        <w:tc>
          <w:tcPr>
            <w:tcW w:w="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4"/>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24, 2020</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782"/>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2"/>
          </w:tcPr>
          <w:p>
            <w:pPr>
              <w:ind w:left="1700"/>
              <w:spacing w:after="0"/>
              <w:rPr>
                <w:sz w:val="20"/>
                <w:szCs w:val="20"/>
                <w:color w:val="auto"/>
              </w:rPr>
            </w:pPr>
            <w:r>
              <w:rPr>
                <w:rFonts w:ascii="Arial" w:cs="Arial" w:eastAsia="Arial" w:hAnsi="Arial"/>
                <w:sz w:val="18"/>
                <w:szCs w:val="18"/>
                <w:color w:val="auto"/>
              </w:rPr>
              <w:t>II-1</w:t>
            </w: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4.8</w:t>
      </w: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Arial" w:cs="Arial" w:eastAsia="Arial" w:hAnsi="Arial"/>
          <w:sz w:val="22"/>
          <w:szCs w:val="22"/>
          <w:b w:val="1"/>
          <w:bCs w:val="1"/>
          <w:u w:val="single" w:color="auto"/>
          <w:color w:val="auto"/>
        </w:rPr>
        <w:t>DESCRIPTION OF LAZARD LTD’S SECURITIES</w:t>
      </w:r>
    </w:p>
    <w:p>
      <w:pPr>
        <w:spacing w:after="0" w:line="4" w:lineRule="exact"/>
        <w:rPr>
          <w:sz w:val="20"/>
          <w:szCs w:val="20"/>
          <w:color w:val="auto"/>
        </w:rPr>
      </w:pPr>
    </w:p>
    <w:p>
      <w:pPr>
        <w:ind w:left="3480"/>
        <w:spacing w:after="0"/>
        <w:rPr>
          <w:sz w:val="20"/>
          <w:szCs w:val="20"/>
          <w:color w:val="auto"/>
        </w:rPr>
      </w:pPr>
      <w:r>
        <w:rPr>
          <w:rFonts w:ascii="Arial" w:cs="Arial" w:eastAsia="Arial" w:hAnsi="Arial"/>
          <w:sz w:val="22"/>
          <w:szCs w:val="22"/>
          <w:b w:val="1"/>
          <w:bCs w:val="1"/>
          <w:u w:val="single" w:color="auto"/>
          <w:color w:val="auto"/>
        </w:rPr>
        <w:t>REGISTERED UNDER SECTION 12 OF THE</w:t>
      </w:r>
    </w:p>
    <w:p>
      <w:pPr>
        <w:ind w:left="3740"/>
        <w:spacing w:after="0"/>
        <w:rPr>
          <w:sz w:val="20"/>
          <w:szCs w:val="20"/>
          <w:color w:val="auto"/>
        </w:rPr>
      </w:pPr>
      <w:r>
        <w:rPr>
          <w:rFonts w:ascii="Arial" w:cs="Arial" w:eastAsia="Arial" w:hAnsi="Arial"/>
          <w:sz w:val="22"/>
          <w:szCs w:val="22"/>
          <w:b w:val="1"/>
          <w:bCs w:val="1"/>
          <w:u w:val="single" w:color="auto"/>
          <w:color w:val="auto"/>
        </w:rPr>
        <w:t>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Class A Common Stock</w:t>
      </w:r>
    </w:p>
    <w:p>
      <w:pPr>
        <w:spacing w:after="0" w:line="219" w:lineRule="exact"/>
        <w:rPr>
          <w:sz w:val="20"/>
          <w:szCs w:val="20"/>
          <w:color w:val="auto"/>
        </w:rPr>
      </w:pPr>
    </w:p>
    <w:p>
      <w:pPr>
        <w:ind w:right="60" w:firstLine="950"/>
        <w:spacing w:after="0" w:line="279" w:lineRule="auto"/>
        <w:rPr>
          <w:sz w:val="20"/>
          <w:szCs w:val="20"/>
          <w:color w:val="auto"/>
        </w:rPr>
      </w:pPr>
      <w:r>
        <w:rPr>
          <w:rFonts w:ascii="Arial" w:cs="Arial" w:eastAsia="Arial" w:hAnsi="Arial"/>
          <w:sz w:val="17"/>
          <w:szCs w:val="17"/>
          <w:color w:val="auto"/>
        </w:rPr>
        <w:t>The following description of Lazard Ltd’s Class A common stock is only a summary and does not purport to be complete. It is subject to and qualified in its entirety by reference to applicable law, our Certificate of Incorporation and Memorandum of Association (the “Memorandum of Association”) and our Bye-Laws (the “Bye-Laws”), each of which is filed as an exhibit to this Annual Report on Form 10-K and is incorporated by reference herein. We encourage you to read the Memorandum of Association and the Bye-Laws for additional information.</w:t>
      </w:r>
    </w:p>
    <w:p>
      <w:pPr>
        <w:spacing w:after="0" w:line="171" w:lineRule="exact"/>
        <w:rPr>
          <w:sz w:val="20"/>
          <w:szCs w:val="20"/>
          <w:color w:val="auto"/>
        </w:rPr>
      </w:pPr>
    </w:p>
    <w:p>
      <w:pPr>
        <w:ind w:right="580" w:firstLine="950"/>
        <w:spacing w:after="0" w:line="277" w:lineRule="auto"/>
        <w:rPr>
          <w:sz w:val="20"/>
          <w:szCs w:val="20"/>
          <w:color w:val="auto"/>
        </w:rPr>
      </w:pPr>
      <w:r>
        <w:rPr>
          <w:rFonts w:ascii="Arial" w:cs="Arial" w:eastAsia="Arial" w:hAnsi="Arial"/>
          <w:sz w:val="18"/>
          <w:szCs w:val="18"/>
          <w:color w:val="auto"/>
        </w:rPr>
        <w:t>In this description, references to “we,” “our,” “ours,” “us” and “Company” refer only to Lazard Ltd and not to any of its direct or indirect subsidiaries or affiliates except as expressly provided.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currently have 500,000,000 authorized shares of Class A common stock, par value $0.01 per share.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firstLine="950"/>
        <w:spacing w:after="0" w:line="268" w:lineRule="auto"/>
        <w:rPr>
          <w:sz w:val="20"/>
          <w:szCs w:val="20"/>
          <w:color w:val="auto"/>
        </w:rPr>
      </w:pPr>
      <w:r>
        <w:rPr>
          <w:rFonts w:ascii="Arial" w:cs="Arial" w:eastAsia="Arial" w:hAnsi="Arial"/>
          <w:sz w:val="17"/>
          <w:szCs w:val="17"/>
          <w:color w:val="auto"/>
        </w:rPr>
        <w:t>Each share of our Class A common stock entitles its holder to one vote per share. The members of our board of directors are elected by the Class A common stockholders, subject to any voting rights granted to holders of any preference shares. Generally, in matters other than the election of directors, all matters to be voted on by stockholders must be approved in a general meeting by a majority of the votes cast by holders of our Class A common stock present in person or represented by proxy, subject to any voting rights granted to holders of any preference shares. However, except as otherwise provided by law, and subject to any voting rights granted to holders of any preference shares, mergers, amalgamations, consolidations and similar transactions, dispositions of all or substantially all our property or assets, amendments to the Memorandum of Association or Bye-Laws and any removal of a director for cause must be approved by a majority of the votes entitled to be cast by all the holders of our outstanding Class A common stock. Furthermore, amendments to the Bye-Laws that would alter, revoke or amend provisions of the Bye-Laws relating to the size or classified nature of the board of directors, the election of directors, the ability to remove directors only for cause, the exemption and indemnification of directors, and certain other matters must be approved by at least 66 2/3% of the votes entitled to be cast by all holders of our Class A common stock, subject to any voting rights granted to holders of any preference shares. In addition, amendments to the Bye-Laws that would alter the rights of the Class A common stock also must be approved in a general meeting by a majority of the votes cast by holders of Class A common stock present in person or represented by proxy. There are no limitations on the right of non-Bermudians or non-residents of Bermuda to hold our Class A common stock.</w:t>
      </w:r>
    </w:p>
    <w:p>
      <w:pPr>
        <w:spacing w:after="0" w:line="188" w:lineRule="exact"/>
        <w:rPr>
          <w:sz w:val="20"/>
          <w:szCs w:val="20"/>
          <w:color w:val="auto"/>
        </w:rPr>
      </w:pPr>
    </w:p>
    <w:p>
      <w:pPr>
        <w:ind w:right="180" w:firstLine="950"/>
        <w:spacing w:after="0" w:line="277" w:lineRule="auto"/>
        <w:rPr>
          <w:sz w:val="20"/>
          <w:szCs w:val="20"/>
          <w:color w:val="auto"/>
        </w:rPr>
      </w:pPr>
      <w:r>
        <w:rPr>
          <w:rFonts w:ascii="Arial" w:cs="Arial" w:eastAsia="Arial" w:hAnsi="Arial"/>
          <w:sz w:val="18"/>
          <w:szCs w:val="18"/>
          <w:color w:val="auto"/>
        </w:rPr>
        <w:t>Directors are generally elected at an annual general meeting by a plurality of votes of holders of Class A common stock voting on the election, subject to any voting rights granted to holders of 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Pursuant to our Bye-Laws, each share of our Class A common stock is entitled to equal economic rights.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Subject to compliance with applicable law, we currently intend to declare quarterly dividends on all outstanding shares of our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firstLine="950"/>
        <w:spacing w:after="0" w:line="259" w:lineRule="auto"/>
        <w:rPr>
          <w:sz w:val="20"/>
          <w:szCs w:val="20"/>
          <w:color w:val="auto"/>
        </w:rPr>
      </w:pPr>
      <w:r>
        <w:rPr>
          <w:rFonts w:ascii="Arial" w:cs="Arial" w:eastAsia="Arial" w:hAnsi="Arial"/>
          <w:sz w:val="18"/>
          <w:szCs w:val="18"/>
          <w:color w:val="auto"/>
        </w:rPr>
        <w:t>The declaration of any dividends and, if declared, the amount of any such dividend, will be subject to the actual future earnings, cash flow and capital requirements of our Company, to the amount of distributions to us from Lazard Group LLC (“Lazard Group”), a Delaware limited liability company that is the current holding company for substantially all of the subsidiaries that conduct our business and to the discretion of our board of directors. Our board of directors will take into account:</w:t>
      </w:r>
    </w:p>
    <w:p>
      <w:pPr>
        <w:spacing w:after="0" w:line="187" w:lineRule="exact"/>
        <w:rPr>
          <w:sz w:val="20"/>
          <w:szCs w:val="20"/>
          <w:color w:val="auto"/>
        </w:rPr>
      </w:pPr>
    </w:p>
    <w:p>
      <w:pPr>
        <w:ind w:left="1620" w:hanging="667"/>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25" w:lineRule="exact"/>
        <w:rPr>
          <w:rFonts w:ascii="Arial" w:cs="Arial" w:eastAsia="Arial" w:hAnsi="Arial"/>
          <w:sz w:val="18"/>
          <w:szCs w:val="18"/>
          <w:color w:val="auto"/>
        </w:rPr>
      </w:pPr>
    </w:p>
    <w:p>
      <w:pPr>
        <w:ind w:left="1620" w:hanging="667"/>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financial results;</w:t>
      </w:r>
    </w:p>
    <w:p>
      <w:pPr>
        <w:spacing w:after="0" w:line="225" w:lineRule="exact"/>
        <w:rPr>
          <w:rFonts w:ascii="Arial" w:cs="Arial" w:eastAsia="Arial" w:hAnsi="Arial"/>
          <w:sz w:val="18"/>
          <w:szCs w:val="18"/>
          <w:color w:val="auto"/>
        </w:rPr>
      </w:pPr>
    </w:p>
    <w:p>
      <w:pPr>
        <w:ind w:left="1620" w:hanging="667"/>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capital requirements of our subsidiaries;</w:t>
      </w:r>
    </w:p>
    <w:p>
      <w:pPr>
        <w:spacing w:after="0" w:line="225" w:lineRule="exact"/>
        <w:rPr>
          <w:rFonts w:ascii="Arial" w:cs="Arial" w:eastAsia="Arial" w:hAnsi="Arial"/>
          <w:sz w:val="18"/>
          <w:szCs w:val="18"/>
          <w:color w:val="auto"/>
        </w:rPr>
      </w:pPr>
    </w:p>
    <w:p>
      <w:pPr>
        <w:ind w:left="1620" w:right="220" w:hanging="667"/>
        <w:spacing w:after="0" w:line="277" w:lineRule="auto"/>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contractual, legal, tax and regulatory restrictions on and implications of the payment of dividends by us to our shareholders or by our subsidiaries (including Lazard Group) to us; and</w:t>
      </w:r>
    </w:p>
    <w:p>
      <w:pPr>
        <w:spacing w:after="0" w:line="170" w:lineRule="exact"/>
        <w:rPr>
          <w:rFonts w:ascii="Arial" w:cs="Arial" w:eastAsia="Arial" w:hAnsi="Arial"/>
          <w:sz w:val="18"/>
          <w:szCs w:val="18"/>
          <w:color w:val="auto"/>
        </w:rPr>
      </w:pPr>
    </w:p>
    <w:p>
      <w:pPr>
        <w:ind w:left="1620" w:hanging="667"/>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225" w:lineRule="exact"/>
        <w:rPr>
          <w:sz w:val="20"/>
          <w:szCs w:val="20"/>
          <w:color w:val="auto"/>
        </w:rPr>
      </w:pPr>
    </w:p>
    <w:p>
      <w:pPr>
        <w:ind w:right="220" w:firstLine="950"/>
        <w:spacing w:after="0" w:line="264" w:lineRule="auto"/>
        <w:rPr>
          <w:sz w:val="20"/>
          <w:szCs w:val="20"/>
          <w:color w:val="auto"/>
        </w:rPr>
      </w:pPr>
      <w:r>
        <w:rPr>
          <w:rFonts w:ascii="Arial" w:cs="Arial" w:eastAsia="Arial" w:hAnsi="Arial"/>
          <w:sz w:val="18"/>
          <w:szCs w:val="18"/>
          <w:color w:val="auto"/>
        </w:rPr>
        <w:t>We are a holding company and have no direct operations. As a result, we depend upon distributions from Lazard Group to pay any dividends. We expect to continue to cause Lazard Group to pay distributions to us in order to fund any such dividends, subject to applicable law and the other considerations discussed above.</w:t>
      </w:r>
    </w:p>
    <w:p>
      <w:pPr>
        <w:spacing w:after="0" w:line="181" w:lineRule="exact"/>
        <w:rPr>
          <w:sz w:val="20"/>
          <w:szCs w:val="20"/>
          <w:color w:val="auto"/>
        </w:rPr>
      </w:pPr>
    </w:p>
    <w:p>
      <w:pPr>
        <w:ind w:right="40" w:firstLine="950"/>
        <w:spacing w:after="0" w:line="259" w:lineRule="auto"/>
        <w:rPr>
          <w:sz w:val="20"/>
          <w:szCs w:val="20"/>
          <w:color w:val="auto"/>
        </w:rPr>
      </w:pPr>
      <w:r>
        <w:rPr>
          <w:rFonts w:ascii="Arial" w:cs="Arial" w:eastAsia="Arial" w:hAnsi="Arial"/>
          <w:sz w:val="18"/>
          <w:szCs w:val="18"/>
          <w:color w:val="auto"/>
        </w:rPr>
        <w:t>Additionally, we are subject to Bermuda legal constraints that may affect our ability to pay dividends on our Class A common stock and make other payments. Under the Companies Act 1981 of Bermuda, which we refer to in this description as the “Companies Act”, we may declare or pay a dividend only if we have reasonable grounds for believing that we are, or would after the payment be, able to pay our liabilities as they become due and if the realizable value of our assets would thereby not be less than our liabilities.</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 a discussion of Bermuda legal constraints related to the payment of dividends, see “—Bermuda Law”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Shares by Us</w:t>
      </w:r>
    </w:p>
    <w:p>
      <w:pPr>
        <w:spacing w:after="0" w:line="225" w:lineRule="exact"/>
        <w:rPr>
          <w:sz w:val="20"/>
          <w:szCs w:val="20"/>
          <w:color w:val="auto"/>
        </w:rPr>
      </w:pPr>
    </w:p>
    <w:p>
      <w:pPr>
        <w:ind w:right="60" w:firstLine="950"/>
        <w:spacing w:after="0" w:line="255" w:lineRule="auto"/>
        <w:rPr>
          <w:sz w:val="20"/>
          <w:szCs w:val="20"/>
          <w:color w:val="auto"/>
        </w:rPr>
      </w:pPr>
      <w:r>
        <w:rPr>
          <w:rFonts w:ascii="Arial" w:cs="Arial" w:eastAsia="Arial" w:hAnsi="Arial"/>
          <w:sz w:val="18"/>
          <w:szCs w:val="18"/>
          <w:color w:val="auto"/>
        </w:rPr>
        <w:t>Our Bye-Laws provide that if our board of directors determines that we or any of our subsidiaries do not meet, or in the absence of repurchases of shares will fail to meet, the ownership requirements of a limitation on benefits article of a bilateral income tax treaty with the U.S., and that such tax treaty would provide material benefits to us or any of our subsidiaries, we generally have the right, but not the obligation, to repurchase at fair market value (as determined in the good faith discretion of our board of directors) shares from any shareholder who beneficially owns more than 0.25% of our outstanding shares and who fails to demonstrate to our satisfaction that such shareholder is either (a) a U.S. citizen or (b) a qualified resident of the U.S. or the other contracting state of the applicable tax treaty (as determined for purposes of the relevant provision of the limitation on benefits article of such treaty). Instead of exercising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51" w:name="page152"/>
    <w:bookmarkEnd w:id="151"/>
    <w:p>
      <w:pPr>
        <w:ind w:right="60"/>
        <w:spacing w:after="0" w:line="259" w:lineRule="auto"/>
        <w:rPr>
          <w:sz w:val="20"/>
          <w:szCs w:val="20"/>
          <w:color w:val="auto"/>
        </w:rPr>
      </w:pPr>
      <w:r>
        <w:rPr>
          <w:rFonts w:ascii="Arial" w:cs="Arial" w:eastAsia="Arial" w:hAnsi="Arial"/>
          <w:sz w:val="18"/>
          <w:szCs w:val="18"/>
          <w:color w:val="auto"/>
        </w:rPr>
        <w:t>the repurchase right described above, we will have the right, but not the obligation, to cause the transfer to, and procure the purchase by, any U.S. citizen or a qualified resident of the U.S. or the other contracting state of the applicable tax treaty of the number of outstanding shares beneficially owned by any shareholder that are otherwise subject to repurchase under our Bye-Laws as described above, at fair market value (as determined in the good faith discretion of our board of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Rights of Holders of Common Stock – Preference Shares</w:t>
      </w:r>
    </w:p>
    <w:p>
      <w:pPr>
        <w:spacing w:after="0" w:line="225" w:lineRule="exact"/>
        <w:rPr>
          <w:sz w:val="20"/>
          <w:szCs w:val="20"/>
          <w:color w:val="auto"/>
        </w:rPr>
      </w:pPr>
    </w:p>
    <w:p>
      <w:pPr>
        <w:ind w:right="100" w:firstLine="950"/>
        <w:spacing w:after="0" w:line="277" w:lineRule="auto"/>
        <w:rPr>
          <w:sz w:val="20"/>
          <w:szCs w:val="20"/>
          <w:color w:val="auto"/>
        </w:rPr>
      </w:pPr>
      <w:r>
        <w:rPr>
          <w:rFonts w:ascii="Arial" w:cs="Arial" w:eastAsia="Arial" w:hAnsi="Arial"/>
          <w:sz w:val="18"/>
          <w:szCs w:val="18"/>
          <w:color w:val="auto"/>
        </w:rPr>
        <w:t>We may issue preference shares. Preference shares may be issued independently or together with any other securities and may be attached to or separate from the securities.</w:t>
      </w:r>
    </w:p>
    <w:p>
      <w:pPr>
        <w:spacing w:after="0" w:line="170" w:lineRule="exact"/>
        <w:rPr>
          <w:sz w:val="20"/>
          <w:szCs w:val="20"/>
          <w:color w:val="auto"/>
        </w:rPr>
      </w:pPr>
    </w:p>
    <w:p>
      <w:pPr>
        <w:ind w:firstLine="950"/>
        <w:spacing w:after="0" w:line="293" w:lineRule="auto"/>
        <w:rPr>
          <w:sz w:val="20"/>
          <w:szCs w:val="20"/>
          <w:color w:val="auto"/>
        </w:rPr>
      </w:pPr>
      <w:r>
        <w:rPr>
          <w:rFonts w:ascii="Arial" w:cs="Arial" w:eastAsia="Arial" w:hAnsi="Arial"/>
          <w:sz w:val="16"/>
          <w:szCs w:val="16"/>
          <w:color w:val="auto"/>
        </w:rPr>
        <w:t>Pursuant to Bermuda law and our Bye-Laws, our board of directors by resolution may establish one or more classes or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of directors without any shareholder approval. Such rights, preferences, powers and limitations as may be established could also have the effect of discouraging an attempt to obtain control of Lazard Ltd. We currently have 15,000,000 authorized preference shares, par value $0.01 per share. The rights of holders of our Class A common stock may be materially limited or qualified by the rights of holders of preference shares that we may issue in the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Bermuda Law</w:t>
      </w:r>
    </w:p>
    <w:p>
      <w:pPr>
        <w:spacing w:after="0" w:line="225" w:lineRule="exact"/>
        <w:rPr>
          <w:sz w:val="20"/>
          <w:szCs w:val="20"/>
          <w:color w:val="auto"/>
        </w:rPr>
      </w:pPr>
    </w:p>
    <w:p>
      <w:pPr>
        <w:ind w:right="40" w:firstLine="950"/>
        <w:spacing w:after="0" w:line="259" w:lineRule="auto"/>
        <w:rPr>
          <w:sz w:val="20"/>
          <w:szCs w:val="20"/>
          <w:color w:val="auto"/>
        </w:rPr>
      </w:pPr>
      <w:r>
        <w:rPr>
          <w:rFonts w:ascii="Arial" w:cs="Arial" w:eastAsia="Arial" w:hAnsi="Arial"/>
          <w:sz w:val="18"/>
          <w:szCs w:val="18"/>
          <w:color w:val="auto"/>
        </w:rPr>
        <w:t>Our board of directors believes that it is of primary importance that our stockholders are treated fairly and have proper access to and recourse against the Company. Bermuda was chosen as our place of incorporation for several reasons, including its acceptability to our various stakeholders. Bermuda has an established corporate law which, coupled with the provisions of our Bye-Laws, we believe provides stockholders with an appropriate level of protection and rights.</w:t>
      </w:r>
    </w:p>
    <w:p>
      <w:pPr>
        <w:spacing w:after="0" w:line="187" w:lineRule="exact"/>
        <w:rPr>
          <w:sz w:val="20"/>
          <w:szCs w:val="20"/>
          <w:color w:val="auto"/>
        </w:rPr>
      </w:pPr>
    </w:p>
    <w:p>
      <w:pPr>
        <w:ind w:right="200" w:firstLine="950"/>
        <w:spacing w:after="0" w:line="312" w:lineRule="auto"/>
        <w:rPr>
          <w:sz w:val="20"/>
          <w:szCs w:val="20"/>
          <w:color w:val="auto"/>
        </w:rPr>
      </w:pPr>
      <w:r>
        <w:rPr>
          <w:rFonts w:ascii="Arial" w:cs="Arial" w:eastAsia="Arial" w:hAnsi="Arial"/>
          <w:sz w:val="16"/>
          <w:szCs w:val="16"/>
          <w:color w:val="auto"/>
        </w:rPr>
        <w:t>We are an exempted company organized under the Companies Act. The rights of our stockholders are governed by Bermuda law and our Memorandum of Association and Bye-Laws. The Companies Act differs in some material respects from laws generally applicable to U.S. corporations and their stockholders. The following is a summary of material provisions of Bermuda law and our organizational documents not discussed above.</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950"/>
        <w:spacing w:after="0" w:line="264" w:lineRule="auto"/>
        <w:rPr>
          <w:sz w:val="20"/>
          <w:szCs w:val="20"/>
          <w:color w:val="auto"/>
        </w:rPr>
      </w:pPr>
      <w:r>
        <w:rPr>
          <w:rFonts w:ascii="Arial" w:cs="Arial" w:eastAsia="Arial" w:hAnsi="Arial"/>
          <w:sz w:val="18"/>
          <w:szCs w:val="18"/>
          <w:color w:val="auto"/>
        </w:rPr>
        <w:t>Under Bermuda law, a company may pay dividends that are declared from time to time by its board of directors unless there are reasonable grounds for believing that the company is or would, after payment, be unable to pay its liabilities as they become due or that the realizable value of its assets would as a result be less than its liabilities.</w:t>
      </w:r>
    </w:p>
    <w:p>
      <w:pPr>
        <w:spacing w:after="0" w:line="289"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950"/>
        <w:spacing w:after="0" w:line="255" w:lineRule="auto"/>
        <w:rPr>
          <w:sz w:val="20"/>
          <w:szCs w:val="20"/>
          <w:color w:val="auto"/>
        </w:rPr>
      </w:pPr>
      <w:r>
        <w:rPr>
          <w:rFonts w:ascii="Arial" w:cs="Arial" w:eastAsia="Arial" w:hAnsi="Arial"/>
          <w:sz w:val="18"/>
          <w:szCs w:val="18"/>
          <w:color w:val="auto"/>
        </w:rPr>
        <w:t>Under Bermuda law, voting rights of stockholders are regulated by a company’s bye-laws and, in certain circumstances, the Companies Act. Our Bye-Laws generally provide that all matters to be voted on by stockholders, other than the election of directors, must be approved in a general meeting by a majority of the votes cast by all holders of our Class A common stock present in person or represented by proxy, subject to any voting rights granted to holders of any preference shares. Directors are generally elected at an annual general meeting by a plurality of votes of holders of Class A common stock voting on the election, subject to any voting rights granted to holders of any preference shares. Our Bye-Laws also contain heightened voting requirements, as described above in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2" w:name="page153"/>
    <w:bookmarkEnd w:id="152"/>
    <w:p>
      <w:pPr>
        <w:ind w:left="960"/>
        <w:spacing w:after="0"/>
        <w:rPr>
          <w:sz w:val="20"/>
          <w:szCs w:val="20"/>
          <w:color w:val="auto"/>
        </w:rPr>
      </w:pPr>
      <w:r>
        <w:rPr>
          <w:rFonts w:ascii="Arial" w:cs="Arial" w:eastAsia="Arial" w:hAnsi="Arial"/>
          <w:sz w:val="18"/>
          <w:szCs w:val="18"/>
          <w:b w:val="1"/>
          <w:bCs w:val="1"/>
          <w:i w:val="1"/>
          <w:iCs w:val="1"/>
          <w:color w:val="auto"/>
        </w:rPr>
        <w:t>Classified Board; Removal of Directors</w:t>
      </w:r>
    </w:p>
    <w:p>
      <w:pPr>
        <w:spacing w:after="0" w:line="225" w:lineRule="exact"/>
        <w:rPr>
          <w:sz w:val="20"/>
          <w:szCs w:val="20"/>
          <w:color w:val="auto"/>
        </w:rPr>
      </w:pPr>
    </w:p>
    <w:p>
      <w:pPr>
        <w:ind w:firstLine="950"/>
        <w:spacing w:after="0" w:line="273" w:lineRule="auto"/>
        <w:rPr>
          <w:sz w:val="20"/>
          <w:szCs w:val="20"/>
          <w:color w:val="auto"/>
        </w:rPr>
      </w:pPr>
      <w:r>
        <w:rPr>
          <w:rFonts w:ascii="Arial" w:cs="Arial" w:eastAsia="Arial" w:hAnsi="Arial"/>
          <w:sz w:val="17"/>
          <w:szCs w:val="17"/>
          <w:color w:val="auto"/>
        </w:rPr>
        <w:t>The Companies Act does not contain statutory provisions specifically mandating classified board arrangements for a Bermuda company. However, a Bermuda company may validly provide for a classified board in its bye-laws. Our board of directors is divided into three classes of directors serving staggered three-year terms. As a result, approximately one-third of the board of directors will be elected each year. In addition, directors may only be removed for cause, by vote of shares representing a majority of the votes entitled to be cast by all holders of our Class A common stock, subject to any voting rights granted to holders of any preference shares. The existence of a classified board of directors may deter a stockholder from removing incumbent directors and simultaneously gaining control of the board of directors by filling vacancies with its own nominees.</w:t>
      </w:r>
    </w:p>
    <w:p>
      <w:pPr>
        <w:spacing w:after="0" w:line="287"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Rights in Liquidation</w:t>
      </w:r>
    </w:p>
    <w:p>
      <w:pPr>
        <w:spacing w:after="0" w:line="225" w:lineRule="exact"/>
        <w:rPr>
          <w:sz w:val="20"/>
          <w:szCs w:val="20"/>
          <w:color w:val="auto"/>
        </w:rPr>
      </w:pPr>
    </w:p>
    <w:p>
      <w:pPr>
        <w:ind w:right="120" w:firstLine="950"/>
        <w:spacing w:after="0" w:line="264" w:lineRule="auto"/>
        <w:rPr>
          <w:sz w:val="20"/>
          <w:szCs w:val="20"/>
          <w:color w:val="auto"/>
        </w:rPr>
      </w:pPr>
      <w:r>
        <w:rPr>
          <w:rFonts w:ascii="Arial" w:cs="Arial" w:eastAsia="Arial" w:hAnsi="Arial"/>
          <w:sz w:val="18"/>
          <w:szCs w:val="18"/>
          <w:color w:val="auto"/>
        </w:rPr>
        <w:t>Under Bermuda law, in the event of a liquidation or winding-up of a company, after satisfaction in full of all claims and creditors and subject to the preferential rights accorded to any series of preference shares and subject to any specific provisions of the company’s bye-laws, the proceeds of the liquidation or winding-up are distributed pro rata among the holders of common shares.</w:t>
      </w:r>
    </w:p>
    <w:p>
      <w:pPr>
        <w:spacing w:after="0" w:line="289"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5" w:lineRule="exact"/>
        <w:rPr>
          <w:sz w:val="20"/>
          <w:szCs w:val="20"/>
          <w:color w:val="auto"/>
        </w:rPr>
      </w:pPr>
    </w:p>
    <w:p>
      <w:pPr>
        <w:ind w:right="60" w:firstLine="950"/>
        <w:spacing w:after="0" w:line="272" w:lineRule="auto"/>
        <w:rPr>
          <w:sz w:val="20"/>
          <w:szCs w:val="20"/>
          <w:color w:val="auto"/>
        </w:rPr>
      </w:pPr>
      <w:r>
        <w:rPr>
          <w:rFonts w:ascii="Arial" w:cs="Arial" w:eastAsia="Arial" w:hAnsi="Arial"/>
          <w:sz w:val="17"/>
          <w:szCs w:val="17"/>
          <w:color w:val="auto"/>
        </w:rPr>
        <w:t>Under Bermuda law, unless waived by the stockholders in accordance with the Companies Act, a company is required to convene at least one stockholders’ meeting each calendar year. Bermuda law provides that a special general meeting may be called by the board of directors and must be called upon the request of stockholders holding not less than 10% of the paid-up share capital of the company carrying the right to vote. Bermuda law also requires that stockholders be given at least five days’ advance notice of a general meeting, but the accidental omission to give notice to any person does not invalidate the proceedings at a meeting. Our Bye-Laws provide that our board of directors may convene an annual general meeting or a special general meeting. Under our Bye-Laws, with certain exceptions, we must give each stockholder at least 30 days’ written notice of the annual general meeting and at least 10 days’ written notice of any special general meeting.</w:t>
      </w:r>
    </w:p>
    <w:p>
      <w:pPr>
        <w:spacing w:after="0" w:line="178" w:lineRule="exact"/>
        <w:rPr>
          <w:sz w:val="20"/>
          <w:szCs w:val="20"/>
          <w:color w:val="auto"/>
        </w:rPr>
      </w:pPr>
    </w:p>
    <w:p>
      <w:pPr>
        <w:ind w:right="80" w:firstLine="950"/>
        <w:spacing w:after="0" w:line="259" w:lineRule="auto"/>
        <w:rPr>
          <w:sz w:val="20"/>
          <w:szCs w:val="20"/>
          <w:color w:val="auto"/>
        </w:rPr>
      </w:pPr>
      <w:r>
        <w:rPr>
          <w:rFonts w:ascii="Arial" w:cs="Arial" w:eastAsia="Arial" w:hAnsi="Arial"/>
          <w:sz w:val="18"/>
          <w:szCs w:val="18"/>
          <w:color w:val="auto"/>
        </w:rPr>
        <w:t>Under Bermuda law, the number of stockholders constituting a quorum at any general meeting of stockholders is determined by the bye-laws of a company. Our Bye-Laws provide that the presence in person or by proxy of two or more stockholders entitled to attend and vote and holding shares representing more than 50% of the votes entitled to be cast by all holders of our Class A common stock constitutes a quorum, subject to any voting rights granted to holders of any preference shares.</w:t>
      </w:r>
    </w:p>
    <w:p>
      <w:pPr>
        <w:spacing w:after="0" w:line="187" w:lineRule="exact"/>
        <w:rPr>
          <w:sz w:val="20"/>
          <w:szCs w:val="20"/>
          <w:color w:val="auto"/>
        </w:rPr>
      </w:pPr>
    </w:p>
    <w:p>
      <w:pPr>
        <w:ind w:right="240" w:firstLine="950"/>
        <w:spacing w:after="0" w:line="259" w:lineRule="auto"/>
        <w:rPr>
          <w:sz w:val="20"/>
          <w:szCs w:val="20"/>
          <w:color w:val="auto"/>
        </w:rPr>
      </w:pPr>
      <w:r>
        <w:rPr>
          <w:rFonts w:ascii="Arial" w:cs="Arial" w:eastAsia="Arial" w:hAnsi="Arial"/>
          <w:sz w:val="18"/>
          <w:szCs w:val="18"/>
          <w:color w:val="auto"/>
        </w:rPr>
        <w:t>The holders of not less than 5% of the total voting rights of all stockholders or one hundred stockholders, whichever is the lesser, may require the directors to include in the notice for the next annual general meeting of a company any resolution which may properly be moved and is intended to be moved. In addition, such persons may also require the directors to circulate to the other stockholders a statement on any matter which is proposed to be considered at any general meeting.</w:t>
      </w:r>
    </w:p>
    <w:p>
      <w:pPr>
        <w:spacing w:after="0" w:line="295"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Access to Books and Records and Dissemination of Information</w:t>
      </w:r>
    </w:p>
    <w:p>
      <w:pPr>
        <w:spacing w:after="0" w:line="225" w:lineRule="exact"/>
        <w:rPr>
          <w:sz w:val="20"/>
          <w:szCs w:val="20"/>
          <w:color w:val="auto"/>
        </w:rPr>
      </w:pPr>
    </w:p>
    <w:p>
      <w:pPr>
        <w:ind w:right="40" w:firstLine="950"/>
        <w:spacing w:after="0" w:line="255" w:lineRule="auto"/>
        <w:rPr>
          <w:sz w:val="20"/>
          <w:szCs w:val="20"/>
          <w:color w:val="auto"/>
        </w:rPr>
      </w:pPr>
      <w:r>
        <w:rPr>
          <w:rFonts w:ascii="Arial" w:cs="Arial" w:eastAsia="Arial" w:hAnsi="Arial"/>
          <w:sz w:val="18"/>
          <w:szCs w:val="18"/>
          <w:color w:val="auto"/>
        </w:rPr>
        <w:t>Members of the general public have the right to inspect the public documents of a company available at the office of the Registrar of Companies in Bermuda. These documents include a company’s certificate of incorporation, its memorandum of association, including its objects and powers, and any alteration to its memorandum of association. The stockholders have the additional right to inspect the bye-laws of the company, minutes of general meetings and the company’s audited financial statements. The register of members of a company is also open to inspection by stockholders without charge and by members of the general public on the payment of a fee. A company is required to maintain its share register in Bermuda but may, subject to the provisions of Bermuda law, establish a branch register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53" w:name="page154"/>
    <w:bookmarkEnd w:id="153"/>
    <w:p>
      <w:pPr>
        <w:spacing w:after="0" w:line="312" w:lineRule="auto"/>
        <w:rPr>
          <w:sz w:val="20"/>
          <w:szCs w:val="20"/>
          <w:color w:val="auto"/>
        </w:rPr>
      </w:pPr>
      <w:r>
        <w:rPr>
          <w:rFonts w:ascii="Arial" w:cs="Arial" w:eastAsia="Arial" w:hAnsi="Arial"/>
          <w:sz w:val="16"/>
          <w:szCs w:val="16"/>
          <w:color w:val="auto"/>
        </w:rPr>
        <w:t>Bermuda. We maintain a branch share register in the U.S. and, in accordance with Bermuda law, a share register in Hamilton, Bermuda. A company is required to keep at its registered office a register of its directors and officers that is open for inspection for not less than two hours each day by members of the public without charge. Bermuda law does not, however, provide a general right for stockholders to inspect or obtain copies of any other corporate records.</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Board Actions</w:t>
      </w:r>
    </w:p>
    <w:p>
      <w:pPr>
        <w:spacing w:after="0" w:line="225" w:lineRule="exact"/>
        <w:rPr>
          <w:sz w:val="20"/>
          <w:szCs w:val="20"/>
          <w:color w:val="auto"/>
        </w:rPr>
      </w:pPr>
    </w:p>
    <w:p>
      <w:pPr>
        <w:ind w:right="40" w:firstLine="950"/>
        <w:spacing w:after="0" w:line="272" w:lineRule="auto"/>
        <w:rPr>
          <w:sz w:val="20"/>
          <w:szCs w:val="20"/>
          <w:color w:val="auto"/>
        </w:rPr>
      </w:pPr>
      <w:r>
        <w:rPr>
          <w:rFonts w:ascii="Arial" w:cs="Arial" w:eastAsia="Arial" w:hAnsi="Arial"/>
          <w:sz w:val="17"/>
          <w:szCs w:val="17"/>
          <w:color w:val="auto"/>
        </w:rPr>
        <w:t>Under Bermuda law, at common law, the directors of a Bermuda company owe their fiduciary duty to the company rather than the stockholders. In addition, the Companies Act imposes a specific duty on directors and officers of a Bermuda company to act honestly and in good faith with a view to the best interests of the company and requires them to exercise the care, diligence and skill that a reasonably prudent person would exercise in comparable circumstances. The Companies Act also imposes various duties on officers of a company with respect to certain matters of management and administration of the company. Our Bye-Laws provide that some actions are required to be approved by our board of directors. A majority of the directors then in office constitutes a quorum, or such other greater number as the Board may from time to time determine. Actions must be approved by a majority of the directors present and entitled to cast votes at a properly convened meeting of our board of directors.</w:t>
      </w:r>
    </w:p>
    <w:p>
      <w:pPr>
        <w:spacing w:after="0" w:line="178" w:lineRule="exact"/>
        <w:rPr>
          <w:sz w:val="20"/>
          <w:szCs w:val="20"/>
          <w:color w:val="auto"/>
        </w:rPr>
      </w:pPr>
    </w:p>
    <w:p>
      <w:pPr>
        <w:ind w:right="100" w:firstLine="950"/>
        <w:spacing w:after="0" w:line="264" w:lineRule="auto"/>
        <w:rPr>
          <w:sz w:val="20"/>
          <w:szCs w:val="20"/>
          <w:color w:val="auto"/>
        </w:rPr>
      </w:pPr>
      <w:r>
        <w:rPr>
          <w:rFonts w:ascii="Arial" w:cs="Arial" w:eastAsia="Arial" w:hAnsi="Arial"/>
          <w:sz w:val="18"/>
          <w:szCs w:val="18"/>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81" w:lineRule="exact"/>
        <w:rPr>
          <w:sz w:val="20"/>
          <w:szCs w:val="20"/>
          <w:color w:val="auto"/>
        </w:rPr>
      </w:pPr>
    </w:p>
    <w:p>
      <w:pPr>
        <w:ind w:right="40" w:firstLine="950"/>
        <w:spacing w:after="0" w:line="259" w:lineRule="auto"/>
        <w:rPr>
          <w:sz w:val="20"/>
          <w:szCs w:val="20"/>
          <w:color w:val="auto"/>
        </w:rPr>
      </w:pPr>
      <w:r>
        <w:rPr>
          <w:rFonts w:ascii="Arial" w:cs="Arial" w:eastAsia="Arial" w:hAnsi="Arial"/>
          <w:sz w:val="18"/>
          <w:szCs w:val="18"/>
          <w:color w:val="auto"/>
        </w:rPr>
        <w:t>Our Bye-Laws provide that our directors may (but are not required to) in taking any action (including an action that may involve or relate to a change of control or potential change of control of Lazard Ltd) consider, among other things, the effects that the action may have on other interests or persons (including our stockholders and employees and the communities in which we do business) as long as the director acts honestly and in good faith with a view to the best interests of Lazard.</w:t>
      </w:r>
    </w:p>
    <w:p>
      <w:pPr>
        <w:spacing w:after="0" w:line="295"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Amendment of Memorandum of Association and Bye-Laws</w:t>
      </w:r>
    </w:p>
    <w:p>
      <w:pPr>
        <w:spacing w:after="0" w:line="225" w:lineRule="exact"/>
        <w:rPr>
          <w:sz w:val="20"/>
          <w:szCs w:val="20"/>
          <w:color w:val="auto"/>
        </w:rPr>
      </w:pPr>
    </w:p>
    <w:p>
      <w:pPr>
        <w:ind w:right="200" w:firstLine="950"/>
        <w:spacing w:after="0" w:line="286" w:lineRule="auto"/>
        <w:rPr>
          <w:sz w:val="20"/>
          <w:szCs w:val="20"/>
          <w:color w:val="auto"/>
        </w:rPr>
      </w:pPr>
      <w:r>
        <w:rPr>
          <w:rFonts w:ascii="Arial" w:cs="Arial" w:eastAsia="Arial" w:hAnsi="Arial"/>
          <w:sz w:val="17"/>
          <w:szCs w:val="17"/>
          <w:color w:val="auto"/>
        </w:rPr>
        <w:t>Bermuda law provides that the memorandum of association of a company may be amended by a resolution passed at a general meeting of stockholders of which due notice has been given. Our Bye-Laws may be amended if the amendment is first approved and recommended to the stockholders by our board of directors and then approved by a resolution passed by the requisite vote of our stockholders.</w:t>
      </w:r>
    </w:p>
    <w:p>
      <w:pPr>
        <w:spacing w:after="0" w:line="166" w:lineRule="exact"/>
        <w:rPr>
          <w:sz w:val="20"/>
          <w:szCs w:val="20"/>
          <w:color w:val="auto"/>
        </w:rPr>
      </w:pPr>
    </w:p>
    <w:p>
      <w:pPr>
        <w:ind w:right="20" w:firstLine="950"/>
        <w:spacing w:after="0" w:line="272" w:lineRule="auto"/>
        <w:rPr>
          <w:sz w:val="20"/>
          <w:szCs w:val="20"/>
          <w:color w:val="auto"/>
        </w:rPr>
      </w:pPr>
      <w:r>
        <w:rPr>
          <w:rFonts w:ascii="Arial" w:cs="Arial" w:eastAsia="Arial" w:hAnsi="Arial"/>
          <w:sz w:val="17"/>
          <w:szCs w:val="17"/>
          <w:color w:val="auto"/>
        </w:rPr>
        <w:t>Under Bermuda law, the holders of an aggregate of no less than 20% in par value of a company’s issued share capital or any class of issued share capital have the right to apply to the Bermuda Supreme Court for an annulment of any amendment of the memorandum of association adopted by stockholders at any general meeting other than those who voted in favour of, or consented in writing to, the alteration. Where such an application is made, the amendment becomes effective only to the extent that it is confirmed by the Bermuda Supreme Court. An application for the annulment of an amendment of the memorandum of association or continuance must be made within 21 days after the date on which the resolution altering the company’s memorandum of association is passed and may be made on behalf of the persons entitled to make the application by one or more of their number as they may appoint in writing for the purpose. No such application may be made by persons voting in favor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54" w:name="page155"/>
    <w:bookmarkEnd w:id="154"/>
    <w:p>
      <w:pPr>
        <w:ind w:left="960"/>
        <w:spacing w:after="0"/>
        <w:rPr>
          <w:sz w:val="20"/>
          <w:szCs w:val="20"/>
          <w:color w:val="auto"/>
        </w:rPr>
      </w:pPr>
      <w:r>
        <w:rPr>
          <w:rFonts w:ascii="Arial" w:cs="Arial" w:eastAsia="Arial" w:hAnsi="Arial"/>
          <w:sz w:val="18"/>
          <w:szCs w:val="18"/>
          <w:b w:val="1"/>
          <w:bCs w:val="1"/>
          <w:i w:val="1"/>
          <w:iCs w:val="1"/>
          <w:color w:val="auto"/>
        </w:rPr>
        <w:t>Amalgamations, Mergers and Similar Arrangements</w:t>
      </w:r>
    </w:p>
    <w:p>
      <w:pPr>
        <w:spacing w:after="0" w:line="225" w:lineRule="exact"/>
        <w:rPr>
          <w:sz w:val="20"/>
          <w:szCs w:val="20"/>
          <w:color w:val="auto"/>
        </w:rPr>
      </w:pPr>
    </w:p>
    <w:p>
      <w:pPr>
        <w:ind w:right="120" w:firstLine="950"/>
        <w:spacing w:after="0" w:line="259" w:lineRule="auto"/>
        <w:rPr>
          <w:sz w:val="20"/>
          <w:szCs w:val="20"/>
          <w:color w:val="auto"/>
        </w:rPr>
      </w:pPr>
      <w:r>
        <w:rPr>
          <w:rFonts w:ascii="Arial" w:cs="Arial" w:eastAsia="Arial" w:hAnsi="Arial"/>
          <w:sz w:val="18"/>
          <w:szCs w:val="18"/>
          <w:color w:val="auto"/>
        </w:rPr>
        <w:t>A Bermuda exempted company may acquire the business of another Bermuda exempted company or a company incorporated outside Bermuda when the business of the target company is within the acquiring company’s objects as set forth in its memorandum of association. Any amalgamation or merger first requires the approval of our board of directors and then the approval of our stockholders, by the affirmative vote of a majority of the votes entitled to be cast by all holders of stock.</w:t>
      </w:r>
    </w:p>
    <w:p>
      <w:pPr>
        <w:spacing w:after="0" w:line="295"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Appraisal Rights and Stockholder Suits</w:t>
      </w:r>
    </w:p>
    <w:p>
      <w:pPr>
        <w:spacing w:after="0" w:line="225" w:lineRule="exact"/>
        <w:rPr>
          <w:sz w:val="20"/>
          <w:szCs w:val="20"/>
          <w:color w:val="auto"/>
        </w:rPr>
      </w:pPr>
    </w:p>
    <w:p>
      <w:pPr>
        <w:ind w:right="80" w:firstLine="950"/>
        <w:spacing w:after="0" w:line="273" w:lineRule="auto"/>
        <w:rPr>
          <w:sz w:val="20"/>
          <w:szCs w:val="20"/>
          <w:color w:val="auto"/>
        </w:rPr>
      </w:pPr>
      <w:r>
        <w:rPr>
          <w:rFonts w:ascii="Arial" w:cs="Arial" w:eastAsia="Arial" w:hAnsi="Arial"/>
          <w:sz w:val="17"/>
          <w:szCs w:val="17"/>
          <w:color w:val="auto"/>
        </w:rPr>
        <w:t>Under Bermuda law, in the event of an amalgamation or merger of a Bermuda company with another company, a stockholder of the Bermuda company who is not satisfied that fair value has been offered for his or her shares in the Bermuda company may apply to the Bermuda Supreme Court within one month of the date of the notice of the stockholders’ meeting to approve the amalgamation or merger, to appraise the fair value of his or her shares. Under Bermuda law and our Bye-Laws, the amalgamation or merger of Lazard with another company (other than certain affiliated companies) requires the amalgamation or merger agreement to first be approved and then recommended to the stockholders by our board of directors and then approved by a resolution passed by the requisite vote of our stockholders.</w:t>
      </w:r>
    </w:p>
    <w:p>
      <w:pPr>
        <w:spacing w:after="0" w:line="178" w:lineRule="exact"/>
        <w:rPr>
          <w:sz w:val="20"/>
          <w:szCs w:val="20"/>
          <w:color w:val="auto"/>
        </w:rPr>
      </w:pPr>
    </w:p>
    <w:p>
      <w:pPr>
        <w:ind w:right="80" w:firstLine="950"/>
        <w:spacing w:after="0" w:line="255" w:lineRule="auto"/>
        <w:rPr>
          <w:sz w:val="20"/>
          <w:szCs w:val="20"/>
          <w:color w:val="auto"/>
        </w:rPr>
      </w:pPr>
      <w:r>
        <w:rPr>
          <w:rFonts w:ascii="Arial" w:cs="Arial" w:eastAsia="Arial" w:hAnsi="Arial"/>
          <w:sz w:val="18"/>
          <w:szCs w:val="18"/>
          <w:color w:val="auto"/>
        </w:rPr>
        <w:t>Class actions and derivative actions are generally not available to stockholders under Bermuda law. The Bermuda Court, however, would ordinarily be expected to permit a stockholder to commence an action in the name of a company to remedy a wrong done to the company where the act complained of is alleged to be beyond the corporate power of the company or is illegal or would result in violation of the company’s memorandum of association or memorandum of continuance or bye-laws. Furthermore, consideration would be given by the Bermuda Court to acts that are alleged to constitute a fraud against the minority stockholders or, for instance, where an act requires the approval of a greater percentage of the company’s stockholders than that which actually approved it.</w:t>
      </w:r>
    </w:p>
    <w:p>
      <w:pPr>
        <w:spacing w:after="0" w:line="193" w:lineRule="exact"/>
        <w:rPr>
          <w:sz w:val="20"/>
          <w:szCs w:val="20"/>
          <w:color w:val="auto"/>
        </w:rPr>
      </w:pPr>
    </w:p>
    <w:p>
      <w:pPr>
        <w:ind w:firstLine="950"/>
        <w:spacing w:after="0" w:line="264" w:lineRule="auto"/>
        <w:rPr>
          <w:sz w:val="20"/>
          <w:szCs w:val="20"/>
          <w:color w:val="auto"/>
        </w:rPr>
      </w:pPr>
      <w:r>
        <w:rPr>
          <w:rFonts w:ascii="Arial" w:cs="Arial" w:eastAsia="Arial" w:hAnsi="Arial"/>
          <w:sz w:val="18"/>
          <w:szCs w:val="18"/>
          <w:color w:val="auto"/>
        </w:rPr>
        <w:t>When the affairs of a company are being conducted in a manner oppressive or prejudicial to the interests of some part of the stockholders, one or more stockholders may apply to the Bermuda Court for an order regulating the company’s conduct of affairs in the future or compelling the purchase of the shares of any stockholder, by other stockholders or by the company.</w:t>
      </w:r>
    </w:p>
    <w:p>
      <w:pPr>
        <w:spacing w:after="0" w:line="289"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Discontinuance</w:t>
      </w:r>
    </w:p>
    <w:p>
      <w:pPr>
        <w:spacing w:after="0" w:line="225" w:lineRule="exact"/>
        <w:rPr>
          <w:sz w:val="20"/>
          <w:szCs w:val="20"/>
          <w:color w:val="auto"/>
        </w:rPr>
      </w:pPr>
    </w:p>
    <w:p>
      <w:pPr>
        <w:ind w:right="100" w:firstLine="950"/>
        <w:spacing w:after="0" w:line="264" w:lineRule="auto"/>
        <w:rPr>
          <w:sz w:val="20"/>
          <w:szCs w:val="20"/>
          <w:color w:val="auto"/>
        </w:rPr>
      </w:pPr>
      <w:r>
        <w:rPr>
          <w:rFonts w:ascii="Arial" w:cs="Arial" w:eastAsia="Arial" w:hAnsi="Arial"/>
          <w:sz w:val="18"/>
          <w:szCs w:val="18"/>
          <w:color w:val="auto"/>
        </w:rPr>
        <w:t>Under Bermuda law, an exempted company may be discontinued and be continued in a jurisdiction outside Bermuda as if it had been incorporated under the laws of that other jurisdiction. Our Bye-Laws provide that our board of directors may exercise all our power to discontinue to another jurisdiction without the need of any stockholder approval.</w:t>
      </w:r>
    </w:p>
    <w:p>
      <w:pPr>
        <w:spacing w:after="0" w:line="289"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Takeovers</w:t>
      </w:r>
    </w:p>
    <w:p>
      <w:pPr>
        <w:spacing w:after="0" w:line="225" w:lineRule="exact"/>
        <w:rPr>
          <w:sz w:val="20"/>
          <w:szCs w:val="20"/>
          <w:color w:val="auto"/>
        </w:rPr>
      </w:pPr>
    </w:p>
    <w:p>
      <w:pPr>
        <w:jc w:val="both"/>
        <w:ind w:right="20" w:firstLine="950"/>
        <w:spacing w:after="0" w:line="264" w:lineRule="auto"/>
        <w:rPr>
          <w:sz w:val="20"/>
          <w:szCs w:val="20"/>
          <w:color w:val="auto"/>
        </w:rPr>
      </w:pPr>
      <w:r>
        <w:rPr>
          <w:rFonts w:ascii="Arial" w:cs="Arial" w:eastAsia="Arial" w:hAnsi="Arial"/>
          <w:sz w:val="18"/>
          <w:szCs w:val="18"/>
          <w:color w:val="auto"/>
        </w:rPr>
        <w:t>Bermuda law provides that where an offer is made for shares of a company and, within four months of the offer, the holders of not less than 90% in value of the shares which are the subject of the offer accept, the offeror may by notice require the non-tendering stockholders to transfer their shares on the terms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155" w:name="page156"/>
    <w:bookmarkEnd w:id="155"/>
    <w:p>
      <w:pPr>
        <w:ind w:left="960"/>
        <w:spacing w:after="0"/>
        <w:rPr>
          <w:sz w:val="20"/>
          <w:szCs w:val="20"/>
          <w:color w:val="auto"/>
        </w:rPr>
      </w:pPr>
      <w:r>
        <w:rPr>
          <w:rFonts w:ascii="Arial" w:cs="Arial" w:eastAsia="Arial" w:hAnsi="Arial"/>
          <w:sz w:val="16"/>
          <w:szCs w:val="16"/>
          <w:color w:val="auto"/>
        </w:rPr>
        <w:t>Alternatively, the holders of 95% or more of the shares (or any class of stock) of a company may give a compulsory acquisition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remaining shares (or the remaining shares of the class). Upon giving such notice, the offeror is entitled and bound to acquire the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remaining stockholders on the terms set out in the notice unless any remaining shareholder applies to have the Bermuda Supreme Court appraise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Such an application must be made to the Bermuda Supreme Court within one month of receipt of the compulsory acquisition notice. Following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appraisal, the majority stockholder(s) may acquire the shares at the price fixed by the Bermuda Supreme Court or may cancel the compulsory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ind w:firstLine="950"/>
        <w:spacing w:after="0" w:line="264" w:lineRule="auto"/>
        <w:rPr>
          <w:sz w:val="20"/>
          <w:szCs w:val="20"/>
          <w:color w:val="auto"/>
        </w:rPr>
      </w:pPr>
      <w:r>
        <w:rPr>
          <w:rFonts w:ascii="Arial" w:cs="Arial" w:eastAsia="Arial" w:hAnsi="Arial"/>
          <w:sz w:val="18"/>
          <w:szCs w:val="18"/>
          <w:color w:val="auto"/>
        </w:rPr>
        <w:t>These appraisal rights differ from the appraisal rights in connection with an amalgamation or merger (described above) in that in a 95% compulsory acquisition, if one dissentient stockholder applies to the Bermuda Supreme Court and is successful in obtaining a higher valuation, that price must be paid to all holders whose shares are being acquired.</w:t>
      </w:r>
    </w:p>
    <w:p>
      <w:pPr>
        <w:spacing w:after="0" w:line="181" w:lineRule="exact"/>
        <w:rPr>
          <w:sz w:val="20"/>
          <w:szCs w:val="20"/>
          <w:color w:val="auto"/>
        </w:rPr>
      </w:pPr>
    </w:p>
    <w:p>
      <w:pPr>
        <w:ind w:right="20" w:firstLine="950"/>
        <w:spacing w:after="0" w:line="264" w:lineRule="auto"/>
        <w:rPr>
          <w:sz w:val="20"/>
          <w:szCs w:val="20"/>
          <w:color w:val="auto"/>
        </w:rPr>
      </w:pPr>
      <w:r>
        <w:rPr>
          <w:rFonts w:ascii="Arial" w:cs="Arial" w:eastAsia="Arial" w:hAnsi="Arial"/>
          <w:sz w:val="18"/>
          <w:szCs w:val="18"/>
          <w:color w:val="auto"/>
        </w:rPr>
        <w:t>In respect of an application for appraisal, the test is the same whether in respect of a 90% or 95% squeeze-out and is one of fairness to the body of the stockholders, and not to individuals, with the burden falling on the dissentient stockholder to prove unfairness, not merely that the acquisition is open to criticism.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right="300" w:firstLine="950"/>
        <w:spacing w:after="0" w:line="308" w:lineRule="auto"/>
        <w:rPr>
          <w:sz w:val="20"/>
          <w:szCs w:val="20"/>
          <w:color w:val="auto"/>
        </w:rPr>
      </w:pPr>
      <w:r>
        <w:rPr>
          <w:rFonts w:ascii="Arial" w:cs="Arial" w:eastAsia="Arial" w:hAnsi="Arial"/>
          <w:sz w:val="17"/>
          <w:szCs w:val="17"/>
          <w:color w:val="auto"/>
        </w:rPr>
        <w:t>A register of holders of our Class A common stock will be maintained by Conyers Corporate Services (Bermuda) Limited in Bermuda, and a branch register will be maintained in the U.S. by Computershare, Inc., who will serve as branch registrar and transfer agent.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Lazard and Its Subsidiaries and Shareholders</w:t>
      </w:r>
    </w:p>
    <w:p>
      <w:pPr>
        <w:spacing w:after="0" w:line="225" w:lineRule="exact"/>
        <w:rPr>
          <w:sz w:val="20"/>
          <w:szCs w:val="20"/>
          <w:color w:val="auto"/>
        </w:rPr>
      </w:pPr>
    </w:p>
    <w:p>
      <w:pPr>
        <w:ind w:right="40" w:firstLine="950"/>
        <w:spacing w:after="0" w:line="273" w:lineRule="auto"/>
        <w:rPr>
          <w:sz w:val="20"/>
          <w:szCs w:val="20"/>
          <w:color w:val="auto"/>
        </w:rPr>
      </w:pPr>
      <w:r>
        <w:rPr>
          <w:rFonts w:ascii="Arial" w:cs="Arial" w:eastAsia="Arial" w:hAnsi="Arial"/>
          <w:sz w:val="17"/>
          <w:szCs w:val="17"/>
          <w:color w:val="auto"/>
        </w:rPr>
        <w:t>At the present time, Lazard Ltd is not subject to any Bermuda income or profits tax, withholding tax, capital gains tax, capital transfer tax, estate duty or inheritance tax. Lazard Ltd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to any of our operations or to our shares, debentures or other obligations, except insofar as such tax applies to persons ordinarily resident in Bermuda or to any taxes payable by us in respect of real property owned or leased by us in Bermuda.</w:t>
      </w:r>
    </w:p>
    <w:p>
      <w:pPr>
        <w:spacing w:after="0" w:line="178" w:lineRule="exact"/>
        <w:rPr>
          <w:sz w:val="20"/>
          <w:szCs w:val="20"/>
          <w:color w:val="auto"/>
        </w:rPr>
      </w:pPr>
    </w:p>
    <w:p>
      <w:pPr>
        <w:ind w:right="400" w:firstLine="950"/>
        <w:spacing w:after="0" w:line="277" w:lineRule="auto"/>
        <w:rPr>
          <w:sz w:val="20"/>
          <w:szCs w:val="20"/>
          <w:color w:val="auto"/>
        </w:rPr>
      </w:pPr>
      <w:r>
        <w:rPr>
          <w:rFonts w:ascii="Arial" w:cs="Arial" w:eastAsia="Arial" w:hAnsi="Arial"/>
          <w:sz w:val="18"/>
          <w:szCs w:val="18"/>
          <w:color w:val="auto"/>
        </w:rPr>
        <w:t>Under current Bermuda law, there is no Bermuda income or profits tax, withholding tax, capital gains tax, capital transfer tax, estate duty or inheritance tax payable by our shareholders in respect of our common stock.</w:t>
      </w:r>
    </w:p>
    <w:p>
      <w:pPr>
        <w:sectPr>
          <w:pgSz w:w="11900" w:h="16838" w:orient="portrait"/>
          <w:cols w:equalWidth="0" w:num="1">
            <w:col w:w="11420"/>
          </w:cols>
          <w:pgMar w:left="240" w:top="58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 OF ORGANIZATION</w:t>
            </w:r>
          </w:p>
        </w:tc>
      </w:tr>
      <w:tr>
        <w:trPr>
          <w:trHeight w:val="317"/>
        </w:trPr>
        <w:tc>
          <w:tcPr>
            <w:tcW w:w="3680" w:type="dxa"/>
            <w:vAlign w:val="bottom"/>
          </w:tcPr>
          <w:p>
            <w:pPr>
              <w:spacing w:after="0"/>
              <w:rPr>
                <w:sz w:val="20"/>
                <w:szCs w:val="20"/>
                <w:color w:val="auto"/>
              </w:rPr>
            </w:pPr>
            <w:r>
              <w:rPr>
                <w:rFonts w:ascii="Arial" w:cs="Arial" w:eastAsia="Arial" w:hAnsi="Arial"/>
                <w:sz w:val="18"/>
                <w:szCs w:val="18"/>
                <w:color w:val="auto"/>
              </w:rPr>
              <w:t>Lazard Group LLC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International Holdings, Inc.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Corp 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Corp II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Maison Lazard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Holding Sàrl</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Luxembourg</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LLtd 2 Sàrl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333-231131 on Form S-3 and Registration Statement No. 333-126752, No. 333-154977, No. 333-193845, No. 333-217597 and No. 333-224552, each on Form S-8, of our reports dated February 24, 2020, relating to the consolidated financial statements and financial statement schedule of Lazard Ltd and subsidiaries (the “Company”), and the effectiveness of the Company’s internal control over financial reporting appearing in this Annual Report on Form 10-K of the Company for the year ended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Lazard Ltd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Evan L. Russo, certify that:</w:t>
      </w:r>
    </w:p>
    <w:p>
      <w:pPr>
        <w:spacing w:after="0" w:line="225" w:lineRule="exact"/>
        <w:rPr>
          <w:sz w:val="20"/>
          <w:szCs w:val="20"/>
          <w:color w:val="auto"/>
        </w:rPr>
      </w:pPr>
    </w:p>
    <w:p>
      <w:pPr>
        <w:ind w:left="780" w:hanging="174"/>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Lazard Ltd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decimal"/>
      <w:start w:val="2"/>
    </w:lvl>
  </w:abstractNum>
  <w:abstractNum w:abstractNumId="19">
    <w:nsid w:val="579BE4F1"/>
    <w:multiLevelType w:val="hybridMultilevel"/>
    <w:lvl w:ilvl="0">
      <w:lvlJc w:val="left"/>
      <w:lvlText w:val="(%1)"/>
      <w:numFmt w:val="lowerLetter"/>
      <w:start w:val="1"/>
    </w:lvl>
  </w:abstractNum>
  <w:abstractNum w:abstractNumId="20">
    <w:nsid w:val="310C50B3"/>
    <w:multiLevelType w:val="hybridMultilevel"/>
    <w:lvl w:ilvl="0">
      <w:lvlJc w:val="left"/>
      <w:lvlText w:val="(%1)"/>
      <w:numFmt w:val="lowerLetter"/>
      <w:start w:val="2"/>
    </w:lvl>
  </w:abstractNum>
  <w:abstractNum w:abstractNumId="21">
    <w:nsid w:val="5FF87E05"/>
    <w:multiLevelType w:val="hybridMultilevel"/>
    <w:lvl w:ilvl="0">
      <w:lvlJc w:val="left"/>
      <w:lvlText w:val="(%1)"/>
      <w:numFmt w:val="lowerLetter"/>
      <w:start w:val="3"/>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lvl w:ilvl="1">
      <w:lvlJc w:val="left"/>
      <w:lvlText w:val="(%2)"/>
      <w:numFmt w:val="lowerRoman"/>
      <w:start w:val="1"/>
    </w:lvl>
  </w:abstractNum>
  <w:abstractNum w:abstractNumId="26">
    <w:nsid w:val="1F48EAA1"/>
    <w:multiLevelType w:val="hybridMultilevel"/>
    <w:lvl w:ilvl="0">
      <w:lvlJc w:val="left"/>
      <w:lvlText w:val="(%1)"/>
      <w:numFmt w:val="lowerLetter"/>
      <w:start w:val="1"/>
    </w:lvl>
  </w:abstractNum>
  <w:abstractNum w:abstractNumId="27">
    <w:nsid w:val="1381823A"/>
    <w:multiLevelType w:val="hybridMultilevel"/>
    <w:lvl w:ilvl="0">
      <w:lvlJc w:val="left"/>
      <w:lvlText w:val="(%1)"/>
      <w:numFmt w:val="lowerLetter"/>
      <w:start w:val="1"/>
    </w:lvl>
  </w:abstractNum>
  <w:abstractNum w:abstractNumId="28">
    <w:nsid w:val="5DB70AE5"/>
    <w:multiLevelType w:val="hybridMultilevel"/>
    <w:lvl w:ilvl="0">
      <w:lvlJc w:val="left"/>
      <w:lvlText w:val="(%1)"/>
      <w:numFmt w:val="lowerLetter"/>
      <w:start w:val="5"/>
    </w:lvl>
  </w:abstractNum>
  <w:abstractNum w:abstractNumId="29">
    <w:nsid w:val="100F8FCA"/>
    <w:multiLevelType w:val="hybridMultilevel"/>
    <w:lvl w:ilvl="0">
      <w:lvlJc w:val="left"/>
      <w:lvlText w:val="(%1)"/>
      <w:numFmt w:val="lowerLetter"/>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Letter"/>
      <w:start w:val="1"/>
    </w:lvl>
  </w:abstractNum>
  <w:abstractNum w:abstractNumId="32">
    <w:nsid w:val="5F5E7FD0"/>
    <w:multiLevelType w:val="hybridMultilevel"/>
    <w:lvl w:ilvl="0">
      <w:lvlJc w:val="left"/>
      <w:lvlText w:val="(%1)"/>
      <w:numFmt w:val="lowerRoman"/>
      <w:start w:val="2"/>
    </w:lvl>
  </w:abstractNum>
  <w:abstractNum w:abstractNumId="33">
    <w:nsid w:val="98A3148"/>
    <w:multiLevelType w:val="hybridMultilevel"/>
    <w:lvl w:ilvl="0">
      <w:lvlJc w:val="left"/>
      <w:lvlText w:val="(%1)"/>
      <w:numFmt w:val="lowerLetter"/>
      <w:start w:val="1"/>
    </w:lvl>
  </w:abstractNum>
  <w:abstractNum w:abstractNumId="34">
    <w:nsid w:val="799D0247"/>
    <w:multiLevelType w:val="hybridMultilevel"/>
    <w:lvl w:ilvl="0">
      <w:lvlJc w:val="left"/>
      <w:lvlText w:val="(%1)"/>
      <w:numFmt w:val="lowerLetter"/>
      <w:start w:val="1"/>
    </w:lvl>
  </w:abstractNum>
  <w:abstractNum w:abstractNumId="35">
    <w:nsid w:val="6B94764"/>
    <w:multiLevelType w:val="hybridMultilevel"/>
    <w:lvl w:ilvl="0">
      <w:lvlJc w:val="left"/>
      <w:lvlText w:val="(%1)"/>
      <w:numFmt w:val="lowerLetter"/>
      <w:start w:val="1"/>
    </w:lvl>
  </w:abstractNum>
  <w:abstractNum w:abstractNumId="36">
    <w:nsid w:val="42C296BD"/>
    <w:multiLevelType w:val="hybridMultilevel"/>
    <w:lvl w:ilvl="0">
      <w:lvlJc w:val="left"/>
      <w:lvlText w:val="(%1)"/>
      <w:numFmt w:val="lowerLetter"/>
      <w:start w:val="1"/>
    </w:lvl>
  </w:abstractNum>
  <w:abstractNum w:abstractNumId="37">
    <w:nsid w:val="168E121F"/>
    <w:multiLevelType w:val="hybridMultilevel"/>
    <w:lvl w:ilvl="0">
      <w:lvlJc w:val="left"/>
      <w:lvlText w:val="(%1)"/>
      <w:numFmt w:val="lowerLetter"/>
      <w:start w:val="2"/>
    </w:lvl>
  </w:abstractNum>
  <w:abstractNum w:abstractNumId="38">
    <w:nsid w:val="1EBA5D23"/>
    <w:multiLevelType w:val="hybridMultilevel"/>
    <w:lvl w:ilvl="0">
      <w:lvlJc w:val="left"/>
      <w:lvlText w:val="(%1)"/>
      <w:numFmt w:val="lowerLetter"/>
      <w:start w:val="1"/>
    </w:lvl>
  </w:abstractNum>
  <w:abstractNum w:abstractNumId="39">
    <w:nsid w:val="661E3F1E"/>
    <w:multiLevelType w:val="hybridMultilevel"/>
    <w:lvl w:ilvl="0">
      <w:lvlJc w:val="left"/>
      <w:lvlText w:val="(%1)"/>
      <w:numFmt w:val="lowerLetter"/>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1)"/>
      <w:numFmt w:val="lowerLetter"/>
      <w:start w:val="2"/>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lvl w:ilvl="1">
      <w:lvlJc w:val="left"/>
      <w:lvlText w:val="\endash "/>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2"/>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1."/>
      <w:numFmt w:val="decimal"/>
      <w:start w:val="3"/>
    </w:lvl>
  </w:abstractNum>
  <w:abstractNum w:abstractNumId="57">
    <w:nsid w:val="7FFFCA11"/>
    <w:multiLevelType w:val="hybridMultilevel"/>
    <w:lvl w:ilvl="0">
      <w:lvlJc w:val="left"/>
      <w:lvlText w:val="%1."/>
      <w:numFmt w:val="decimal"/>
      <w:start w:val="4"/>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decimal"/>
      <w:start w:val="5"/>
    </w:lvl>
  </w:abstractNum>
  <w:abstractNum w:abstractNumId="60">
    <w:nsid w:val="100F59DC"/>
    <w:multiLevelType w:val="hybridMultilevel"/>
    <w:lvl w:ilvl="0">
      <w:lvlJc w:val="left"/>
      <w:lvlText w:val="%1."/>
      <w:numFmt w:val="decimal"/>
      <w:start w:val="6"/>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decimal"/>
      <w:start w:val="7"/>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decimal"/>
      <w:start w:val="8"/>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decimal"/>
      <w:start w:val="9"/>
    </w:lvl>
  </w:abstractNum>
  <w:abstractNum w:abstractNumId="69">
    <w:nsid w:val="14E17E33"/>
    <w:multiLevelType w:val="hybridMultilevel"/>
    <w:lvl w:ilvl="0">
      <w:lvlJc w:val="left"/>
      <w:lvlText w:val="%1."/>
      <w:numFmt w:val="decimal"/>
      <w:start w:val="10"/>
    </w:lvl>
  </w:abstractNum>
  <w:abstractNum w:abstractNumId="70">
    <w:nsid w:val="3222E7CD"/>
    <w:multiLevelType w:val="hybridMultilevel"/>
    <w:lvl w:ilvl="0">
      <w:lvlJc w:val="left"/>
      <w:lvlText w:val="%1."/>
      <w:numFmt w:val="decimal"/>
      <w:start w:val="11"/>
    </w:lvl>
  </w:abstractNum>
  <w:abstractNum w:abstractNumId="71">
    <w:nsid w:val="74DE0EE3"/>
    <w:multiLevelType w:val="hybridMultilevel"/>
    <w:lvl w:ilvl="0">
      <w:lvlJc w:val="left"/>
      <w:lvlText w:val="%1."/>
      <w:numFmt w:val="decimal"/>
      <w:start w:val="12"/>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decimal"/>
      <w:start w:val="13"/>
    </w:lvl>
  </w:abstractNum>
  <w:abstractNum w:abstractNumId="74">
    <w:nsid w:val="46B7D447"/>
    <w:multiLevelType w:val="hybridMultilevel"/>
    <w:lvl w:ilvl="0">
      <w:lvlJc w:val="left"/>
      <w:lvlText w:val="(%1)"/>
      <w:numFmt w:val="lowerLetter"/>
      <w:start w:val="1"/>
    </w:lvl>
  </w:abstractNum>
  <w:abstractNum w:abstractNumId="75">
    <w:nsid w:val="4A2AC315"/>
    <w:multiLevelType w:val="hybridMultilevel"/>
    <w:lvl w:ilvl="0">
      <w:lvlJc w:val="left"/>
      <w:lvlText w:val="%1."/>
      <w:numFmt w:val="decimal"/>
      <w:start w:val="14"/>
    </w:lvl>
  </w:abstractNum>
  <w:abstractNum w:abstractNumId="76">
    <w:nsid w:val="39EE015C"/>
    <w:multiLevelType w:val="hybridMultilevel"/>
    <w:lvl w:ilvl="0">
      <w:lvlJc w:val="left"/>
      <w:lvlText w:val="%1."/>
      <w:numFmt w:val="decimal"/>
      <w:start w:val="15"/>
    </w:lvl>
  </w:abstractNum>
  <w:abstractNum w:abstractNumId="77">
    <w:nsid w:val="57FC4FBB"/>
    <w:multiLevelType w:val="hybridMultilevel"/>
    <w:lvl w:ilvl="0">
      <w:lvlJc w:val="left"/>
      <w:lvlText w:val="(%1)"/>
      <w:numFmt w:val="lowerLetter"/>
      <w:start w:val="1"/>
    </w:lvl>
  </w:abstractNum>
  <w:abstractNum w:abstractNumId="78">
    <w:nsid w:val="CC1016F"/>
    <w:multiLevelType w:val="hybridMultilevel"/>
    <w:lvl w:ilvl="0">
      <w:lvlJc w:val="left"/>
      <w:lvlText w:val="%1."/>
      <w:numFmt w:val="decimal"/>
      <w:start w:val="16"/>
    </w:lvl>
  </w:abstractNum>
  <w:abstractNum w:abstractNumId="79">
    <w:nsid w:val="43F18422"/>
    <w:multiLevelType w:val="hybridMultilevel"/>
    <w:lvl w:ilvl="0">
      <w:lvlJc w:val="left"/>
      <w:lvlText w:val="(%1)"/>
      <w:numFmt w:val="lowerLetter"/>
      <w:start w:val="1"/>
    </w:lvl>
  </w:abstractNum>
  <w:abstractNum w:abstractNumId="80">
    <w:nsid w:val="60EF0119"/>
    <w:multiLevelType w:val="hybridMultilevel"/>
    <w:lvl w:ilvl="0">
      <w:lvlJc w:val="left"/>
      <w:lvlText w:val="(%1)"/>
      <w:numFmt w:val="lowerLetter"/>
      <w:start w:val="1"/>
    </w:lvl>
  </w:abstractNum>
  <w:abstractNum w:abstractNumId="81">
    <w:nsid w:val="26F324BA"/>
    <w:multiLevelType w:val="hybridMultilevel"/>
    <w:lvl w:ilvl="0">
      <w:lvlJc w:val="left"/>
      <w:lvlText w:val="%1."/>
      <w:numFmt w:val="decimal"/>
      <w:start w:val="17"/>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1."/>
      <w:numFmt w:val="decimal"/>
      <w:start w:val="18"/>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decimal"/>
      <w:start w:val="19"/>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lowerRoman"/>
      <w:start w:val="1"/>
    </w:lvl>
  </w:abstractNum>
  <w:abstractNum w:abstractNumId="89">
    <w:nsid w:val="6AA78F7F"/>
    <w:multiLevelType w:val="hybridMultilevel"/>
    <w:lvl w:ilvl="0">
      <w:lvlJc w:val="left"/>
      <w:lvlText w:val="%1."/>
      <w:numFmt w:val="decimal"/>
      <w:start w:val="20"/>
    </w:lvl>
  </w:abstractNum>
  <w:abstractNum w:abstractNumId="90">
    <w:nsid w:val="7672BD23"/>
    <w:multiLevelType w:val="hybridMultilevel"/>
    <w:lvl w:ilvl="0">
      <w:lvlJc w:val="left"/>
      <w:lvlText w:val="%1."/>
      <w:numFmt w:val="decimal"/>
      <w:start w:val="21"/>
    </w:lvl>
  </w:abstractNum>
  <w:abstractNum w:abstractNumId="91">
    <w:nsid w:val="6FC75AF8"/>
    <w:multiLevelType w:val="hybridMultilevel"/>
    <w:lvl w:ilvl="0">
      <w:lvlJc w:val="left"/>
      <w:lvlText w:val="(%1)"/>
      <w:numFmt w:val="lowerRoman"/>
      <w:start w:val="1"/>
    </w:lvl>
  </w:abstractNum>
  <w:abstractNum w:abstractNumId="92">
    <w:nsid w:val="6A5F7029"/>
    <w:multiLevelType w:val="hybridMultilevel"/>
    <w:lvl w:ilvl="0">
      <w:lvlJc w:val="left"/>
      <w:lvlText w:val="%1."/>
      <w:numFmt w:val="decimal"/>
      <w:start w:val="22"/>
    </w:lvl>
  </w:abstractNum>
  <w:abstractNum w:abstractNumId="93">
    <w:nsid w:val="7D5E18F8"/>
    <w:multiLevelType w:val="hybridMultilevel"/>
    <w:lvl w:ilvl="0">
      <w:lvlJc w:val="left"/>
      <w:lvlText w:val="%1."/>
      <w:numFmt w:val="decimal"/>
      <w:start w:val="23"/>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lowerLetter"/>
      <w:start w:val="2"/>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lowerLetter"/>
      <w:start w:val="1"/>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decimal"/>
      <w:start w:val="2"/>
    </w:lvl>
  </w:abstractNum>
  <w:abstractNum w:abstractNumId="101">
    <w:nsid w:val="71C91298"/>
    <w:multiLevelType w:val="hybridMultilevel"/>
    <w:lvl w:ilvl="0">
      <w:lvlJc w:val="left"/>
      <w:lvlText w:val="(%1)"/>
      <w:numFmt w:val="lowerLetter"/>
      <w:start w:val="1"/>
    </w:lvl>
    <w:lvl w:ilvl="1">
      <w:lvlJc w:val="left"/>
      <w:lvlText w:val="%2."/>
      <w:numFmt w:val="decimal"/>
      <w:start w:val="1"/>
    </w:lvl>
  </w:abstractNum>
  <w:abstractNum w:abstractNumId="102">
    <w:nsid w:val="9DAF632"/>
    <w:multiLevelType w:val="hybridMultilevel"/>
    <w:lvl w:ilvl="0">
      <w:lvlJc w:val="left"/>
      <w:lvlText w:val="%1"/>
      <w:numFmt w:val="decimal"/>
      <w:start w:val="104"/>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180" Type="http://schemas.openxmlformats.org/officeDocument/2006/relationships/hyperlink" Target="http://www.sec.gov/Archives/edgar/data/1311370/000119312505056426/dex31.htm" TargetMode="External"/><Relationship Id="rId181" Type="http://schemas.openxmlformats.org/officeDocument/2006/relationships/hyperlink" Target="http://www.sec.gov/Archives/edgar/data/1311370/000119312505056426/dex32.htm" TargetMode="External"/><Relationship Id="rId182" Type="http://schemas.openxmlformats.org/officeDocument/2006/relationships/hyperlink" Target="http://www.sec.gov/Archives/edgar/data/1311370/000119312505126336/dex33.htm" TargetMode="External"/><Relationship Id="rId183" Type="http://schemas.openxmlformats.org/officeDocument/2006/relationships/hyperlink" Target="http://www.sec.gov/Archives/edgar/data/1311370/000119312508108332/dex34.htm" TargetMode="External"/><Relationship Id="rId184" Type="http://schemas.openxmlformats.org/officeDocument/2006/relationships/hyperlink" Target="http://www.sec.gov/Archives/edgar/data/1311370/000119312510102269/dex35.htm" TargetMode="External"/><Relationship Id="rId185" Type="http://schemas.openxmlformats.org/officeDocument/2006/relationships/hyperlink" Target="http://www.sec.gov/Archives/edgar/data/1311370/000119312505073325/dex41.htm" TargetMode="External"/><Relationship Id="rId186" Type="http://schemas.openxmlformats.org/officeDocument/2006/relationships/hyperlink" Target="http://www.sec.gov/Archives/edgar/data/1326141/000119312505145683/dex41.htm" TargetMode="External"/><Relationship Id="rId187" Type="http://schemas.openxmlformats.org/officeDocument/2006/relationships/hyperlink" Target="http://www.sec.gov/Archives/edgar/data/1311370/000119312515050385/d871111dex41.htm" TargetMode="External"/><Relationship Id="rId188" Type="http://schemas.openxmlformats.org/officeDocument/2006/relationships/hyperlink" Target="http://www.sec.gov/Archives/edgar/data/1311370/000119312516760477/d43064dex41.htm" TargetMode="External"/><Relationship Id="rId189" Type="http://schemas.openxmlformats.org/officeDocument/2006/relationships/hyperlink" Target="http://www.sec.gov/Archives/edgar/data/1311370/000119312518277695/d614135dex41.htm" TargetMode="External"/><Relationship Id="rId190" Type="http://schemas.openxmlformats.org/officeDocument/2006/relationships/hyperlink" Target="http://www.sec.gov/Archives/edgar/data/1311370/000095015719000259/ex4-1.htm" TargetMode="External"/><Relationship Id="rId193" Type="http://schemas.openxmlformats.org/officeDocument/2006/relationships/hyperlink" Target="http://www.sec.gov/Archives/edgar/data/1311370/000119312519027570/d671906dex991.htm" TargetMode="External"/><Relationship Id="rId194" Type="http://schemas.openxmlformats.org/officeDocument/2006/relationships/hyperlink" Target="http://www.sec.gov/Archives/edgar/data/1311370/000119312515355042/d41332dex102.htm" TargetMode="External"/><Relationship Id="rId195" Type="http://schemas.openxmlformats.org/officeDocument/2006/relationships/hyperlink" Target="http://www.sec.gov/Archives/edgar/data/1311370/000119312505025486/dex1019.htm" TargetMode="External"/><Relationship Id="rId196" Type="http://schemas.openxmlformats.org/officeDocument/2006/relationships/hyperlink" Target="http://www.sec.gov/Archives/edgar/data/1311370/000119312511117012/dex1016.htm" TargetMode="External"/><Relationship Id="rId197" Type="http://schemas.openxmlformats.org/officeDocument/2006/relationships/hyperlink" Target="http://www.sec.gov/Archives/edgar/data/1311370/000119312505091140/dex1021.htm" TargetMode="External"/><Relationship Id="rId198" Type="http://schemas.openxmlformats.org/officeDocument/2006/relationships/hyperlink" Target="http://www.sec.gov/Archives/edgar/data/1311370/000119312508063107/ddef14a.htm" TargetMode="External"/><Relationship Id="rId199" Type="http://schemas.openxmlformats.org/officeDocument/2006/relationships/hyperlink" Target="http://www.sec.gov/Archives/edgar/data/1311370/000119312516500308/d128121ddef14a.htm" TargetMode="External"/><Relationship Id="rId200" Type="http://schemas.openxmlformats.org/officeDocument/2006/relationships/hyperlink" Target="http://www.sec.gov/Archives/edgar/data/1311370/000119312518082725/d525181ddef14a.htm" TargetMode="External"/><Relationship Id="rId201" Type="http://schemas.openxmlformats.org/officeDocument/2006/relationships/hyperlink" Target="http://www.sec.gov/Archives/edgar/data/1311370/000119312519096097/d642761dex101.htm" TargetMode="External"/><Relationship Id="rId202" Type="http://schemas.openxmlformats.org/officeDocument/2006/relationships/hyperlink" Target="http://www.sec.gov/Archives/edgar/data/1311370/000119312519096097/d642761dex103.htm" TargetMode="External"/><Relationship Id="rId203" Type="http://schemas.openxmlformats.org/officeDocument/2006/relationships/hyperlink" Target="http://www.sec.gov/Archives/edgar/data/1311370/000119312519096097/d642761dex104.htm" TargetMode="External"/><Relationship Id="rId204" Type="http://schemas.openxmlformats.org/officeDocument/2006/relationships/hyperlink" Target="http://www.sec.gov/Archives/edgar/data/1311370/000119312519096097/d642761dex102.htm" TargetMode="External"/><Relationship Id="rId205" Type="http://schemas.openxmlformats.org/officeDocument/2006/relationships/hyperlink" Target="http://www.sec.gov/Archives/edgar/data/1311370/000119312519096097/d642761dex105.htm" TargetMode="External"/><Relationship Id="rId208" Type="http://schemas.openxmlformats.org/officeDocument/2006/relationships/hyperlink" Target="http://www.sec.gov/Archives/edgar/data/1311370/000089882205001180/sept9_exhibit.txt" TargetMode="External"/><Relationship Id="rId209" Type="http://schemas.openxmlformats.org/officeDocument/2006/relationships/hyperlink" Target="http://www.sec.gov/Archives/edgar/data/1311370/000119312509041325/dex1041.htm" TargetMode="External"/><Relationship Id="rId210" Type="http://schemas.openxmlformats.org/officeDocument/2006/relationships/hyperlink" Target="http://www.sec.gov/Archives/edgar/data/1311370/000119312509041325/dex1042.htm" TargetMode="External"/><Relationship Id="rId211" Type="http://schemas.openxmlformats.org/officeDocument/2006/relationships/hyperlink" Target="http://www.sec.gov/Archives/edgar/data/1311370/000119312506109044/dex1039.htm" TargetMode="External"/><Relationship Id="rId212" Type="http://schemas.openxmlformats.org/officeDocument/2006/relationships/hyperlink" Target="http://www.sec.gov/Archives/edgar/data/1311370/000119312515355042/d41332dex1027.htm" TargetMode="External"/><Relationship Id="rId213" Type="http://schemas.openxmlformats.org/officeDocument/2006/relationships/hyperlink" Target="http://www.sec.gov/Archives/edgar/data/1311370/000119312513188120/d498095dex1055.htm" TargetMode="External"/><Relationship Id="rId214" Type="http://schemas.openxmlformats.org/officeDocument/2006/relationships/hyperlink" Target="http://www.sec.gov/Archives/edgar/data/1311370/000119312514184963/d687179dex1055.htm" TargetMode="External"/><Relationship Id="rId215" Type="http://schemas.openxmlformats.org/officeDocument/2006/relationships/hyperlink" Target="http://www.sec.gov/Archives/edgar/data/1311370/000119312514184963/d687179dex1056.htm" TargetMode="External"/><Relationship Id="rId216" Type="http://schemas.openxmlformats.org/officeDocument/2006/relationships/hyperlink" Target="http://www.sec.gov/Archives/edgar/data/1311370/000119312510102269/dex1055.htm" TargetMode="External"/><Relationship Id="rId217" Type="http://schemas.openxmlformats.org/officeDocument/2006/relationships/hyperlink" Target="http://www.sec.gov/Archives/edgar/data/1311370/000119312511117012/dex1055.htm" TargetMode="External"/><Relationship Id="rId218" Type="http://schemas.openxmlformats.org/officeDocument/2006/relationships/hyperlink" Target="http://www.sec.gov/Archives/edgar/data/1311370/000156459019013924/laz-ex1024_5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2020-02-25T05:28:14Z</dcterms:created>
  <dcterms:modified xsi:type="dcterms:W3CDTF">2020-02-25T05:28:14Z</dcterms:modified>
</cp:coreProperties>
</file>