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3" w:lineRule="exact"/>
        <w:rPr>
          <w:rFonts w:ascii="MS PGothic" w:cs="MS PGothic" w:eastAsia="MS PGothic" w:hAnsi="MS PGothic"/>
          <w:sz w:val="20"/>
          <w:szCs w:val="20"/>
          <w:color w:val="auto"/>
          <w:highlight w:val="black"/>
        </w:rPr>
      </w:pPr>
    </w:p>
    <w:p>
      <w:pPr>
        <w:ind w:left="398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quarterly period ended June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4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transition period from</w:t>
            </w:r>
          </w:p>
        </w:tc>
        <w:tc>
          <w:tcPr>
            <w:tcW w:w="4640" w:type="dxa"/>
            <w:vAlign w:val="bottom"/>
            <w:gridSpan w:val="5"/>
          </w:tcPr>
          <w:p>
            <w:pPr>
              <w:jc w:val="right"/>
              <w:ind w:right="4368"/>
              <w:spacing w:after="0"/>
              <w:rPr>
                <w:sz w:val="20"/>
                <w:szCs w:val="20"/>
                <w:color w:val="auto"/>
              </w:rPr>
            </w:pPr>
            <w:r>
              <w:rPr>
                <w:rFonts w:ascii="Arial" w:cs="Arial" w:eastAsia="Arial" w:hAnsi="Arial"/>
                <w:sz w:val="18"/>
                <w:szCs w:val="18"/>
                <w:b w:val="1"/>
                <w:bCs w:val="1"/>
                <w:color w:val="auto"/>
              </w:rPr>
              <w:t>to</w:t>
            </w:r>
          </w:p>
        </w:tc>
      </w:tr>
      <w:tr>
        <w:trPr>
          <w:trHeight w:val="322"/>
        </w:trPr>
        <w:tc>
          <w:tcPr>
            <w:tcW w:w="3400" w:type="dxa"/>
            <w:vAlign w:val="bottom"/>
          </w:tcPr>
          <w:p>
            <w:pPr>
              <w:spacing w:after="0"/>
              <w:rPr>
                <w:sz w:val="24"/>
                <w:szCs w:val="24"/>
                <w:color w:val="auto"/>
              </w:rPr>
            </w:pPr>
          </w:p>
        </w:tc>
        <w:tc>
          <w:tcPr>
            <w:tcW w:w="2840" w:type="dxa"/>
            <w:vAlign w:val="bottom"/>
            <w:gridSpan w:val="3"/>
          </w:tcPr>
          <w:p>
            <w:pPr>
              <w:jc w:val="center"/>
              <w:ind w:left="1627"/>
              <w:spacing w:after="0"/>
              <w:rPr>
                <w:sz w:val="20"/>
                <w:szCs w:val="20"/>
                <w:color w:val="auto"/>
              </w:rPr>
            </w:pPr>
            <w:r>
              <w:rPr>
                <w:rFonts w:ascii="Arial" w:cs="Arial" w:eastAsia="Arial" w:hAnsi="Arial"/>
                <w:sz w:val="18"/>
                <w:szCs w:val="18"/>
                <w:b w:val="1"/>
                <w:bCs w:val="1"/>
                <w:color w:val="auto"/>
                <w:w w:val="89"/>
              </w:rPr>
              <w:t>333-126751</w:t>
            </w: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86"/>
        </w:trPr>
        <w:tc>
          <w:tcPr>
            <w:tcW w:w="3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134"/>
        </w:trPr>
        <w:tc>
          <w:tcPr>
            <w:tcW w:w="3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tcPr>
          <w:p>
            <w:pPr>
              <w:spacing w:after="0"/>
              <w:rPr>
                <w:sz w:val="11"/>
                <w:szCs w:val="11"/>
                <w:color w:val="auto"/>
              </w:rPr>
            </w:pPr>
          </w:p>
        </w:tc>
      </w:tr>
      <w:tr>
        <w:trPr>
          <w:trHeight w:val="579"/>
        </w:trPr>
        <w:tc>
          <w:tcPr>
            <w:tcW w:w="3400" w:type="dxa"/>
            <w:vAlign w:val="bottom"/>
          </w:tcPr>
          <w:p>
            <w:pPr>
              <w:spacing w:after="0"/>
              <w:rPr>
                <w:sz w:val="24"/>
                <w:szCs w:val="24"/>
                <w:color w:val="auto"/>
              </w:rPr>
            </w:pPr>
          </w:p>
        </w:tc>
        <w:tc>
          <w:tcPr>
            <w:tcW w:w="8020" w:type="dxa"/>
            <w:vAlign w:val="bottom"/>
            <w:gridSpan w:val="9"/>
          </w:tcPr>
          <w:p>
            <w:pPr>
              <w:jc w:val="center"/>
              <w:ind w:right="3328"/>
              <w:spacing w:after="0"/>
              <w:rPr>
                <w:sz w:val="20"/>
                <w:szCs w:val="20"/>
                <w:color w:val="auto"/>
              </w:rPr>
            </w:pPr>
            <w:r>
              <w:rPr>
                <w:rFonts w:ascii="Arial" w:cs="Arial" w:eastAsia="Arial" w:hAnsi="Arial"/>
                <w:sz w:val="43"/>
                <w:szCs w:val="43"/>
                <w:b w:val="1"/>
                <w:bCs w:val="1"/>
                <w:color w:val="auto"/>
              </w:rPr>
              <w:t>LAZARD GROUP LLC</w:t>
            </w:r>
          </w:p>
        </w:tc>
      </w:tr>
      <w:tr>
        <w:trPr>
          <w:trHeight w:val="186"/>
        </w:trPr>
        <w:tc>
          <w:tcPr>
            <w:tcW w:w="3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580" w:type="dxa"/>
            <w:vAlign w:val="bottom"/>
            <w:gridSpan w:val="8"/>
          </w:tcPr>
          <w:p>
            <w:pPr>
              <w:jc w:val="center"/>
              <w:ind w:right="376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120"/>
        </w:trPr>
        <w:tc>
          <w:tcPr>
            <w:tcW w:w="3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80" w:type="dxa"/>
            <w:vAlign w:val="bottom"/>
          </w:tcPr>
          <w:p>
            <w:pPr>
              <w:spacing w:after="0"/>
              <w:rPr>
                <w:sz w:val="10"/>
                <w:szCs w:val="10"/>
                <w:color w:val="auto"/>
              </w:rPr>
            </w:pPr>
          </w:p>
        </w:tc>
      </w:tr>
      <w:tr>
        <w:trPr>
          <w:trHeight w:val="318"/>
        </w:trPr>
        <w:tc>
          <w:tcPr>
            <w:tcW w:w="3400" w:type="dxa"/>
            <w:vAlign w:val="bottom"/>
          </w:tcPr>
          <w:p>
            <w:pPr>
              <w:jc w:val="center"/>
              <w:ind w:left="2246"/>
              <w:spacing w:after="0"/>
              <w:rPr>
                <w:sz w:val="20"/>
                <w:szCs w:val="20"/>
                <w:color w:val="auto"/>
              </w:rPr>
            </w:pPr>
            <w:r>
              <w:rPr>
                <w:rFonts w:ascii="Arial" w:cs="Arial" w:eastAsia="Arial" w:hAnsi="Arial"/>
                <w:sz w:val="18"/>
                <w:szCs w:val="18"/>
                <w:b w:val="1"/>
                <w:bCs w:val="1"/>
                <w:color w:val="auto"/>
                <w:w w:val="91"/>
              </w:rPr>
              <w:t>Delaware</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40" w:type="dxa"/>
            <w:vAlign w:val="bottom"/>
            <w:gridSpan w:val="5"/>
          </w:tcPr>
          <w:p>
            <w:pPr>
              <w:jc w:val="right"/>
              <w:ind w:right="2268"/>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6780" w:type="dxa"/>
            <w:vAlign w:val="bottom"/>
            <w:gridSpan w:val="5"/>
          </w:tcPr>
          <w:p>
            <w:pPr>
              <w:jc w:val="center"/>
              <w:ind w:right="10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0" w:type="dxa"/>
            <w:vAlign w:val="bottom"/>
            <w:gridSpan w:val="3"/>
          </w:tcPr>
          <w:p>
            <w:pPr>
              <w:jc w:val="right"/>
              <w:ind w:right="1748"/>
              <w:spacing w:after="0" w:line="149" w:lineRule="exact"/>
              <w:rPr>
                <w:sz w:val="20"/>
                <w:szCs w:val="20"/>
                <w:color w:val="auto"/>
              </w:rPr>
            </w:pPr>
            <w:r>
              <w:rPr>
                <w:rFonts w:ascii="Arial" w:cs="Arial" w:eastAsia="Arial" w:hAnsi="Arial"/>
                <w:sz w:val="14"/>
                <w:szCs w:val="14"/>
                <w:b w:val="1"/>
                <w:bCs w:val="1"/>
                <w:color w:val="auto"/>
              </w:rPr>
              <w:t>(I.R.S. Employer Identification No.)</w:t>
            </w:r>
          </w:p>
        </w:tc>
      </w:tr>
      <w:tr>
        <w:trPr>
          <w:trHeight w:val="174"/>
        </w:trPr>
        <w:tc>
          <w:tcPr>
            <w:tcW w:w="3400" w:type="dxa"/>
            <w:vAlign w:val="bottom"/>
          </w:tcPr>
          <w:p>
            <w:pPr>
              <w:jc w:val="center"/>
              <w:ind w:left="2266"/>
              <w:spacing w:after="0"/>
              <w:rPr>
                <w:sz w:val="20"/>
                <w:szCs w:val="20"/>
                <w:color w:val="auto"/>
              </w:rPr>
            </w:pPr>
            <w:r>
              <w:rPr>
                <w:rFonts w:ascii="Arial" w:cs="Arial" w:eastAsia="Arial" w:hAnsi="Arial"/>
                <w:sz w:val="14"/>
                <w:szCs w:val="14"/>
                <w:b w:val="1"/>
                <w:bCs w:val="1"/>
                <w:color w:val="auto"/>
                <w:w w:val="90"/>
              </w:rPr>
              <w:t>or Organization)</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284"/>
        </w:trPr>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30 Rockefeller Plaza</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98"/>
        </w:trPr>
        <w:tc>
          <w:tcPr>
            <w:tcW w:w="3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center"/>
              <w:ind w:left="6"/>
              <w:spacing w:after="0"/>
              <w:rPr>
                <w:sz w:val="20"/>
                <w:szCs w:val="20"/>
                <w:color w:val="auto"/>
              </w:rPr>
            </w:pPr>
            <w:r>
              <w:rPr>
                <w:rFonts w:ascii="Arial" w:cs="Arial" w:eastAsia="Arial" w:hAnsi="Arial"/>
                <w:sz w:val="16"/>
                <w:szCs w:val="16"/>
                <w:b w:val="1"/>
                <w:bCs w:val="1"/>
                <w:color w:val="auto"/>
                <w:w w:val="94"/>
              </w:rPr>
              <w:t>New York, NY 10112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164"/>
        </w:trPr>
        <w:tc>
          <w:tcPr>
            <w:tcW w:w="3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gridSpan w:val="2"/>
          </w:tcPr>
          <w:p>
            <w:pPr>
              <w:jc w:val="center"/>
              <w:ind w:left="6"/>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294"/>
        </w:trPr>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80" w:type="dxa"/>
            <w:vAlign w:val="bottom"/>
            <w:gridSpan w:val="8"/>
          </w:tcPr>
          <w:p>
            <w:pPr>
              <w:jc w:val="center"/>
              <w:ind w:right="3748"/>
              <w:spacing w:after="0"/>
              <w:rPr>
                <w:sz w:val="20"/>
                <w:szCs w:val="20"/>
                <w:color w:val="auto"/>
              </w:rPr>
            </w:pPr>
            <w:r>
              <w:rPr>
                <w:rFonts w:ascii="Arial" w:cs="Arial" w:eastAsia="Arial" w:hAnsi="Arial"/>
                <w:sz w:val="16"/>
                <w:szCs w:val="16"/>
                <w:b w:val="1"/>
                <w:bCs w:val="1"/>
                <w:color w:val="auto"/>
                <w:w w:val="91"/>
              </w:rPr>
              <w:t>Registrant’s telephone number: (212) 632-6000</w:t>
            </w:r>
          </w:p>
        </w:tc>
      </w:tr>
      <w:tr>
        <w:trPr>
          <w:trHeight w:val="141"/>
        </w:trPr>
        <w:tc>
          <w:tcPr>
            <w:tcW w:w="384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265"/>
        </w:trPr>
        <w:tc>
          <w:tcPr>
            <w:tcW w:w="6780" w:type="dxa"/>
            <w:vAlign w:val="bottom"/>
            <w:gridSpan w:val="5"/>
          </w:tcPr>
          <w:p>
            <w:pPr>
              <w:ind w:left="520"/>
              <w:spacing w:after="0"/>
              <w:rPr>
                <w:sz w:val="20"/>
                <w:szCs w:val="20"/>
                <w:color w:val="auto"/>
              </w:rPr>
            </w:pPr>
            <w:r>
              <w:rPr>
                <w:rFonts w:ascii="Arial" w:cs="Arial" w:eastAsia="Arial" w:hAnsi="Arial"/>
                <w:sz w:val="14"/>
                <w:szCs w:val="14"/>
                <w:color w:val="auto"/>
              </w:rPr>
              <w:t>Securities registered pursuant to Section 12(b) of the Act: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107"/>
        </w:trPr>
        <w:tc>
          <w:tcPr>
            <w:tcW w:w="34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r>
      <w:tr>
        <w:trPr>
          <w:trHeight w:val="196"/>
        </w:trPr>
        <w:tc>
          <w:tcPr>
            <w:tcW w:w="3400" w:type="dxa"/>
            <w:vAlign w:val="bottom"/>
            <w:tcBorders>
              <w:left w:val="single" w:sz="8" w:color="auto"/>
              <w:bottom w:val="single" w:sz="8" w:color="auto"/>
            </w:tcBorders>
          </w:tcPr>
          <w:p>
            <w:pPr>
              <w:jc w:val="center"/>
              <w:ind w:left="366"/>
              <w:spacing w:after="0"/>
              <w:rPr>
                <w:sz w:val="20"/>
                <w:szCs w:val="20"/>
                <w:color w:val="auto"/>
              </w:rPr>
            </w:pPr>
            <w:r>
              <w:rPr>
                <w:rFonts w:ascii="Arial" w:cs="Arial" w:eastAsia="Arial" w:hAnsi="Arial"/>
                <w:sz w:val="14"/>
                <w:szCs w:val="14"/>
                <w:color w:val="auto"/>
                <w:w w:val="92"/>
              </w:rPr>
              <w:t>Title of each class</w:t>
            </w:r>
          </w:p>
        </w:tc>
        <w:tc>
          <w:tcPr>
            <w:tcW w:w="4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6"/>
              <w:spacing w:after="0"/>
              <w:rPr>
                <w:sz w:val="20"/>
                <w:szCs w:val="20"/>
                <w:color w:val="auto"/>
              </w:rPr>
            </w:pPr>
            <w:r>
              <w:rPr>
                <w:rFonts w:ascii="Arial" w:cs="Arial" w:eastAsia="Arial" w:hAnsi="Arial"/>
                <w:sz w:val="14"/>
                <w:szCs w:val="14"/>
                <w:color w:val="auto"/>
                <w:w w:val="94"/>
              </w:rPr>
              <w:t>Trading Symbol(s)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96"/>
        </w:trPr>
        <w:tc>
          <w:tcPr>
            <w:tcW w:w="3400" w:type="dxa"/>
            <w:vAlign w:val="bottom"/>
            <w:tcBorders>
              <w:left w:val="single" w:sz="8" w:color="auto"/>
              <w:bottom w:val="single" w:sz="8" w:color="auto"/>
            </w:tcBorders>
          </w:tcPr>
          <w:p>
            <w:pPr>
              <w:jc w:val="center"/>
              <w:ind w:left="366"/>
              <w:spacing w:after="0"/>
              <w:rPr>
                <w:sz w:val="20"/>
                <w:szCs w:val="20"/>
                <w:color w:val="auto"/>
              </w:rPr>
            </w:pPr>
            <w:r>
              <w:rPr>
                <w:rFonts w:ascii="Arial" w:cs="Arial" w:eastAsia="Arial" w:hAnsi="Arial"/>
                <w:sz w:val="14"/>
                <w:szCs w:val="14"/>
                <w:color w:val="auto"/>
                <w:w w:val="95"/>
              </w:rPr>
              <w:t>None</w:t>
            </w:r>
          </w:p>
        </w:tc>
        <w:tc>
          <w:tcPr>
            <w:tcW w:w="4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6"/>
              <w:spacing w:after="0"/>
              <w:rPr>
                <w:sz w:val="20"/>
                <w:szCs w:val="20"/>
                <w:color w:val="auto"/>
              </w:rPr>
            </w:pPr>
            <w:r>
              <w:rPr>
                <w:rFonts w:ascii="Arial" w:cs="Arial" w:eastAsia="Arial" w:hAnsi="Arial"/>
                <w:sz w:val="14"/>
                <w:szCs w:val="14"/>
                <w:color w:val="auto"/>
                <w:w w:val="95"/>
              </w:rPr>
              <w:t>None</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None</w:t>
            </w:r>
          </w:p>
        </w:tc>
      </w:tr>
    </w:tbl>
    <w:p>
      <w:pPr>
        <w:spacing w:after="0" w:line="89" w:lineRule="exact"/>
        <w:rPr>
          <w:sz w:val="24"/>
          <w:szCs w:val="24"/>
          <w:color w:val="auto"/>
        </w:rPr>
      </w:pPr>
    </w:p>
    <w:p>
      <w:pPr>
        <w:jc w:val="both"/>
        <w:ind w:right="2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4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580"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178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140" w:type="dxa"/>
            <w:vAlign w:val="bottom"/>
          </w:tcPr>
          <w:p>
            <w:pPr>
              <w:ind w:left="178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6" w:lineRule="exact"/>
        <w:rPr>
          <w:sz w:val="24"/>
          <w:szCs w:val="24"/>
          <w:color w:val="auto"/>
        </w:rPr>
      </w:pPr>
    </w:p>
    <w:p>
      <w:pPr>
        <w:ind w:right="220" w:firstLine="518"/>
        <w:spacing w:after="0" w:line="180"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right="3440"/>
        <w:spacing w:after="0" w:line="24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July 19, 2019,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543560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June 30, 2019 of all of the common membership interests in Lazard Group. Lazard Ltd controls Lazard Group through two of its indirect wholly-owned subsidiaries that are co-managing members of Lazard Group.</w:t>
      </w:r>
    </w:p>
    <w:p>
      <w:pPr>
        <w:spacing w:after="0" w:line="193"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 Lazard Group has also granted profits interest participation rights to certain of its managing directors. See Note 14 of Notes to Condensed Consolidated Financial Statements.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280" w:type="dxa"/>
            <w:vAlign w:val="bottom"/>
            <w:gridSpan w:val="9"/>
            <w:vMerge w:val="restart"/>
          </w:tcPr>
          <w:p>
            <w:pPr>
              <w:spacing w:after="0"/>
              <w:rPr>
                <w:sz w:val="14"/>
                <w:szCs w:val="14"/>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280" w:type="dxa"/>
            <w:vAlign w:val="bottom"/>
            <w:gridSpan w:val="9"/>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29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120" w:type="dxa"/>
            <w:vAlign w:val="bottom"/>
            <w:gridSpan w:val="4"/>
          </w:tcPr>
          <w:p>
            <w:pPr>
              <w:spacing w:after="0"/>
              <w:rPr>
                <w:sz w:val="24"/>
                <w:szCs w:val="24"/>
                <w:color w:val="auto"/>
              </w:rPr>
            </w:pPr>
          </w:p>
        </w:tc>
        <w:tc>
          <w:tcPr>
            <w:tcW w:w="66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Item 2. Management’s Discussion and Analysis of Financial Condition and Results of Operations</w:t>
              </w:r>
            </w:hyperlink>
          </w:p>
        </w:tc>
        <w:tc>
          <w:tcPr>
            <w:tcW w:w="30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Item 3. Quantitative and Qualitative Disclosures About Market Risk</w:t>
              </w:r>
            </w:hyperlink>
          </w:p>
        </w:tc>
        <w:tc>
          <w:tcPr>
            <w:tcW w:w="5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 Controls and Procedures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40" w:type="dxa"/>
            <w:vAlign w:val="bottom"/>
            <w:gridSpan w:val="14"/>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1. Legal Proceedings</w:t>
              </w:r>
            </w:hyperlink>
          </w:p>
        </w:tc>
        <w:tc>
          <w:tcPr>
            <w:tcW w:w="820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Item 1A. Risk Factors</w:t>
              </w:r>
            </w:hyperlink>
          </w:p>
        </w:tc>
        <w:tc>
          <w:tcPr>
            <w:tcW w:w="848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00" w:type="dxa"/>
            <w:vAlign w:val="bottom"/>
            <w:tcBorders>
              <w:top w:val="single" w:sz="8" w:color="0000EE"/>
            </w:tcBorders>
            <w:gridSpan w:val="1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3. Defaults Upon Senior Securities</w:t>
              </w:r>
            </w:hyperlink>
          </w:p>
        </w:tc>
        <w:tc>
          <w:tcPr>
            <w:tcW w:w="520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880" w:type="dxa"/>
            <w:vAlign w:val="bottom"/>
            <w:tcBorders>
              <w:top w:val="single" w:sz="8" w:color="0000EE"/>
            </w:tcBorders>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4. Mine Safety Disclosures</w:t>
              </w:r>
            </w:hyperlink>
          </w:p>
        </w:tc>
        <w:tc>
          <w:tcPr>
            <w:tcW w:w="722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24"/>
                <w:szCs w:val="24"/>
                <w:color w:val="auto"/>
              </w:rPr>
            </w:pPr>
          </w:p>
        </w:tc>
        <w:tc>
          <w:tcPr>
            <w:tcW w:w="77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Item 6. Exhibits</w:t>
              </w:r>
            </w:hyperlink>
          </w:p>
        </w:tc>
        <w:tc>
          <w:tcPr>
            <w:tcW w:w="894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318"/>
        </w:trPr>
        <w:tc>
          <w:tcPr>
            <w:tcW w:w="820" w:type="dxa"/>
            <w:vAlign w:val="bottom"/>
            <w:tcBorders>
              <w:bottom w:val="single" w:sz="8" w:color="0000EE"/>
            </w:tcBorders>
            <w:gridSpan w:val="2"/>
          </w:tcPr>
          <w:p>
            <w:pPr>
              <w:spacing w:after="0"/>
              <w:rPr>
                <w:rFonts w:ascii="Arial" w:cs="Arial" w:eastAsia="Arial" w:hAnsi="Arial"/>
                <w:sz w:val="18"/>
                <w:szCs w:val="18"/>
                <w:b w:val="1"/>
                <w:bCs w:val="1"/>
                <w:color w:val="0000EE"/>
                <w:w w:val="85"/>
              </w:rPr>
            </w:pPr>
            <w:hyperlink w:anchor="page73">
              <w:r>
                <w:rPr>
                  <w:rFonts w:ascii="Arial" w:cs="Arial" w:eastAsia="Arial" w:hAnsi="Arial"/>
                  <w:sz w:val="18"/>
                  <w:szCs w:val="18"/>
                  <w:b w:val="1"/>
                  <w:bCs w:val="1"/>
                  <w:color w:val="0000EE"/>
                  <w:w w:val="85"/>
                </w:rPr>
                <w:t>Signatures</w:t>
              </w:r>
            </w:hyperlink>
          </w:p>
        </w:tc>
        <w:tc>
          <w:tcPr>
            <w:tcW w:w="972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5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June 30, 2019 and December 31, 2018</w:t>
              </w:r>
            </w:hyperlink>
          </w:p>
        </w:tc>
        <w:tc>
          <w:tcPr>
            <w:tcW w:w="3220" w:type="dxa"/>
            <w:vAlign w:val="bottom"/>
            <w:gridSpan w:val="5"/>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2</w:t>
            </w:r>
          </w:p>
        </w:tc>
      </w:tr>
      <w:tr>
        <w:trPr>
          <w:trHeight w:val="318"/>
        </w:trPr>
        <w:tc>
          <w:tcPr>
            <w:tcW w:w="60" w:type="dxa"/>
            <w:vAlign w:val="bottom"/>
          </w:tcPr>
          <w:p>
            <w:pPr>
              <w:spacing w:after="0"/>
              <w:rPr>
                <w:sz w:val="24"/>
                <w:szCs w:val="24"/>
                <w:color w:val="auto"/>
              </w:rPr>
            </w:pPr>
          </w:p>
        </w:tc>
        <w:tc>
          <w:tcPr>
            <w:tcW w:w="89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six month periods ended June 30, 2019 and 2018</w:t>
              </w:r>
            </w:hyperlink>
          </w:p>
        </w:tc>
        <w:tc>
          <w:tcPr>
            <w:tcW w:w="1760" w:type="dxa"/>
            <w:vAlign w:val="bottom"/>
            <w:gridSpan w:val="3"/>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4</w:t>
            </w:r>
          </w:p>
        </w:tc>
      </w:tr>
      <w:tr>
        <w:trPr>
          <w:trHeight w:val="318"/>
        </w:trPr>
        <w:tc>
          <w:tcPr>
            <w:tcW w:w="60" w:type="dxa"/>
            <w:vAlign w:val="bottom"/>
          </w:tcPr>
          <w:p>
            <w:pPr>
              <w:spacing w:after="0"/>
              <w:rPr>
                <w:sz w:val="24"/>
                <w:szCs w:val="24"/>
                <w:color w:val="auto"/>
              </w:rPr>
            </w:pPr>
          </w:p>
        </w:tc>
        <w:tc>
          <w:tcPr>
            <w:tcW w:w="9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six month periods ended June 30, 2019 and 2018</w:t>
              </w:r>
            </w:hyperlink>
          </w:p>
        </w:tc>
        <w:tc>
          <w:tcPr>
            <w:tcW w:w="840" w:type="dxa"/>
            <w:vAlign w:val="bottom"/>
            <w:gridSpan w:val="2"/>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5</w:t>
            </w:r>
          </w:p>
        </w:tc>
      </w:tr>
      <w:tr>
        <w:trPr>
          <w:trHeight w:val="318"/>
        </w:trPr>
        <w:tc>
          <w:tcPr>
            <w:tcW w:w="6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 periods ended June 30, 2019 and 2018</w:t>
              </w:r>
            </w:hyperlink>
          </w:p>
        </w:tc>
        <w:tc>
          <w:tcPr>
            <w:tcW w:w="2920" w:type="dxa"/>
            <w:vAlign w:val="bottom"/>
            <w:gridSpan w:val="4"/>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6</w:t>
            </w:r>
          </w:p>
        </w:tc>
      </w:tr>
      <w:tr>
        <w:trPr>
          <w:trHeight w:val="318"/>
        </w:trPr>
        <w:tc>
          <w:tcPr>
            <w:tcW w:w="60" w:type="dxa"/>
            <w:vAlign w:val="bottom"/>
          </w:tcPr>
          <w:p>
            <w:pPr>
              <w:spacing w:after="0"/>
              <w:rPr>
                <w:sz w:val="24"/>
                <w:szCs w:val="24"/>
                <w:color w:val="auto"/>
              </w:rPr>
            </w:pPr>
          </w:p>
        </w:tc>
        <w:tc>
          <w:tcPr>
            <w:tcW w:w="103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Changes in Members’ Equity for the three month and six month periods ended June 30, 2019 and 2018</w:t>
              </w:r>
            </w:hyperlink>
          </w:p>
        </w:tc>
        <w:tc>
          <w:tcPr>
            <w:tcW w:w="440" w:type="dxa"/>
            <w:vAlign w:val="bottom"/>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7</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Condensed Consolidated Financial Statements</w:t>
              </w:r>
            </w:hyperlink>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11</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835,416</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1,185,040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1,301,520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38,379</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$33,484 and $40,115 at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2019 and December 31, 2018,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501,790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499,068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184,137</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21,103</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739,837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704,308</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575,424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$350,622 and $339,448</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 June 30, 2019 and December 31, 2018,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205,329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211,713</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476,907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 of $64,416 and</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$63,591 at June 30, 2019 and December 31, 2018,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352,755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354,463</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55,042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318,527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258,413</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4,903,522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4,389,475</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0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Liabilities: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1,480,684</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1,154,208</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330,558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583,730</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Senior debt</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1,678,131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1,434,260</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Payable to Lazard Ltd subsidiaries</w:t>
            </w: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63,185</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490,341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565,801</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4,601,857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3,806,723</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Members' equity (net of 20,923,448 and 16,737,000 shares of Lazard Ltd Class A</w:t>
            </w: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at a cost of $845,421 and $729,910 at June 30, 2019 and</w:t>
            </w: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2018, respectively)</w:t>
            </w: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465,436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758,705</w:t>
            </w:r>
          </w:p>
        </w:tc>
        <w:tc>
          <w:tcPr>
            <w:tcW w:w="120" w:type="dxa"/>
            <w:vAlign w:val="bottom"/>
            <w:shd w:val="clear" w:color="auto" w:fill="CFF0FC"/>
          </w:tcPr>
          <w:p>
            <w:pPr>
              <w:spacing w:after="0"/>
              <w:rPr>
                <w:sz w:val="20"/>
                <w:szCs w:val="20"/>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(227,594)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(228,660)</w:t>
            </w:r>
          </w:p>
        </w:tc>
      </w:tr>
      <w:tr>
        <w:trPr>
          <w:trHeight w:val="223"/>
        </w:trPr>
        <w:tc>
          <w:tcPr>
            <w:tcW w:w="70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Group LLC Members' Equity</w:t>
            </w:r>
          </w:p>
        </w:tc>
        <w:tc>
          <w:tcPr>
            <w:tcW w:w="8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237,842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530,045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8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52,707</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Members’ Equity</w:t>
            </w:r>
          </w:p>
        </w:tc>
        <w:tc>
          <w:tcPr>
            <w:tcW w:w="8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582,752</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Pr>
          <w:p>
            <w:pPr>
              <w:ind w:left="500"/>
              <w:spacing w:after="0"/>
              <w:rPr>
                <w:sz w:val="20"/>
                <w:szCs w:val="20"/>
                <w:color w:val="auto"/>
              </w:rPr>
            </w:pPr>
            <w:r>
              <w:rPr>
                <w:rFonts w:ascii="Arial" w:cs="Arial" w:eastAsia="Arial" w:hAnsi="Arial"/>
                <w:sz w:val="18"/>
                <w:szCs w:val="18"/>
                <w:color w:val="auto"/>
              </w:rPr>
              <w:t>Total Liabilities and Members’ Equity</w:t>
            </w:r>
          </w:p>
        </w:tc>
        <w:tc>
          <w:tcPr>
            <w:tcW w:w="8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4,903,522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4,389,475</w:t>
            </w:r>
          </w:p>
        </w:tc>
        <w:tc>
          <w:tcPr>
            <w:tcW w:w="12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8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327,127</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418,823</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646,482</w:t>
            </w:r>
          </w:p>
        </w:tc>
        <w:tc>
          <w:tcPr>
            <w:tcW w:w="16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826,895</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296,581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673,987</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31,065</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649,190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769,157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1,294,081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1,536,890</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628,150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754,639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1,254,152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1,507,900</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370,452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414,615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740,700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817,922</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59,113</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53,772</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38,788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65,730</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27,678</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68,411</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36,424</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520,537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562,825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1,037,676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1,129,134</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378,766</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50,060</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160,369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328,706</w:t>
            </w:r>
          </w:p>
        </w:tc>
        <w:tc>
          <w:tcPr>
            <w:tcW w:w="120" w:type="dxa"/>
            <w:vAlign w:val="bottom"/>
            <w:shd w:val="clear" w:color="auto" w:fill="CFF0FC"/>
          </w:tcPr>
          <w:p>
            <w:pPr>
              <w:spacing w:after="0"/>
              <w:rPr>
                <w:sz w:val="19"/>
                <w:szCs w:val="19"/>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LESS - NET INCOME ATTRIBUTABLE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TO NONCONTROLLING INTERESTS</w:t>
            </w:r>
          </w:p>
        </w:tc>
        <w:tc>
          <w:tcPr>
            <w:tcW w:w="5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FF0FC"/>
            </w:tcBorders>
          </w:tcPr>
          <w:p>
            <w:pPr>
              <w:spacing w:after="0"/>
              <w:rPr>
                <w:sz w:val="20"/>
                <w:szCs w:val="20"/>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5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82,601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158,953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176,042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325,321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328,706</w:t>
            </w:r>
          </w:p>
        </w:tc>
        <w:tc>
          <w:tcPr>
            <w:tcW w:w="120" w:type="dxa"/>
            <w:vAlign w:val="bottom"/>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(6,969)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(40,576)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(4,040)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(21,627)</w:t>
            </w: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(net of tax expense of $2,420</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$1,746 for the three months ended June 30, 2019</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2018, respectively, and $2,720 and $404</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six months ended June 30, 2019 and 2018,</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120" w:type="dxa"/>
            <w:vAlign w:val="bottom"/>
            <w:shd w:val="clear" w:color="auto" w:fill="CFF0FC"/>
          </w:tcPr>
          <w:p>
            <w:pPr>
              <w:spacing w:after="0"/>
              <w:rPr>
                <w:sz w:val="20"/>
                <w:szCs w:val="20"/>
                <w:color w:val="auto"/>
              </w:rPr>
            </w:pPr>
          </w:p>
        </w:tc>
      </w:tr>
      <w:tr>
        <w:trPr>
          <w:trHeight w:val="215"/>
        </w:trPr>
        <w:tc>
          <w:tcPr>
            <w:tcW w:w="550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tax expense of $174 and $468 for the three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months ended June 30, 2019 and 2018, respectively,</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and $352 and $684 for the six months ended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0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June 30, 2019 and 2018, respectively)</w:t>
            </w:r>
          </w:p>
        </w:tc>
        <w:tc>
          <w:tcPr>
            <w:tcW w:w="6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Borders>
              <w:bottom w:val="single" w:sz="8" w:color="CFF0FC"/>
            </w:tcBorders>
          </w:tcPr>
          <w:p>
            <w:pPr>
              <w:spacing w:after="0"/>
              <w:rPr>
                <w:sz w:val="20"/>
                <w:szCs w:val="20"/>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(16,502)</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128,870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184,278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312,204</w:t>
            </w:r>
          </w:p>
        </w:tc>
        <w:tc>
          <w:tcPr>
            <w:tcW w:w="120" w:type="dxa"/>
            <w:vAlign w:val="bottom"/>
          </w:tcPr>
          <w:p>
            <w:pPr>
              <w:spacing w:after="0"/>
              <w:rPr>
                <w:sz w:val="19"/>
                <w:szCs w:val="19"/>
                <w:color w:val="auto"/>
              </w:rPr>
            </w:pPr>
          </w:p>
        </w:tc>
      </w:tr>
      <w:tr>
        <w:trPr>
          <w:trHeight w:val="211"/>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6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7,170</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20" w:type="dxa"/>
            <w:vAlign w:val="bottom"/>
            <w:shd w:val="clear" w:color="auto" w:fill="CFF0FC"/>
          </w:tcPr>
          <w:p>
            <w:pPr>
              <w:spacing w:after="0"/>
              <w:rPr>
                <w:sz w:val="20"/>
                <w:szCs w:val="20"/>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79,558</w:t>
            </w:r>
          </w:p>
        </w:tc>
        <w:tc>
          <w:tcPr>
            <w:tcW w:w="160" w:type="dxa"/>
            <w:vAlign w:val="bottom"/>
          </w:tcPr>
          <w:p>
            <w:pPr>
              <w:spacing w:after="0"/>
              <w:rPr>
                <w:sz w:val="20"/>
                <w:szCs w:val="20"/>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127,455</w:t>
            </w:r>
          </w:p>
        </w:tc>
        <w:tc>
          <w:tcPr>
            <w:tcW w:w="140" w:type="dxa"/>
            <w:vAlign w:val="bottom"/>
          </w:tcPr>
          <w:p>
            <w:pPr>
              <w:spacing w:after="0"/>
              <w:rPr>
                <w:sz w:val="20"/>
                <w:szCs w:val="20"/>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177,108</w:t>
            </w:r>
          </w:p>
        </w:tc>
        <w:tc>
          <w:tcPr>
            <w:tcW w:w="240" w:type="dxa"/>
            <w:vAlign w:val="bottom"/>
          </w:tcPr>
          <w:p>
            <w:pPr>
              <w:spacing w:after="0"/>
              <w:rPr>
                <w:sz w:val="20"/>
                <w:szCs w:val="20"/>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308,820</w:t>
            </w:r>
          </w:p>
        </w:tc>
        <w:tc>
          <w:tcPr>
            <w:tcW w:w="12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4"/>
                <w:szCs w:val="14"/>
                <w:b w:val="1"/>
                <w:bCs w:val="1"/>
                <w:color w:val="auto"/>
              </w:rPr>
              <w:t>June 30,</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183,212</w:t>
            </w:r>
          </w:p>
        </w:tc>
        <w:tc>
          <w:tcPr>
            <w:tcW w:w="28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328,706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16,091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lease expense</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26,672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225,441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224,485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other acquisition-related (benefits) costs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Deferred tax benefit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(8,548)</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assets and increase (decrease) in</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380"/>
              <w:spacing w:after="0"/>
              <w:rPr>
                <w:sz w:val="20"/>
                <w:szCs w:val="20"/>
                <w:color w:val="auto"/>
              </w:rPr>
            </w:pPr>
            <w:r>
              <w:rPr>
                <w:rFonts w:ascii="Arial" w:cs="Arial" w:eastAsia="Arial" w:hAnsi="Arial"/>
                <w:sz w:val="16"/>
                <w:szCs w:val="16"/>
                <w:color w:val="auto"/>
              </w:rPr>
              <w:t>operating liabilities: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(35,519)</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(243,419)</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(79,998)</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(107,587)</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(131,417)</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(252,760)</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(120,330)</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provided by (used in) operating activities</w:t>
            </w: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60,453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(18,060)</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(31,846)</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7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(17,975)</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(30,518)</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Issuance of senior debt, net of expenses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491,875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 net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314,730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Payments for:</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Senior debt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(255,746)</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(7,786)</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(5,060)</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(351,712)</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(223,795)</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Distributions to members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(178,935)</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(265,592)</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share-based incentive compensation</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(96,089)</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(109,218)</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(4,723)</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(4,698)</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(87,193)</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(537,653)</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 CASH EQUIVALENTS AND</w:t>
            </w:r>
          </w:p>
        </w:tc>
        <w:tc>
          <w:tcPr>
            <w:tcW w:w="7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(8,976)</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(46,727)</w:t>
            </w:r>
          </w:p>
        </w:tc>
        <w:tc>
          <w:tcPr>
            <w:tcW w:w="0" w:type="dxa"/>
            <w:vAlign w:val="bottom"/>
          </w:tcPr>
          <w:p>
            <w:pPr>
              <w:spacing w:after="0"/>
              <w:rPr>
                <w:sz w:val="1"/>
                <w:szCs w:val="1"/>
                <w:color w:val="auto"/>
              </w:rPr>
            </w:pPr>
          </w:p>
        </w:tc>
      </w:tr>
      <w:tr>
        <w:trPr>
          <w:trHeight w:val="199"/>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DECREASE IN CASH AND CASH EQUIVALENTS AND</w:t>
            </w:r>
          </w:p>
        </w:tc>
        <w:tc>
          <w:tcPr>
            <w:tcW w:w="7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(53,691)</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(623,976)</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AND RESTRICTED CASH—January 1</w:t>
            </w:r>
          </w:p>
        </w:tc>
        <w:tc>
          <w:tcPr>
            <w:tcW w:w="7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2,230,388</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2,441,266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CASH—June 30</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2,176,697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1,817,290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7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WITHIN THE CONDENSED CONSOLIDATED STATEMENTS OF FINANCIAL</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CONDITION:</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716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835,416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1,185,040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1,301,520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1,006,969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39,761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2,176,697</w:t>
            </w:r>
          </w:p>
        </w:tc>
        <w:tc>
          <w:tcPr>
            <w:tcW w:w="2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2,230,388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1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6"/>
              </w:rPr>
              <w:t>Lazard Group</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r>
      <w:tr>
        <w:trPr>
          <w:trHeight w:val="216"/>
        </w:trPr>
        <w:tc>
          <w:tcPr>
            <w:tcW w:w="1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9"/>
              </w:rPr>
              <w:t>Members'</w:t>
            </w: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Income (Loss),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Members'</w:t>
            </w:r>
          </w:p>
        </w:tc>
        <w:tc>
          <w:tcPr>
            <w:tcW w:w="8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4"/>
              </w:rPr>
              <w:t>Noncontrolling</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Members'</w:t>
            </w:r>
          </w:p>
        </w:tc>
      </w:tr>
      <w:tr>
        <w:trPr>
          <w:trHeight w:val="219"/>
        </w:trPr>
        <w:tc>
          <w:tcPr>
            <w:tcW w:w="1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Equity</w:t>
            </w:r>
          </w:p>
        </w:tc>
        <w:tc>
          <w:tcPr>
            <w:tcW w:w="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Net of Tax</w:t>
            </w:r>
          </w:p>
        </w:tc>
        <w:tc>
          <w:tcPr>
            <w:tcW w:w="14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Equity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Interests</w:t>
            </w: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r>
      <w:tr>
        <w:trPr>
          <w:trHeight w:val="213"/>
        </w:trPr>
        <w:tc>
          <w:tcPr>
            <w:tcW w:w="4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April 1, 2018 (*)</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838,340</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(180,259)</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658,081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59,075</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717,156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70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7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158,953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160,369</w:t>
            </w:r>
          </w:p>
        </w:tc>
        <w:tc>
          <w:tcPr>
            <w:tcW w:w="100" w:type="dxa"/>
            <w:vAlign w:val="bottom"/>
            <w:shd w:val="clear" w:color="auto" w:fill="CFF0FC"/>
          </w:tcPr>
          <w:p>
            <w:pPr>
              <w:spacing w:after="0"/>
              <w:rPr>
                <w:sz w:val="19"/>
                <w:szCs w:val="19"/>
                <w:color w:val="auto"/>
              </w:rPr>
            </w:pPr>
          </w:p>
        </w:tc>
      </w:tr>
      <w:tr>
        <w:trPr>
          <w:trHeight w:val="213"/>
        </w:trPr>
        <w:tc>
          <w:tcPr>
            <w:tcW w:w="4700" w:type="dxa"/>
            <w:vAlign w:val="bottom"/>
            <w:gridSpan w:val="2"/>
          </w:tcPr>
          <w:p>
            <w:pPr>
              <w:ind w:left="260"/>
              <w:spacing w:after="0"/>
              <w:rPr>
                <w:sz w:val="20"/>
                <w:szCs w:val="20"/>
                <w:color w:val="auto"/>
              </w:rPr>
            </w:pPr>
            <w:r>
              <w:rPr>
                <w:rFonts w:ascii="Arial" w:cs="Arial" w:eastAsia="Arial" w:hAnsi="Arial"/>
                <w:sz w:val="16"/>
                <w:szCs w:val="16"/>
                <w:color w:val="auto"/>
              </w:rPr>
              <w:t>Other comprehensive loss - net of tax</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(31,498)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(31,498)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(31,499)</w:t>
            </w:r>
          </w:p>
        </w:tc>
      </w:tr>
      <w:tr>
        <w:trPr>
          <w:trHeight w:val="21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87,010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87,010</w:t>
            </w:r>
          </w:p>
        </w:tc>
        <w:tc>
          <w:tcPr>
            <w:tcW w:w="100" w:type="dxa"/>
            <w:vAlign w:val="bottom"/>
            <w:shd w:val="clear" w:color="auto" w:fill="CFF0FC"/>
          </w:tcPr>
          <w:p>
            <w:pPr>
              <w:spacing w:after="0"/>
              <w:rPr>
                <w:sz w:val="19"/>
                <w:szCs w:val="19"/>
                <w:color w:val="auto"/>
              </w:rPr>
            </w:pPr>
          </w:p>
        </w:tc>
      </w:tr>
      <w:tr>
        <w:trPr>
          <w:trHeight w:val="206"/>
        </w:trPr>
        <w:tc>
          <w:tcPr>
            <w:tcW w:w="470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70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(61,672)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(61,672)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(3,093)</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(64,765)</w:t>
            </w:r>
          </w:p>
        </w:tc>
      </w:tr>
      <w:tr>
        <w:trPr>
          <w:trHeight w:val="21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(77,846)</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(77,846)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(77,846)</w:t>
            </w:r>
          </w:p>
        </w:tc>
      </w:tr>
      <w:tr>
        <w:trPr>
          <w:trHeight w:val="206"/>
        </w:trPr>
        <w:tc>
          <w:tcPr>
            <w:tcW w:w="470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70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(8,176)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(8,176)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(8,176)</w:t>
            </w:r>
          </w:p>
        </w:tc>
      </w:tr>
      <w:tr>
        <w:trPr>
          <w:trHeight w:val="20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7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70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r>
      <w:tr>
        <w:trPr>
          <w:trHeight w:val="21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(914)</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(914)</w:t>
            </w:r>
          </w:p>
        </w:tc>
      </w:tr>
      <w:tr>
        <w:trPr>
          <w:trHeight w:val="207"/>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Balance - June 30, 2018 (*)</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935,787</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(211,757)</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724,030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57,397</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781,427</w:t>
            </w:r>
          </w:p>
        </w:tc>
        <w:tc>
          <w:tcPr>
            <w:tcW w:w="10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
        </w:trPr>
        <w:tc>
          <w:tcPr>
            <w:tcW w:w="1920" w:type="dxa"/>
            <w:vAlign w:val="bottom"/>
            <w:tcBorders>
              <w:bottom w:val="single" w:sz="8" w:color="auto"/>
            </w:tcBorders>
          </w:tcPr>
          <w:p>
            <w:pPr>
              <w:spacing w:after="0"/>
              <w:rPr>
                <w:sz w:val="3"/>
                <w:szCs w:val="3"/>
                <w:color w:val="auto"/>
              </w:rPr>
            </w:pPr>
          </w:p>
        </w:tc>
        <w:tc>
          <w:tcPr>
            <w:tcW w:w="2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rPr>
          <w:sz w:val="20"/>
          <w:szCs w:val="20"/>
          <w:color w:val="auto"/>
        </w:rPr>
      </w:pPr>
      <w:r>
        <w:rPr>
          <w:rFonts w:ascii="Arial" w:cs="Arial" w:eastAsia="Arial" w:hAnsi="Arial"/>
          <w:sz w:val="16"/>
          <w:szCs w:val="16"/>
          <w:color w:val="auto"/>
        </w:rPr>
        <w:t>(*) At both April 1, 2018 and June 30, 2018, in addition to profit participation interests, there were two managing member interests.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2018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1,043,574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(195,256)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848,318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58,582</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906,900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6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325,321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325,321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328,706</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gridSpan w:val="2"/>
          </w:tcPr>
          <w:p>
            <w:pPr>
              <w:ind w:left="14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(16,501)</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(16,501)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(16,502)</w:t>
            </w: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(265,592)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(265,592)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(4,569)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(270,161)</w:t>
            </w: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(223,795)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(223,795)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(223,795)</w:t>
            </w:r>
          </w:p>
        </w:tc>
      </w:tr>
      <w:tr>
        <w:trPr>
          <w:trHeight w:val="206"/>
        </w:trPr>
        <w:tc>
          <w:tcPr>
            <w:tcW w:w="466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(109,218)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(109,218)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(109,218)</w:t>
            </w: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 transactions: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466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r>
      <w:tr>
        <w:trPr>
          <w:trHeight w:val="21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(4,518)</w:t>
            </w:r>
          </w:p>
        </w:tc>
      </w:tr>
      <w:tr>
        <w:trPr>
          <w:trHeight w:val="207"/>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Balance - June 30, 2018 (*)</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935,787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(211,757)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724,030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57,397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781,427</w:t>
            </w:r>
          </w:p>
        </w:tc>
        <w:tc>
          <w:tcPr>
            <w:tcW w:w="10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
        </w:trPr>
        <w:tc>
          <w:tcPr>
            <w:tcW w:w="1920" w:type="dxa"/>
            <w:vAlign w:val="bottom"/>
            <w:tcBorders>
              <w:bottom w:val="single" w:sz="8" w:color="auto"/>
            </w:tcBorders>
          </w:tcPr>
          <w:p>
            <w:pPr>
              <w:spacing w:after="0"/>
              <w:rPr>
                <w:sz w:val="3"/>
                <w:szCs w:val="3"/>
                <w:color w:val="auto"/>
              </w:rPr>
            </w:pPr>
          </w:p>
        </w:tc>
        <w:tc>
          <w:tcPr>
            <w:tcW w:w="2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rPr>
          <w:sz w:val="20"/>
          <w:szCs w:val="20"/>
          <w:color w:val="auto"/>
        </w:rPr>
      </w:pPr>
      <w:r>
        <w:rPr>
          <w:rFonts w:ascii="Arial" w:cs="Arial" w:eastAsia="Arial" w:hAnsi="Arial"/>
          <w:sz w:val="16"/>
          <w:szCs w:val="16"/>
          <w:color w:val="auto"/>
        </w:rPr>
        <w:t>(*) At both January 1, 2018 and June 30, 2018,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1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6"/>
              </w:rPr>
              <w:t>Lazard Group</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r>
      <w:tr>
        <w:trPr>
          <w:trHeight w:val="216"/>
        </w:trPr>
        <w:tc>
          <w:tcPr>
            <w:tcW w:w="1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9"/>
              </w:rPr>
              <w:t>Members'</w:t>
            </w: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Income (Loss),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Members'</w:t>
            </w:r>
          </w:p>
        </w:tc>
        <w:tc>
          <w:tcPr>
            <w:tcW w:w="8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4"/>
              </w:rPr>
              <w:t>Noncontrolling</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Members'</w:t>
            </w:r>
          </w:p>
        </w:tc>
      </w:tr>
      <w:tr>
        <w:trPr>
          <w:trHeight w:val="219"/>
        </w:trPr>
        <w:tc>
          <w:tcPr>
            <w:tcW w:w="19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Equity</w:t>
            </w:r>
          </w:p>
        </w:tc>
        <w:tc>
          <w:tcPr>
            <w:tcW w:w="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Net of Tax</w:t>
            </w:r>
          </w:p>
        </w:tc>
        <w:tc>
          <w:tcPr>
            <w:tcW w:w="14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Equity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Interests</w:t>
            </w: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r>
      <w:tr>
        <w:trPr>
          <w:trHeight w:val="213"/>
        </w:trPr>
        <w:tc>
          <w:tcPr>
            <w:tcW w:w="4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April 1, 2019 (*)</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599,773</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(224,551)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375,222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51,623</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426,845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70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7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90,337</w:t>
            </w:r>
          </w:p>
        </w:tc>
        <w:tc>
          <w:tcPr>
            <w:tcW w:w="100" w:type="dxa"/>
            <w:vAlign w:val="bottom"/>
            <w:shd w:val="clear" w:color="auto" w:fill="CFF0FC"/>
          </w:tcPr>
          <w:p>
            <w:pPr>
              <w:spacing w:after="0"/>
              <w:rPr>
                <w:sz w:val="19"/>
                <w:szCs w:val="19"/>
                <w:color w:val="auto"/>
              </w:rPr>
            </w:pPr>
          </w:p>
        </w:tc>
      </w:tr>
      <w:tr>
        <w:trPr>
          <w:trHeight w:val="213"/>
        </w:trPr>
        <w:tc>
          <w:tcPr>
            <w:tcW w:w="4700" w:type="dxa"/>
            <w:vAlign w:val="bottom"/>
            <w:gridSpan w:val="2"/>
          </w:tcPr>
          <w:p>
            <w:pPr>
              <w:ind w:left="260"/>
              <w:spacing w:after="0"/>
              <w:rPr>
                <w:sz w:val="20"/>
                <w:szCs w:val="20"/>
                <w:color w:val="auto"/>
              </w:rPr>
            </w:pPr>
            <w:r>
              <w:rPr>
                <w:rFonts w:ascii="Arial" w:cs="Arial" w:eastAsia="Arial" w:hAnsi="Arial"/>
                <w:sz w:val="16"/>
                <w:szCs w:val="16"/>
                <w:color w:val="auto"/>
              </w:rPr>
              <w:t>Other comprehensive loss - net of tax</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(3,043)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(3,043)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(3,044)</w:t>
            </w:r>
          </w:p>
        </w:tc>
      </w:tr>
      <w:tr>
        <w:trPr>
          <w:trHeight w:val="21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76,402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76,402</w:t>
            </w:r>
          </w:p>
        </w:tc>
        <w:tc>
          <w:tcPr>
            <w:tcW w:w="100" w:type="dxa"/>
            <w:vAlign w:val="bottom"/>
            <w:shd w:val="clear" w:color="auto" w:fill="CFF0FC"/>
          </w:tcPr>
          <w:p>
            <w:pPr>
              <w:spacing w:after="0"/>
              <w:rPr>
                <w:sz w:val="19"/>
                <w:szCs w:val="19"/>
                <w:color w:val="auto"/>
              </w:rPr>
            </w:pPr>
          </w:p>
        </w:tc>
      </w:tr>
      <w:tr>
        <w:trPr>
          <w:trHeight w:val="206"/>
        </w:trPr>
        <w:tc>
          <w:tcPr>
            <w:tcW w:w="470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70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(126,725)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(126,725)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(6,999)</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(133,724)</w:t>
            </w:r>
          </w:p>
        </w:tc>
      </w:tr>
      <w:tr>
        <w:trPr>
          <w:trHeight w:val="21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(159,615)</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(159,615)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(159,615)</w:t>
            </w:r>
          </w:p>
        </w:tc>
      </w:tr>
      <w:tr>
        <w:trPr>
          <w:trHeight w:val="206"/>
        </w:trPr>
        <w:tc>
          <w:tcPr>
            <w:tcW w:w="470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benefit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700" w:type="dxa"/>
            <w:vAlign w:val="bottom"/>
            <w:gridSpan w:val="2"/>
          </w:tcPr>
          <w:p>
            <w:pPr>
              <w:ind w:left="120"/>
              <w:spacing w:after="0"/>
              <w:rPr>
                <w:sz w:val="20"/>
                <w:szCs w:val="20"/>
                <w:color w:val="auto"/>
              </w:rPr>
            </w:pPr>
            <w:r>
              <w:rPr>
                <w:rFonts w:ascii="Arial" w:cs="Arial" w:eastAsia="Arial" w:hAnsi="Arial"/>
                <w:sz w:val="16"/>
                <w:szCs w:val="16"/>
                <w:color w:val="auto"/>
              </w:rPr>
              <w:t>of $11</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(5,421)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(5,421)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(5,421)</w:t>
            </w:r>
          </w:p>
        </w:tc>
      </w:tr>
      <w:tr>
        <w:trPr>
          <w:trHeight w:val="20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7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70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r>
      <w:tr>
        <w:trPr>
          <w:trHeight w:val="219"/>
        </w:trPr>
        <w:tc>
          <w:tcPr>
            <w:tcW w:w="4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Consolidation of VIEs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11,464</w:t>
            </w:r>
          </w:p>
        </w:tc>
        <w:tc>
          <w:tcPr>
            <w:tcW w:w="100" w:type="dxa"/>
            <w:vAlign w:val="bottom"/>
            <w:shd w:val="clear" w:color="auto" w:fill="CFF0FC"/>
          </w:tcPr>
          <w:p>
            <w:pPr>
              <w:spacing w:after="0"/>
              <w:rPr>
                <w:sz w:val="19"/>
                <w:szCs w:val="19"/>
                <w:color w:val="auto"/>
              </w:rPr>
            </w:pPr>
          </w:p>
        </w:tc>
      </w:tr>
      <w:tr>
        <w:trPr>
          <w:trHeight w:val="213"/>
        </w:trPr>
        <w:tc>
          <w:tcPr>
            <w:tcW w:w="4700" w:type="dxa"/>
            <w:vAlign w:val="bottom"/>
            <w:gridSpan w:val="2"/>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(1,631)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(1,631)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(1,631)</w:t>
            </w:r>
          </w:p>
        </w:tc>
      </w:tr>
      <w:tr>
        <w:trPr>
          <w:trHeight w:val="210"/>
        </w:trPr>
        <w:tc>
          <w:tcPr>
            <w:tcW w:w="47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June 30, 2019 (*)</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465,436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(227,594)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237,842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63,823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301,665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
        </w:trPr>
        <w:tc>
          <w:tcPr>
            <w:tcW w:w="1920" w:type="dxa"/>
            <w:vAlign w:val="bottom"/>
            <w:tcBorders>
              <w:bottom w:val="single" w:sz="8" w:color="auto"/>
            </w:tcBorders>
          </w:tcPr>
          <w:p>
            <w:pPr>
              <w:spacing w:after="0"/>
              <w:rPr>
                <w:sz w:val="3"/>
                <w:szCs w:val="3"/>
                <w:color w:val="auto"/>
              </w:rPr>
            </w:pPr>
          </w:p>
        </w:tc>
        <w:tc>
          <w:tcPr>
            <w:tcW w:w="2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rPr>
          <w:sz w:val="20"/>
          <w:szCs w:val="20"/>
          <w:color w:val="auto"/>
        </w:rPr>
      </w:pPr>
      <w:r>
        <w:rPr>
          <w:rFonts w:ascii="Arial" w:cs="Arial" w:eastAsia="Arial" w:hAnsi="Arial"/>
          <w:sz w:val="16"/>
          <w:szCs w:val="16"/>
          <w:color w:val="auto"/>
        </w:rPr>
        <w:t>(*) At both April 1, 2019 and June 30, 2019,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Lazard Group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r>
      <w:tr>
        <w:trPr>
          <w:trHeight w:val="162"/>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Members'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Noncontrolling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Members'</w:t>
            </w:r>
          </w:p>
        </w:tc>
      </w:tr>
      <w:tr>
        <w:trPr>
          <w:trHeight w:val="161"/>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2019 (*)</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758,705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(228,660)</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530,045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52,707</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582,752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176,042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176,042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183,212</w:t>
            </w:r>
          </w:p>
        </w:tc>
        <w:tc>
          <w:tcPr>
            <w:tcW w:w="120" w:type="dxa"/>
            <w:vAlign w:val="bottom"/>
            <w:shd w:val="clear" w:color="auto" w:fill="CFF0FC"/>
          </w:tcPr>
          <w:p>
            <w:pPr>
              <w:spacing w:after="0"/>
              <w:rPr>
                <w:sz w:val="19"/>
                <w:szCs w:val="19"/>
                <w:color w:val="auto"/>
              </w:rPr>
            </w:pPr>
          </w:p>
        </w:tc>
      </w:tr>
      <w:tr>
        <w:trPr>
          <w:trHeight w:val="213"/>
        </w:trPr>
        <w:tc>
          <w:tcPr>
            <w:tcW w:w="4720" w:type="dxa"/>
            <w:vAlign w:val="bottom"/>
            <w:gridSpan w:val="2"/>
          </w:tcPr>
          <w:p>
            <w:pPr>
              <w:ind w:left="260"/>
              <w:spacing w:after="0"/>
              <w:rPr>
                <w:sz w:val="20"/>
                <w:szCs w:val="20"/>
                <w:color w:val="auto"/>
              </w:rPr>
            </w:pPr>
            <w:r>
              <w:rPr>
                <w:rFonts w:ascii="Arial" w:cs="Arial" w:eastAsia="Arial" w:hAnsi="Arial"/>
                <w:sz w:val="16"/>
                <w:szCs w:val="16"/>
                <w:color w:val="auto"/>
              </w:rPr>
              <w:t>Other comprehensive income - net of tax</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161,083</w:t>
            </w:r>
          </w:p>
        </w:tc>
        <w:tc>
          <w:tcPr>
            <w:tcW w:w="120" w:type="dxa"/>
            <w:vAlign w:val="bottom"/>
            <w:shd w:val="clear" w:color="auto" w:fill="CFF0FC"/>
          </w:tcPr>
          <w:p>
            <w:pPr>
              <w:spacing w:after="0"/>
              <w:rPr>
                <w:sz w:val="19"/>
                <w:szCs w:val="19"/>
                <w:color w:val="auto"/>
              </w:rPr>
            </w:pP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(178,935)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(178,935)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(186,453)</w:t>
            </w: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(351,712)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(351,712)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(351,712)</w:t>
            </w: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benefit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of $99</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(95,990)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(95,990)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(95,990)</w:t>
            </w:r>
          </w:p>
        </w:tc>
      </w:tr>
      <w:tr>
        <w:trPr>
          <w:trHeight w:val="20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47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472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Consolidation of VIEs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11,464</w:t>
            </w:r>
          </w:p>
        </w:tc>
        <w:tc>
          <w:tcPr>
            <w:tcW w:w="120" w:type="dxa"/>
            <w:vAlign w:val="bottom"/>
            <w:shd w:val="clear" w:color="auto" w:fill="CFF0FC"/>
          </w:tcPr>
          <w:p>
            <w:pPr>
              <w:spacing w:after="0"/>
              <w:rPr>
                <w:sz w:val="19"/>
                <w:szCs w:val="19"/>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(3,862)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(3,862)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(3,862)</w:t>
            </w:r>
          </w:p>
        </w:tc>
      </w:tr>
      <w:tr>
        <w:trPr>
          <w:trHeight w:val="210"/>
        </w:trPr>
        <w:tc>
          <w:tcPr>
            <w:tcW w:w="4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June 30, 2019 (*)</w:t>
            </w: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465,436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(227,594)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237,842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63,823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301,665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
        </w:trPr>
        <w:tc>
          <w:tcPr>
            <w:tcW w:w="1920" w:type="dxa"/>
            <w:vAlign w:val="bottom"/>
            <w:tcBorders>
              <w:bottom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rPr>
          <w:sz w:val="20"/>
          <w:szCs w:val="20"/>
          <w:color w:val="auto"/>
        </w:rPr>
      </w:pPr>
      <w:r>
        <w:rPr>
          <w:rFonts w:ascii="Arial" w:cs="Arial" w:eastAsia="Arial" w:hAnsi="Arial"/>
          <w:sz w:val="16"/>
          <w:szCs w:val="16"/>
          <w:color w:val="auto"/>
        </w:rPr>
        <w:t>(*) At both January 1, 2019 and June 30, 2019,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“we” or the “Company”). Lazard Group is a Delaware limited liability company, which is governed by an Amended and Restated Operating Agreement dated as of February 4, 2019 (the “Operating Agreement”).</w:t>
      </w:r>
    </w:p>
    <w:p>
      <w:pPr>
        <w:spacing w:after="0" w:line="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Ltd indirectly held 100% of all outstanding Lazard Group common membership interests as of June 30, 2019 and December 31, 2018. Lazard Ltd, through its control of the managing members of Lazard Group, controls Lazard Group.</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900" w:right="1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2018. The accompanying December 31, 2018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six month periods ended June 30, 2019 are not indicative of the results to be expected for any future interim or annual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20).</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3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—In February 2016, the Financial Accounting Standards Board (the “FASB”) issued updated guidance for leases.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lessee to (i) recognize a right-of-use asset and a lease liability that is initially measured at the present value of the lease payments, in the condensed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condensed consolidated statement of cash flows.</w:t>
      </w:r>
    </w:p>
    <w:p>
      <w:pPr>
        <w:spacing w:after="0" w:line="173"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Company adopted the new guidance on January 1, 2019 using the optional transition method, which allows such guidance to be applied initially at the adoption date with a cumulative-effect adjustment and without restating comparative periods. Lazard elected the package of practical expedients, which allows the carry-forward of the prior conclusions on lease definition, classification and initial direct costs related to the existing leases as of the adoption date.</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Substantially all of the Company’s existing lease arrangements are operating leases. The adoption of the new guidance on January 1, 2019 resulted in a recognition of $501,000 of operating lease right-of-use assets (“ROU assets”) and $581,000 of operating lease liabilities in the Company’s condensed consolidated statements of financial condition. The operating lease liabilities at January 1, 2019 reflect any remaining lease payments discounted using an incremental borrowing rate (on a collateralized basis) based on the remaining lease term (the “Discount”), as an implicit rate was not readily determinable for any of the Company’s existing operating leases. The operating lease ROU assets are lower than the operating lease liabilities primarily because lease incentives reduce the ROU assets (see Note 9).</w:t>
      </w:r>
    </w:p>
    <w:p>
      <w:pPr>
        <w:spacing w:after="0" w:line="193"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In June 2018, the FASB issued updated guidance to simplify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Company adopted the new guidance on January 1, 2019 and its application did not have a material impact on the Company’s financial statements.</w:t>
      </w:r>
    </w:p>
    <w:p>
      <w:pPr>
        <w:spacing w:after="0" w:line="19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In February 2018, the FASB issued updated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The amount of the reclassification would be the difference between the historical corporate income tax rate and the newly enacted 21% corporate income tax rate. The Company adopted the new guidance on January 1, 2019 without reclassifying any amounts from AOCI to retained earnings. The application of the guidance did not have a material impact on the Company’s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—In June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new guidance is required to be applied using a modified retrospective approach. The Company is currently evaluating the new guidance.</w:t>
      </w:r>
    </w:p>
    <w:p>
      <w:pPr>
        <w:spacing w:after="0" w:line="19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Intangibles—Internal-Use Software: Customer’s Accounting for Implementation Costs Incurred in a Cloud Computing Arrangement that is a Service Contract</w:t>
      </w:r>
      <w:r>
        <w:rPr>
          <w:rFonts w:ascii="Arial" w:cs="Arial" w:eastAsia="Arial" w:hAnsi="Arial"/>
          <w:sz w:val="18"/>
          <w:szCs w:val="18"/>
          <w:color w:val="auto"/>
        </w:rPr>
        <w:t>—In August 2018, the FASB issued updated guidance on the accounting for implementation costs incurred in a cloud computing arrangement.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93"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—In October 2018, the FASB issued updated guidance that requires consideration of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with early adoption permitted. The amendments are required to be applied retrospectively with a cumulative-effect adjustment. The Company is currently evaluating the new guidance.</w:t>
      </w:r>
    </w:p>
    <w:p>
      <w:pPr>
        <w:spacing w:after="0" w:line="15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Fair Value Measurement: Changes to the Disclosure Requirements for Fair Value Measurement</w:t>
      </w:r>
      <w:r>
        <w:rPr>
          <w:rFonts w:ascii="Arial" w:cs="Arial" w:eastAsia="Arial" w:hAnsi="Arial"/>
          <w:sz w:val="18"/>
          <w:szCs w:val="18"/>
          <w:color w:val="auto"/>
        </w:rPr>
        <w:t>—In August 2018, the FASB issued updated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With certain exceptions, the guidance is required to be applied retrospectively. The Company is currently evaluating the new guidance.</w:t>
      </w:r>
    </w:p>
    <w:p>
      <w:pPr>
        <w:spacing w:after="0" w:line="18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i w:val="1"/>
          <w:iCs w:val="1"/>
          <w:color w:val="auto"/>
        </w:rPr>
        <w:t>Compensation–Retirement Benefits: Changes to the Disclosure Requirements for Defined Benefit Plans</w:t>
      </w:r>
      <w:r>
        <w:rPr>
          <w:rFonts w:ascii="Arial" w:cs="Arial" w:eastAsia="Arial" w:hAnsi="Arial"/>
          <w:sz w:val="18"/>
          <w:szCs w:val="18"/>
          <w:color w:val="auto"/>
        </w:rPr>
        <w:t>—In August 2018, the FASB issued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A retrospective application is required. The Company is currently evaluating the new guidance.</w:t>
      </w:r>
    </w:p>
    <w:p>
      <w:pPr>
        <w:spacing w:after="0" w:line="37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76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Revenue:</w:t>
            </w:r>
          </w:p>
        </w:tc>
        <w:tc>
          <w:tcPr>
            <w:tcW w:w="1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gridSpan w:val="3"/>
            <w:vMerge w:val="continue"/>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 (a)</w:t>
            </w:r>
          </w:p>
        </w:tc>
        <w:tc>
          <w:tcPr>
            <w:tcW w:w="1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327,763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419,468</w:t>
            </w:r>
          </w:p>
        </w:tc>
        <w:tc>
          <w:tcPr>
            <w:tcW w:w="6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649,689</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 Management:</w:t>
            </w:r>
          </w:p>
        </w:tc>
        <w:tc>
          <w:tcPr>
            <w:tcW w:w="1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Management Fees and Other (b)</w:t>
            </w:r>
          </w:p>
        </w:tc>
        <w:tc>
          <w:tcPr>
            <w:tcW w:w="1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310,316</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340,160</w:t>
            </w:r>
          </w:p>
        </w:tc>
        <w:tc>
          <w:tcPr>
            <w:tcW w:w="6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611,569</w:t>
            </w:r>
          </w:p>
        </w:tc>
        <w:tc>
          <w:tcPr>
            <w:tcW w:w="120" w:type="dxa"/>
            <w:vAlign w:val="bottom"/>
          </w:tcPr>
          <w:p>
            <w:pPr>
              <w:spacing w:after="0"/>
              <w:rPr>
                <w:sz w:val="19"/>
                <w:szCs w:val="19"/>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688,844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Incentive Fees (c)</w:t>
            </w:r>
          </w:p>
        </w:tc>
        <w:tc>
          <w:tcPr>
            <w:tcW w:w="1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12,428</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spacing w:after="0"/>
              <w:rPr>
                <w:sz w:val="20"/>
                <w:szCs w:val="20"/>
                <w:color w:val="auto"/>
              </w:rPr>
            </w:pPr>
            <w:r>
              <w:rPr>
                <w:rFonts w:ascii="Arial" w:cs="Arial" w:eastAsia="Arial" w:hAnsi="Arial"/>
                <w:sz w:val="18"/>
                <w:szCs w:val="18"/>
                <w:color w:val="auto"/>
              </w:rPr>
              <w:t>Total Asset Management</w:t>
            </w:r>
          </w:p>
        </w:tc>
        <w:tc>
          <w:tcPr>
            <w:tcW w:w="17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315,591</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352,588</w:t>
            </w:r>
          </w:p>
        </w:tc>
        <w:tc>
          <w:tcPr>
            <w:tcW w:w="3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617,424</w:t>
            </w:r>
          </w:p>
        </w:tc>
        <w:tc>
          <w:tcPr>
            <w:tcW w:w="1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706,871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2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40" w:hanging="372"/>
        <w:spacing w:after="0" w:line="25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380" w:right="80" w:hanging="372"/>
        <w:spacing w:after="0" w:line="25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100" w:hanging="372"/>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254"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1"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and six month periods ended June 30, 2019 and 2018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(9,380)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(5,551)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16,618</w:t>
            </w: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(4,265)</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(1,080)</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(5,404)</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33,484</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net of recoveries is included in “operating expenses</w:t>
      </w:r>
      <w:r>
        <w:rPr>
          <w:rFonts w:ascii="Arial" w:cs="Arial" w:eastAsia="Arial" w:hAnsi="Arial"/>
          <w:sz w:val="17"/>
          <w:szCs w:val="17"/>
          <w:i w:val="1"/>
          <w:iCs w:val="1"/>
          <w:color w:val="auto"/>
        </w:rPr>
        <w:t>—</w:t>
      </w:r>
      <w:r>
        <w:rPr>
          <w:rFonts w:ascii="Arial" w:cs="Arial" w:eastAsia="Arial" w:hAnsi="Arial"/>
          <w:sz w:val="17"/>
          <w:szCs w:val="17"/>
          <w:color w:val="auto"/>
        </w:rPr>
        <w:t>other” on the condensed consolidated statements of operations.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2019 and December 31, 2018, the Company had receivables past due or deemed uncollectible of $45,465 and $42,260, respectively.</w:t>
      </w:r>
    </w:p>
    <w:p>
      <w:pPr>
        <w:spacing w:after="0" w:line="248"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Of the Company’s fee receivables at June 30, 2019 and December 31, 2018, $79,426 and $90,966,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$660,411 and $613,342 at June 30, 2019 and December 31, 2018, respectively, approximates fair value.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13"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2019 and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124,838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104,756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575,424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574,913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(included in “other liabilities”)</w:t>
            </w:r>
          </w:p>
        </w:tc>
        <w:tc>
          <w:tcPr>
            <w:tcW w:w="2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2,261</w:t>
            </w:r>
          </w:p>
        </w:tc>
        <w:tc>
          <w:tcPr>
            <w:tcW w:w="280" w:type="dxa"/>
            <w:vAlign w:val="bottom"/>
          </w:tcPr>
          <w:p>
            <w:pPr>
              <w:spacing w:after="0"/>
              <w:rPr>
                <w:sz w:val="20"/>
                <w:szCs w:val="20"/>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80" w:hanging="372"/>
        <w:spacing w:after="0" w:line="25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$9,665, $75,364 and $172,711, respectively, at June 30, 2019 and $9,741, $60,081 and $132,038, respectively, at December 31, 2018,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During the three month and six month periods ended June 30, 2019 and 2018, the Company reported in “revenue-other” on its condensed consolidated statements of operations net unrealized investment gains and losses pertaining to “equity securities and trading debt securities” still held as of the reporting date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27,152</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3 for certain investments that are valued based on the potential transaction value as of June 30, 2019.</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12.</w:t>
      </w:r>
    </w:p>
    <w:p>
      <w:pPr>
        <w:spacing w:after="0" w:line="17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 following tables present, as of June 30, 2019 and December 31, 2018,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223,554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506,589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64,587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577,093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235,504</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235,504</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six month periods ended June 30,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5"/>
              </w:rPr>
              <w:t>Three Months Ended June 30, 2019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Transfers</w:t>
            </w:r>
          </w:p>
        </w:tc>
        <w:tc>
          <w:tcPr>
            <w:tcW w:w="2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11"/>
          </w:tcPr>
          <w:p>
            <w:pPr>
              <w:jc w:val="center"/>
              <w:ind w:right="140"/>
              <w:spacing w:after="0"/>
              <w:rPr>
                <w:sz w:val="20"/>
                <w:szCs w:val="20"/>
                <w:color w:val="auto"/>
              </w:rPr>
            </w:pPr>
            <w:r>
              <w:rPr>
                <w:rFonts w:ascii="Arial" w:cs="Arial" w:eastAsia="Arial" w:hAnsi="Arial"/>
                <w:sz w:val="14"/>
                <w:szCs w:val="14"/>
                <w:b w:val="1"/>
                <w:bCs w:val="1"/>
                <w:color w:val="auto"/>
                <w:w w:val="92"/>
              </w:rPr>
              <w:t>Six Months Ended June 30, 2019</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60" w:type="dxa"/>
            <w:vAlign w:val="bottom"/>
          </w:tcPr>
          <w:p>
            <w:pPr>
              <w:spacing w:after="0"/>
              <w:rPr>
                <w:sz w:val="12"/>
                <w:szCs w:val="12"/>
                <w:color w:val="auto"/>
              </w:rPr>
            </w:pPr>
          </w:p>
        </w:tc>
        <w:tc>
          <w:tcPr>
            <w:tcW w:w="9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Transfers</w:t>
            </w:r>
          </w:p>
        </w:tc>
        <w:tc>
          <w:tcPr>
            <w:tcW w:w="180" w:type="dxa"/>
            <w:vAlign w:val="bottom"/>
          </w:tcPr>
          <w:p>
            <w:pPr>
              <w:spacing w:after="0"/>
              <w:rPr>
                <w:sz w:val="12"/>
                <w:szCs w:val="12"/>
                <w:color w:val="auto"/>
              </w:rPr>
            </w:pPr>
          </w:p>
        </w:tc>
        <w:tc>
          <w:tcPr>
            <w:tcW w:w="104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Earnings (a)</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19"/>
                <w:szCs w:val="19"/>
                <w:color w:val="auto"/>
              </w:rPr>
            </w:pP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8"/>
              <w:spacing w:after="0"/>
              <w:rPr>
                <w:sz w:val="20"/>
                <w:szCs w:val="20"/>
                <w:color w:val="auto"/>
              </w:rPr>
            </w:pPr>
            <w:r>
              <w:rPr>
                <w:rFonts w:ascii="Arial" w:cs="Arial" w:eastAsia="Arial" w:hAnsi="Arial"/>
                <w:sz w:val="18"/>
                <w:szCs w:val="18"/>
                <w:color w:val="auto"/>
              </w:rPr>
              <w:t>(14)</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80" w:type="dxa"/>
            <w:vAlign w:val="bottom"/>
            <w:gridSpan w:val="3"/>
          </w:tcPr>
          <w:p>
            <w:pPr>
              <w:jc w:val="right"/>
              <w:ind w:right="644"/>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 equity funds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2,131</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44"/>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(1,106)</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64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2"/>
          </w:tcPr>
          <w:p>
            <w:pPr>
              <w:jc w:val="center"/>
              <w:ind w:right="20"/>
              <w:spacing w:after="0"/>
              <w:rPr>
                <w:sz w:val="20"/>
                <w:szCs w:val="20"/>
                <w:color w:val="auto"/>
              </w:rPr>
            </w:pPr>
            <w:r>
              <w:rPr>
                <w:rFonts w:ascii="Arial" w:cs="Arial" w:eastAsia="Arial" w:hAnsi="Arial"/>
                <w:sz w:val="14"/>
                <w:szCs w:val="14"/>
                <w:b w:val="1"/>
                <w:bCs w:val="1"/>
                <w:color w:val="auto"/>
                <w:w w:val="93"/>
              </w:rPr>
              <w:t>Three Months Ended June 30, 2018</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Earnings (a)</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gridSpan w:val="2"/>
          </w:tcPr>
          <w:p>
            <w:pPr>
              <w:jc w:val="right"/>
              <w:ind w:right="64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(1,191)</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64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1"/>
          </w:tcPr>
          <w:p>
            <w:pPr>
              <w:jc w:val="center"/>
              <w:ind w:right="140"/>
              <w:spacing w:after="0"/>
              <w:rPr>
                <w:sz w:val="20"/>
                <w:szCs w:val="20"/>
                <w:color w:val="auto"/>
              </w:rPr>
            </w:pPr>
            <w:r>
              <w:rPr>
                <w:rFonts w:ascii="Arial" w:cs="Arial" w:eastAsia="Arial" w:hAnsi="Arial"/>
                <w:sz w:val="14"/>
                <w:szCs w:val="14"/>
                <w:b w:val="1"/>
                <w:bCs w:val="1"/>
                <w:color w:val="auto"/>
                <w:w w:val="92"/>
              </w:rPr>
              <w:t>Six Months Ended June 30, 2018</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jc w:val="center"/>
              <w:ind w:left="44"/>
              <w:spacing w:after="0"/>
              <w:rPr>
                <w:sz w:val="20"/>
                <w:szCs w:val="20"/>
                <w:color w:val="auto"/>
              </w:rPr>
            </w:pPr>
            <w:r>
              <w:rPr>
                <w:rFonts w:ascii="Arial" w:cs="Arial" w:eastAsia="Arial" w:hAnsi="Arial"/>
                <w:sz w:val="14"/>
                <w:szCs w:val="14"/>
                <w:b w:val="1"/>
                <w:bCs w:val="1"/>
                <w:color w:val="auto"/>
                <w:w w:val="88"/>
              </w:rPr>
              <w:t>Sales/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Dispositions/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1,592</w:t>
            </w:r>
          </w:p>
        </w:tc>
        <w:tc>
          <w:tcPr>
            <w:tcW w:w="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1,592</w:t>
            </w:r>
          </w:p>
        </w:tc>
        <w:tc>
          <w:tcPr>
            <w:tcW w:w="24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gridSpan w:val="2"/>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gridSpan w:val="2"/>
          </w:tcPr>
          <w:p>
            <w:pPr>
              <w:spacing w:after="0"/>
              <w:rPr>
                <w:sz w:val="22"/>
                <w:szCs w:val="22"/>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4,656</w:t>
            </w:r>
          </w:p>
        </w:tc>
        <w:tc>
          <w:tcPr>
            <w:tcW w:w="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200" w:type="dxa"/>
            <w:vAlign w:val="bottom"/>
            <w:gridSpan w:val="3"/>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4,656</w:t>
            </w: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380" w:right="20" w:hanging="372"/>
        <w:spacing w:after="0" w:line="28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Earnings recorded in “other revenue” for investments in equities for the three month and six month periods ended June 30, 2019 and the three month and six month periods ended June 30, 2018 include net unrealized gains (losses) of $(12), $(14), $62 and $61, respectively. Earnings recorded in “amortization and other acquisition-related (benefits) costs” for the contingent consideration liability for the three month and six month periods ended June 30, 2019 and the three month and six month periods ended June 30, 2018 include unrealized gains of $11, $1,106, $1,191 and $1,186, respectively.</w:t>
      </w:r>
    </w:p>
    <w:p>
      <w:pPr>
        <w:spacing w:after="0" w:line="1" w:lineRule="exact"/>
        <w:rPr>
          <w:rFonts w:ascii="Arial" w:cs="Arial" w:eastAsia="Arial" w:hAnsi="Arial"/>
          <w:sz w:val="16"/>
          <w:szCs w:val="16"/>
          <w:color w:val="auto"/>
        </w:rPr>
      </w:pPr>
    </w:p>
    <w:p>
      <w:pPr>
        <w:ind w:left="380" w:right="140" w:hanging="372"/>
        <w:spacing w:after="0" w:line="276"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investments that were valued at NAV as of December 31, 2018 were transferred to Level 3 during the three month and six month periods ended June 30, 2019 as these investments are valued based on a potential transaction value that differs from NAV.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2019 and 2018.</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present, at June 30, 2019 and December 31, 2018,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2019</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24,183</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&gt;90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39,737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8,264</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19%</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67%</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64,587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8,264</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(23%), monthly (72%) and annually (5%)</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$13,400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&gt;90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56,343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8,338</w:t>
            </w:r>
          </w:p>
        </w:tc>
        <w:tc>
          <w:tcPr>
            <w:tcW w:w="40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14%</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34%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57,273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8,338</w:t>
            </w:r>
          </w:p>
        </w:tc>
        <w:tc>
          <w:tcPr>
            <w:tcW w:w="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(25%), monthly (70%) and annually (5%)</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184"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2019,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$7,602. The investment period for EGCP III ended on October 12, 2016, after which point the Company’s obligation to fund capital contributions for new</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investments in EGCP III expired. The Company remains obligated until October 12, 2023 (or any earlier liquidation of EGCP III) to make capital contributions necessary to fund follow-on investments and to pay for fund expenses.</w:t>
      </w:r>
    </w:p>
    <w:p>
      <w:pPr>
        <w:spacing w:after="0" w:line="360"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June 30, 2019 and December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2,180</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229,436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235,504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100" w:hanging="372"/>
        <w:spacing w:after="0" w:line="312"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$139 and $4,765 as of June 30, 2019, respectively, and $10,792 and $369 as of December 31, 2018, respectively, for contracts with the same counterparty under legally enforceable master netting agreements. Such amounts are recorded “net” in “other assets”, with receivables for net cash collateral under such contracts of $5,950 as of June 30, 2019.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2019 and 2018,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6,236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(6,484)</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(20,354)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(1,976)</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(9,633)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(11,884)</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7,525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2019 and December 31, 2018,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187,662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555,951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350,622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339,448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205,329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adopted the new lease accounting guidance as of January 1, 2019, which resulted in recognition of ROU assets and lease liabilities related to operating leases on the condensed consolidated statements of financial condition. The Company determines if an arrangement is, or contains, a lease at its inception and reevaluates the arrangement if the terms are modified. Operating lease ROU assets represent the right to use an underlying asset for the lease term and operating lease liabilities reflect the obligation to make lease payments arising from the lease. At any given time during the lease term, the operating lease liability represents the present value of the remaining lease payments and the operating lease ROU asset is measured at the amount of the lease liability, adjusted for rent prepayments, unamortized initial direct costs and the remaining balance of lease incentives received. Both the operating lease ROU asset and the operating lease liability are reduced to zero at the end of the lease.</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leases office space and equipment under non-cancelable lease agreements, which expire on various dates through 2033. Substantially all of these arrangements are operating leases relating to office space. Certain leases have renewal options that can be exercised at the discretion of the Company. The Company only includes renewal options in the lease term when it is reasonably certain to exercise the option. The Company does not record leases with a lease term of 12 months or less on the condensed consolidated statements of financial condition; lease expense for these leases is recognized over the lease term on a straight-line basis.</w:t>
      </w:r>
    </w:p>
    <w:p>
      <w:pPr>
        <w:spacing w:after="0" w:line="188"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For leases commencing on January 1, 2019 or thereafter that are recognized on the condensed consolidated statements of financial condition, the Company applies its estimated Discount. The Company bases this Discount on the information available at the lease commencement date. The Company determines its Discount with consideration of the Company’s public debt issuances as well as publicly available data for instruments with similar characteristics.</w:t>
      </w:r>
    </w:p>
    <w:p>
      <w:pPr>
        <w:spacing w:after="0" w:line="214"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For leases commencing on January 1, 2019 or thereafter that relate to office space and equipment, the Company accounts for the lease and non-lease components as a single lease component.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addition to rent payments, operating leases for office space generally contain payments for real estate taxes, insurance costs, common area maintenance, and utilities that are not fixed. The Company accounts for these costs as variable payments and does not include them in the lease component. There are certain office leases outside of the U.S. that have annual rent increases that are also accounted for as variable payments and are excluded from the lease component.</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summarizes the components of operating lease expense reflected on the accompanying condensed consolidated statements of operations for the three month and six month periods ended June 30,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228"/>
        </w:trPr>
        <w:tc>
          <w:tcPr>
            <w:tcW w:w="7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 2019</w:t>
            </w:r>
          </w:p>
        </w:tc>
        <w:tc>
          <w:tcPr>
            <w:tcW w:w="20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2019</w:t>
            </w:r>
          </w:p>
        </w:tc>
      </w:tr>
      <w:tr>
        <w:trPr>
          <w:trHeight w:val="237"/>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18,852</w:t>
            </w:r>
          </w:p>
        </w:tc>
        <w:tc>
          <w:tcPr>
            <w:tcW w:w="28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38,793</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7480" w:type="dxa"/>
            <w:vAlign w:val="bottom"/>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4,769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21"/>
                <w:szCs w:val="21"/>
                <w:color w:val="auto"/>
              </w:rPr>
            </w:pPr>
          </w:p>
        </w:tc>
      </w:tr>
      <w:tr>
        <w:trPr>
          <w:trHeight w:val="243"/>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Less - sublease income</w:t>
            </w:r>
          </w:p>
        </w:tc>
        <w:tc>
          <w:tcPr>
            <w:tcW w:w="1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2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21,929</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44,302</w:t>
            </w:r>
          </w:p>
        </w:tc>
        <w:tc>
          <w:tcPr>
            <w:tcW w:w="10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following table summarizes the supplemental cash flow information and certain other information related to operating leases for the six month period ended June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39,667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504,133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Maturities of the operating lease liabilities outstanding at June 30, 2019 for each of the years in the period ending December 31, 2024 and thereafter are set forth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24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2019 (July 1 through December 31)</w:t>
            </w:r>
          </w:p>
        </w:tc>
        <w:tc>
          <w:tcPr>
            <w:tcW w:w="584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244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76,660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40" w:type="dxa"/>
            <w:vAlign w:val="bottom"/>
            <w:shd w:val="clear" w:color="auto" w:fill="CFF0FC"/>
          </w:tcPr>
          <w:p>
            <w:pPr>
              <w:spacing w:after="0"/>
              <w:rPr>
                <w:sz w:val="21"/>
                <w:szCs w:val="21"/>
                <w:color w:val="auto"/>
              </w:rPr>
            </w:pPr>
          </w:p>
        </w:tc>
        <w:tc>
          <w:tcPr>
            <w:tcW w:w="50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72,679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244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56,704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40" w:type="dxa"/>
            <w:vAlign w:val="bottom"/>
            <w:shd w:val="clear" w:color="auto" w:fill="CFF0FC"/>
          </w:tcPr>
          <w:p>
            <w:pPr>
              <w:spacing w:after="0"/>
              <w:rPr>
                <w:sz w:val="21"/>
                <w:szCs w:val="21"/>
                <w:color w:val="auto"/>
              </w:rPr>
            </w:pPr>
          </w:p>
        </w:tc>
        <w:tc>
          <w:tcPr>
            <w:tcW w:w="50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52,228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2024</w:t>
            </w:r>
          </w:p>
        </w:tc>
        <w:tc>
          <w:tcPr>
            <w:tcW w:w="244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51,045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5000" w:type="dxa"/>
            <w:vAlign w:val="bottom"/>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360,876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58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709,977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 Discount</w:t>
            </w:r>
          </w:p>
        </w:tc>
        <w:tc>
          <w:tcPr>
            <w:tcW w:w="5000" w:type="dxa"/>
            <w:vAlign w:val="bottom"/>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155,270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58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554,707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0" w:type="dxa"/>
            <w:vAlign w:val="bottom"/>
            <w:vMerge w:val="restart"/>
          </w:tcPr>
          <w:p>
            <w:pPr>
              <w:jc w:val="right"/>
              <w:ind w:right="3210"/>
              <w:spacing w:after="0"/>
              <w:rPr>
                <w:sz w:val="20"/>
                <w:szCs w:val="20"/>
                <w:color w:val="auto"/>
              </w:rPr>
            </w:pPr>
            <w:r>
              <w:rPr>
                <w:rFonts w:ascii="Arial" w:cs="Arial" w:eastAsia="Arial" w:hAnsi="Arial"/>
                <w:sz w:val="18"/>
                <w:szCs w:val="18"/>
                <w:color w:val="auto"/>
              </w:rPr>
              <w:t>24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Prior to the adoption of the new lease accounting guidance, the minimum rental commitments under non-cancelable operating leases at December 31, 2018, net of sublease income, were approximately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1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4180" w:type="dxa"/>
            <w:vAlign w:val="bottom"/>
            <w:shd w:val="clear" w:color="auto" w:fill="CFF0FC"/>
          </w:tcPr>
          <w:p>
            <w:pPr>
              <w:spacing w:after="0"/>
              <w:rPr>
                <w:sz w:val="20"/>
                <w:szCs w:val="20"/>
                <w:color w:val="auto"/>
              </w:rPr>
            </w:pPr>
          </w:p>
        </w:tc>
        <w:tc>
          <w:tcPr>
            <w:tcW w:w="410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86,664</w:t>
            </w:r>
          </w:p>
        </w:tc>
        <w:tc>
          <w:tcPr>
            <w:tcW w:w="120" w:type="dxa"/>
            <w:vAlign w:val="bottom"/>
            <w:shd w:val="clear" w:color="auto" w:fill="CFF0FC"/>
          </w:tcPr>
          <w:p>
            <w:pPr>
              <w:spacing w:after="0"/>
              <w:rPr>
                <w:sz w:val="20"/>
                <w:szCs w:val="20"/>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41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89,260</w:t>
            </w:r>
          </w:p>
        </w:tc>
        <w:tc>
          <w:tcPr>
            <w:tcW w:w="12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180" w:type="dxa"/>
            <w:vAlign w:val="bottom"/>
            <w:shd w:val="clear" w:color="auto" w:fill="CFF0FC"/>
          </w:tcPr>
          <w:p>
            <w:pPr>
              <w:spacing w:after="0"/>
              <w:rPr>
                <w:sz w:val="21"/>
                <w:szCs w:val="21"/>
                <w:color w:val="auto"/>
              </w:rPr>
            </w:pPr>
          </w:p>
        </w:tc>
        <w:tc>
          <w:tcPr>
            <w:tcW w:w="3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83,517</w:t>
            </w:r>
          </w:p>
        </w:tc>
        <w:tc>
          <w:tcPr>
            <w:tcW w:w="120" w:type="dxa"/>
            <w:vAlign w:val="bottom"/>
            <w:shd w:val="clear" w:color="auto" w:fill="CFF0FC"/>
          </w:tcPr>
          <w:p>
            <w:pPr>
              <w:spacing w:after="0"/>
              <w:rPr>
                <w:sz w:val="21"/>
                <w:szCs w:val="2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41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70,611</w:t>
            </w:r>
          </w:p>
        </w:tc>
        <w:tc>
          <w:tcPr>
            <w:tcW w:w="12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180" w:type="dxa"/>
            <w:vAlign w:val="bottom"/>
            <w:shd w:val="clear" w:color="auto" w:fill="CFF0FC"/>
          </w:tcPr>
          <w:p>
            <w:pPr>
              <w:spacing w:after="0"/>
              <w:rPr>
                <w:sz w:val="21"/>
                <w:szCs w:val="21"/>
                <w:color w:val="auto"/>
              </w:rPr>
            </w:pPr>
          </w:p>
        </w:tc>
        <w:tc>
          <w:tcPr>
            <w:tcW w:w="3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59,973</w:t>
            </w:r>
          </w:p>
        </w:tc>
        <w:tc>
          <w:tcPr>
            <w:tcW w:w="120" w:type="dxa"/>
            <w:vAlign w:val="bottom"/>
            <w:shd w:val="clear" w:color="auto" w:fill="CFF0FC"/>
          </w:tcPr>
          <w:p>
            <w:pPr>
              <w:spacing w:after="0"/>
              <w:rPr>
                <w:sz w:val="21"/>
                <w:szCs w:val="21"/>
                <w:color w:val="auto"/>
              </w:rPr>
            </w:pPr>
          </w:p>
        </w:tc>
      </w:tr>
      <w:tr>
        <w:trPr>
          <w:trHeight w:val="243"/>
        </w:trPr>
        <w:tc>
          <w:tcPr>
            <w:tcW w:w="5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260" w:type="dxa"/>
            <w:vAlign w:val="bottom"/>
            <w:tcBorders>
              <w:bottom w:val="single" w:sz="8" w:color="CFF0FC"/>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488,612</w:t>
            </w:r>
          </w:p>
        </w:tc>
        <w:tc>
          <w:tcPr>
            <w:tcW w:w="120" w:type="dxa"/>
            <w:vAlign w:val="bottom"/>
            <w:tcBorders>
              <w:bottom w:val="single" w:sz="8" w:color="CFF0FC"/>
            </w:tcBorders>
          </w:tcPr>
          <w:p>
            <w:pPr>
              <w:spacing w:after="0"/>
              <w:rPr>
                <w:sz w:val="21"/>
                <w:szCs w:val="21"/>
                <w:color w:val="auto"/>
              </w:rPr>
            </w:pPr>
          </w:p>
        </w:tc>
      </w:tr>
      <w:tr>
        <w:trPr>
          <w:trHeight w:val="237"/>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rental commitments</w:t>
            </w:r>
          </w:p>
        </w:tc>
        <w:tc>
          <w:tcPr>
            <w:tcW w:w="410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878,637</w:t>
            </w:r>
          </w:p>
        </w:tc>
        <w:tc>
          <w:tcPr>
            <w:tcW w:w="120" w:type="dxa"/>
            <w:vAlign w:val="bottom"/>
            <w:shd w:val="clear" w:color="auto" w:fill="CFF0FC"/>
          </w:tcPr>
          <w:p>
            <w:pPr>
              <w:spacing w:after="0"/>
              <w:rPr>
                <w:sz w:val="20"/>
                <w:szCs w:val="20"/>
                <w:color w:val="auto"/>
              </w:rPr>
            </w:pPr>
          </w:p>
        </w:tc>
      </w:tr>
      <w:tr>
        <w:trPr>
          <w:trHeight w:val="243"/>
        </w:trPr>
        <w:tc>
          <w:tcPr>
            <w:tcW w:w="5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sublease proceeds</w:t>
            </w:r>
          </w:p>
        </w:tc>
        <w:tc>
          <w:tcPr>
            <w:tcW w:w="3260" w:type="dxa"/>
            <w:vAlign w:val="bottom"/>
            <w:tcBorders>
              <w:bottom w:val="single" w:sz="8" w:color="CFF0FC"/>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26,941</w:t>
            </w:r>
          </w:p>
        </w:tc>
        <w:tc>
          <w:tcPr>
            <w:tcW w:w="120" w:type="dxa"/>
            <w:vAlign w:val="bottom"/>
            <w:tcBorders>
              <w:bottom w:val="single" w:sz="8" w:color="CFF0FC"/>
            </w:tcBorders>
          </w:tcPr>
          <w:p>
            <w:pPr>
              <w:spacing w:after="0"/>
              <w:rPr>
                <w:sz w:val="21"/>
                <w:szCs w:val="21"/>
                <w:color w:val="auto"/>
              </w:rPr>
            </w:pPr>
          </w:p>
        </w:tc>
      </w:tr>
      <w:tr>
        <w:trPr>
          <w:trHeight w:val="237"/>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rental commitments</w:t>
            </w:r>
          </w:p>
        </w:tc>
        <w:tc>
          <w:tcPr>
            <w:tcW w:w="410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851,696</w:t>
            </w:r>
          </w:p>
        </w:tc>
        <w:tc>
          <w:tcPr>
            <w:tcW w:w="120" w:type="dxa"/>
            <w:vAlign w:val="bottom"/>
            <w:shd w:val="clear" w:color="auto" w:fill="CFF0FC"/>
          </w:tcPr>
          <w:p>
            <w:pPr>
              <w:spacing w:after="0"/>
              <w:rPr>
                <w:sz w:val="20"/>
                <w:szCs w:val="20"/>
                <w:color w:val="auto"/>
              </w:rPr>
            </w:pPr>
          </w:p>
        </w:tc>
      </w:tr>
      <w:tr>
        <w:trPr>
          <w:trHeight w:val="20"/>
        </w:trPr>
        <w:tc>
          <w:tcPr>
            <w:tcW w:w="1660" w:type="dxa"/>
            <w:vAlign w:val="bottom"/>
            <w:tcBorders>
              <w:top w:val="single" w:sz="8" w:color="CFF0FC"/>
            </w:tcBorders>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40" w:firstLine="563"/>
        <w:spacing w:after="0" w:line="259" w:lineRule="auto"/>
        <w:rPr>
          <w:sz w:val="20"/>
          <w:szCs w:val="20"/>
          <w:color w:val="auto"/>
        </w:rPr>
      </w:pPr>
      <w:r>
        <w:rPr>
          <w:rFonts w:ascii="Arial" w:cs="Arial" w:eastAsia="Arial" w:hAnsi="Arial"/>
          <w:sz w:val="18"/>
          <w:szCs w:val="18"/>
          <w:color w:val="auto"/>
        </w:rPr>
        <w:t>In August 2018, the Company entered into a lease agreement for additional office facilities, which are currently under construction. The lease is expected to commence in the third quarter of 2019 when the facilities are delivered to the Company. The Company will recognize the related operating lease right-of-use assets and the operating lease liability on the lease commencement date. Operating lease commitments in the December 2018 table above include the impact of the new lease agreement.</w:t>
      </w:r>
    </w:p>
    <w:p>
      <w:pPr>
        <w:spacing w:after="0" w:line="376"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2019 and December 31, 2018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349,945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352,755</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At June 30, 2019 and December 31, 2018, goodwill of $285,404 and $286,288,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six month periods ended June 30, 2019 and 2018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(6,827)</w:t>
            </w: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All changes in the carrying amount of goodwill for the six month periods ended June 30, 2019 and 2018 are attributable to the Company’s Financial Advisory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June 30, 2019 and December 31, 2018,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33,623</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34,185</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33,548</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67,226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64,416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67,225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63,591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color w:val="auto"/>
        </w:rPr>
        <w:t>Amortization expense of intangible assets, included in “amortization and other acquisition-related (benefits) costs” in the condensed consolidated statements of operations, for the three month and six month periods ended June 30, 2019 was $412 and $823, respectively, and for the three month and six month periods ended June 30, 2018 was $653 and $1,270, respectively. Estimated future amortization expense is as follows: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2"/>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2019 (July 1 through December 31)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jc w:val="center"/>
              <w:ind w:right="410"/>
              <w:spacing w:after="0"/>
              <w:rPr>
                <w:sz w:val="20"/>
                <w:szCs w:val="20"/>
                <w:color w:val="auto"/>
              </w:rPr>
            </w:pPr>
            <w:r>
              <w:rPr>
                <w:rFonts w:ascii="Arial" w:cs="Arial" w:eastAsia="Arial" w:hAnsi="Arial"/>
                <w:sz w:val="18"/>
                <w:szCs w:val="18"/>
                <w:color w:val="auto"/>
                <w:w w:val="91"/>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397,348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296,982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jc w:val="center"/>
              <w:ind w:right="410"/>
              <w:spacing w:after="0"/>
              <w:rPr>
                <w:sz w:val="20"/>
                <w:szCs w:val="20"/>
                <w:color w:val="auto"/>
              </w:rPr>
            </w:pPr>
            <w:r>
              <w:rPr>
                <w:rFonts w:ascii="Arial" w:cs="Arial" w:eastAsia="Arial" w:hAnsi="Arial"/>
                <w:sz w:val="18"/>
                <w:szCs w:val="18"/>
                <w:color w:val="auto"/>
                <w:w w:val="91"/>
              </w:rPr>
              <w:t>Lazard Group 2028</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491,677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2029</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7,876</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492,124</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21,869</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1,678,131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 w:hanging="372"/>
        <w:spacing w:after="0" w:line="25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In March 2019, $167,943 aggregate principal amount was redeemed or otherwise retired, and the remaining $82,057 was redeemed or otherwise retired in April 2019.</w:t>
      </w:r>
    </w:p>
    <w:p>
      <w:pPr>
        <w:spacing w:after="0" w:line="12" w:lineRule="exact"/>
        <w:rPr>
          <w:rFonts w:ascii="Arial" w:cs="Arial" w:eastAsia="Arial" w:hAnsi="Arial"/>
          <w:sz w:val="18"/>
          <w:szCs w:val="18"/>
          <w:color w:val="auto"/>
        </w:rPr>
      </w:pPr>
    </w:p>
    <w:p>
      <w:pPr>
        <w:ind w:left="380" w:right="220" w:hanging="372"/>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 interest rates of Lazard Group’s 3.75% senior notes due February 13, 2025 (the “2025 Notes”), Lazard Group’s 3.625% senior notes due March 1, 2027 (the “2027 Notes”), Lazard Group’s 4.50% senior notes due September 19, 2028 (the “2028 Notes”) and the 2029 Notes are 3.87%, 3.76%, 4.68% and 4.54% respectively.</w:t>
      </w:r>
    </w:p>
    <w:p>
      <w:pPr>
        <w:sectPr>
          <w:pgSz w:w="11900" w:h="16838" w:orient="portrait"/>
          <w:cols w:equalWidth="0" w:num="1">
            <w:col w:w="11420"/>
          </w:cols>
          <w:pgMar w:left="240" w:top="12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June 30, 2019 and December 31, 2018, no amounts were outstanding under the Amended and Restated Credit Agreement.</w:t>
      </w:r>
    </w:p>
    <w:p>
      <w:pPr>
        <w:spacing w:after="0" w:line="19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June 30, 2019, the Company was in compliance with such provisions. All of the Company’s senior debt obligations are unsecured.</w:t>
      </w:r>
    </w:p>
    <w:p>
      <w:pPr>
        <w:spacing w:after="0" w:line="14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As of June 30, 2019, the Company had approximately $168,000 in unused lines of credit available to it, including the credit facility provided under the Amended and Restated Credit Agreement and unused lines of credit available to LFB of approximately $17,000.</w:t>
      </w:r>
    </w:p>
    <w:p>
      <w:pPr>
        <w:spacing w:after="0" w:line="170"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Company’s senior debt at June 30, 2019 and December 31, 2018 is carried at historical amounts of $1,678,131 and $1,434,260, respectively. At those dates, the fair value of such senior debt was approximately $1,782,000 and $1,429,000,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2019, LFB had $3,469 of such indemnifications and held $3,469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a business acquired in 2016, the remaining consideration consists of (i) 40,524 shares of Class A common stock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non-compete provisions and employment conditions and (ii) up to 210,431 additional shares of Class A common stock that are subject to certain performance thresholds. During the six month period ended June 30, 2019, none of the contingent shares were earned.</w:t>
      </w:r>
    </w:p>
    <w:p>
      <w:pPr>
        <w:spacing w:after="0" w:line="18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June 30, 2019, LFB and LFNY had no such underwriting commitments.</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See Notes 6 and 15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66"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During the six month periods ended June 30, 2019 and 2018, Lazard Group distributed $178,935 and $265,592, respectively, to the subsidiaries of Lazard Ltd.</w:t>
      </w:r>
    </w:p>
    <w:p>
      <w:pPr>
        <w:spacing w:after="0" w:line="170"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6"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six month period ended June 30, 2019 and since 2017,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340" w:type="dxa"/>
            <w:vAlign w:val="bottom"/>
            <w:vMerge w:val="restart"/>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6"/>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5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2018</w:t>
            </w: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8"/>
        </w:trPr>
        <w:tc>
          <w:tcPr>
            <w:tcW w:w="6280" w:type="dxa"/>
            <w:vAlign w:val="bottom"/>
            <w:gridSpan w:val="3"/>
            <w:vMerge w:val="continue"/>
          </w:tcPr>
          <w:p>
            <w:pPr>
              <w:spacing w:after="0"/>
              <w:rPr>
                <w:sz w:val="15"/>
                <w:szCs w:val="15"/>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45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4,147,526</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2019</w:t>
            </w:r>
          </w:p>
        </w:tc>
        <w:tc>
          <w:tcPr>
            <w:tcW w:w="4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9,715,003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During the six month periods ended June 30, 2019 and 2018,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certain of our executive officers equal in value to all or a portion of the estimated amount of such tax. In addition, during the six month period ended June 30, 2018, the Company purchased shares of Class A common stock from certain of our executive officers. The aggregate value of all such purchases during the six month periods ended June 30, 2019 and 2018 was approximately $14,600 and $16,400, respectively. Such shares of Class A common stock are reported at cost.</w:t>
      </w:r>
    </w:p>
    <w:p>
      <w:pPr>
        <w:spacing w:after="0" w:line="16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of June 30, 2019, a total of $243,800 of share repurchase authorization remained available under Lazard Ltd’s share repurchase program, all of which will expire on December 31, 2020.</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the six month period ended June 30, 2019, Lazard Ltd had in place trading plans under Rule 10b5-1 of the Securities Exchange Act of 1934, as amended (the “Exchange Act”), pursuant to which it effected stock repurchases in the open market.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June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2018 and activity during the three month and six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20" w:type="dxa"/>
            <w:vAlign w:val="bottom"/>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1, 2019</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(144,650</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(224,550</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(224,551</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(6,969)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(4,157)</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June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(140,725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(227,594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Six Months Ended June 30, 2019</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20" w:type="dxa"/>
            <w:vAlign w:val="bottom"/>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(82,829)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(145,831</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(228,660</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(228,660</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(4,040)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(1,179)</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June 30,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(227,594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20" w:type="dxa"/>
            <w:vAlign w:val="bottom"/>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(155,418</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(180,259</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(180,259</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(40,576)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(32,276)</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(32,275)</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(31,499)</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June 30, 2018</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(65,417)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(146,341</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(211,758</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(211,757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jc w:val="center"/>
              <w:ind w:right="341"/>
              <w:spacing w:after="0"/>
              <w:rPr>
                <w:sz w:val="20"/>
                <w:szCs w:val="20"/>
                <w:color w:val="auto"/>
              </w:rPr>
            </w:pPr>
            <w:r>
              <w:rPr>
                <w:rFonts w:ascii="Arial" w:cs="Arial" w:eastAsia="Arial" w:hAnsi="Arial"/>
                <w:sz w:val="14"/>
                <w:szCs w:val="14"/>
                <w:b w:val="1"/>
                <w:bCs w:val="1"/>
                <w:color w:val="auto"/>
                <w:w w:val="93"/>
              </w:rPr>
              <w:t>Six Months Ended June 30, 2018</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Employee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ind w:left="61"/>
              <w:spacing w:after="0" w:line="133"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145"/>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145"/>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left="61"/>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(43,790)</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(151,466</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5"/>
              </w:rPr>
              <w:t>(195,256</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(21,627)</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3,286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(18,341)</w:t>
            </w:r>
          </w:p>
        </w:tc>
        <w:tc>
          <w:tcPr>
            <w:tcW w:w="8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15"/>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1,839</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(21,627)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5,125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(16,502)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Balance, June 30, 2018</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(65,417)</w:t>
            </w:r>
          </w:p>
        </w:tc>
        <w:tc>
          <w:tcPr>
            <w:tcW w:w="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(146,341</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(211,758</w:t>
            </w:r>
          </w:p>
        </w:tc>
        <w:tc>
          <w:tcPr>
            <w:tcW w:w="220" w:type="dxa"/>
            <w:vAlign w:val="bottom"/>
            <w:vMerge w:val="continue"/>
          </w:tcPr>
          <w:p>
            <w:pPr>
              <w:spacing w:after="0"/>
              <w:rPr>
                <w:sz w:val="19"/>
                <w:szCs w:val="19"/>
                <w:color w:val="auto"/>
              </w:rPr>
            </w:pPr>
          </w:p>
        </w:tc>
        <w:tc>
          <w:tcPr>
            <w:tcW w:w="880" w:type="dxa"/>
            <w:vAlign w:val="bottom"/>
          </w:tcPr>
          <w:p>
            <w:pPr>
              <w:jc w:val="right"/>
              <w:ind w:right="701"/>
              <w:spacing w:after="0"/>
              <w:rPr>
                <w:sz w:val="20"/>
                <w:szCs w:val="20"/>
                <w:color w:val="auto"/>
              </w:rPr>
            </w:pPr>
            <w:r>
              <w:rPr>
                <w:rFonts w:ascii="Arial" w:cs="Arial" w:eastAsia="Arial" w:hAnsi="Arial"/>
                <w:sz w:val="18"/>
                <w:szCs w:val="18"/>
                <w:color w:val="auto"/>
                <w:w w:val="79"/>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(211,757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20" w:type="dxa"/>
            <w:vAlign w:val="bottom"/>
            <w:gridSpan w:val="25"/>
          </w:tcPr>
          <w:p>
            <w:pPr>
              <w:jc w:val="center"/>
              <w:ind w:left="30"/>
              <w:spacing w:after="0"/>
              <w:rPr>
                <w:sz w:val="20"/>
                <w:szCs w:val="20"/>
                <w:color w:val="auto"/>
              </w:rPr>
            </w:pPr>
            <w:r>
              <w:rPr>
                <w:rFonts w:ascii="Arial" w:cs="Arial" w:eastAsia="Arial" w:hAnsi="Arial"/>
                <w:sz w:val="18"/>
                <w:szCs w:val="18"/>
                <w:color w:val="auto"/>
                <w:w w:val="90"/>
              </w:rPr>
              <w:t>The table below reflects adjustments for items reclassified out of AOCI, by component, for the three month and six month periods ended June 30,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2019 and 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1,245</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26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1,113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and (ii) consolidated VIE interests held by employees (see Note 20).</w:t>
      </w:r>
    </w:p>
    <w:p>
      <w:pPr>
        <w:spacing w:after="0" w:line="170"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2019 and 2018 and noncontrolling interests as of June 30, 2019 and December 31, 2018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Net Income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7"/>
          </w:tcPr>
          <w:p>
            <w:pPr>
              <w:jc w:val="center"/>
              <w:ind w:right="166"/>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Interests</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40" w:type="dxa"/>
            <w:vAlign w:val="bottom"/>
            <w:gridSpan w:val="6"/>
          </w:tcPr>
          <w:p>
            <w:pPr>
              <w:jc w:val="right"/>
              <w:ind w:right="541"/>
              <w:spacing w:after="0" w:line="147"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7"/>
          </w:tcPr>
          <w:p>
            <w:pPr>
              <w:ind w:left="20"/>
              <w:spacing w:after="0" w:line="147"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June 30,</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Borders>
              <w:bottom w:val="single" w:sz="8" w:color="CFF0FC"/>
            </w:tcBorders>
          </w:tcPr>
          <w:p>
            <w:pPr>
              <w:spacing w:after="0"/>
              <w:rPr>
                <w:sz w:val="13"/>
                <w:szCs w:val="13"/>
                <w:color w:val="auto"/>
              </w:rPr>
            </w:pPr>
          </w:p>
        </w:tc>
        <w:tc>
          <w:tcPr>
            <w:tcW w:w="24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161"/>
              <w:spacing w:after="0" w:line="155"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4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7,501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6,935</w:t>
            </w:r>
          </w:p>
        </w:tc>
        <w:tc>
          <w:tcPr>
            <w:tcW w:w="28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Consolidated VIEs</w:t>
            </w:r>
          </w:p>
        </w:tc>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7,736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7,170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gridSpan w:val="11"/>
          </w:tcPr>
          <w:p>
            <w:pPr>
              <w:ind w:left="160"/>
              <w:spacing w:after="0"/>
              <w:rPr>
                <w:sz w:val="20"/>
                <w:szCs w:val="20"/>
                <w:color w:val="auto"/>
              </w:rPr>
            </w:pPr>
            <w:r>
              <w:rPr>
                <w:rFonts w:ascii="Arial" w:cs="Arial" w:eastAsia="Arial" w:hAnsi="Arial"/>
                <w:sz w:val="14"/>
                <w:szCs w:val="14"/>
                <w:b w:val="1"/>
                <w:bCs w:val="1"/>
                <w:color w:val="auto"/>
              </w:rPr>
              <w:t>Noncontrolling Interests as of</w:t>
            </w: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top w:val="single" w:sz="8" w:color="auto"/>
            </w:tcBorders>
            <w:gridSpan w:val="3"/>
          </w:tcPr>
          <w:p>
            <w:pPr>
              <w:jc w:val="center"/>
              <w:ind w:left="421"/>
              <w:spacing w:after="0" w:line="147" w:lineRule="exact"/>
              <w:rPr>
                <w:sz w:val="20"/>
                <w:szCs w:val="20"/>
                <w:color w:val="auto"/>
              </w:rPr>
            </w:pPr>
            <w:r>
              <w:rPr>
                <w:rFonts w:ascii="Arial" w:cs="Arial" w:eastAsia="Arial" w:hAnsi="Arial"/>
                <w:sz w:val="14"/>
                <w:szCs w:val="14"/>
                <w:b w:val="1"/>
                <w:bCs w:val="1"/>
                <w:color w:val="auto"/>
                <w:w w:val="92"/>
              </w:rPr>
              <w:t>June 30,</w:t>
            </w: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right"/>
              <w:ind w:right="294"/>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CFF0FC"/>
            </w:tcBorders>
          </w:tcPr>
          <w:p>
            <w:pPr>
              <w:spacing w:after="0"/>
              <w:rPr>
                <w:sz w:val="14"/>
                <w:szCs w:val="14"/>
                <w:color w:val="auto"/>
              </w:rPr>
            </w:pPr>
          </w:p>
        </w:tc>
        <w:tc>
          <w:tcPr>
            <w:tcW w:w="246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89"/>
              </w:rPr>
              <w:t>2019</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52,111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Consolidated VIEs</w:t>
            </w:r>
          </w:p>
        </w:tc>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11,698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63,823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60" w:type="dxa"/>
            <w:vAlign w:val="bottom"/>
            <w:vMerge w:val="restart"/>
          </w:tcPr>
          <w:p>
            <w:pPr>
              <w:jc w:val="right"/>
              <w:ind w:right="70"/>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and six month periods ended June 30, 2019 and 2018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profits interest participation rights and other share-based awards.</w:t>
      </w:r>
    </w:p>
    <w:p>
      <w:pPr>
        <w:spacing w:after="0" w:line="14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58"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66" w:lineRule="exact"/>
        <w:rPr>
          <w:sz w:val="20"/>
          <w:szCs w:val="20"/>
          <w:color w:val="auto"/>
        </w:rPr>
      </w:pPr>
    </w:p>
    <w:p>
      <w:pPr>
        <w:ind w:right="400" w:firstLine="518"/>
        <w:spacing w:after="0" w:line="312"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PRSUs and other share-based awards) and “professional services” expense (with respect to DSUs) within the Company’s accompanying condensed consolidated statements of operations for the three month and six month periods ended June 30, 2019 and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48,194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55,635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103,391</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116,522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17,597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23,373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Profits interest participation rights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75,511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86,149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160,100</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jc w:val="both"/>
        <w:ind w:right="280" w:firstLine="518"/>
        <w:spacing w:after="0" w:line="302"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 ended June 30, 2019, dividend participation rights required the issuance of 566,194 RSUs.</w:t>
      </w:r>
    </w:p>
    <w:p>
      <w:pPr>
        <w:spacing w:after="0" w:line="22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51,192 DSUs granted during the six month period ended June 30, 2019.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Lazard Ltd’s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 ended June 30, 2019, 10,257 DSUs had been granted pursuant to such Plan.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six month period ended June 30,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RSUs</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DSUs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11,362,306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Granted (including 566,194 RSUs relating to dividend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40" w:type="dxa"/>
            <w:vAlign w:val="bottom"/>
          </w:tcPr>
          <w:p>
            <w:pPr>
              <w:jc w:val="right"/>
              <w:spacing w:after="0"/>
              <w:rPr>
                <w:sz w:val="20"/>
                <w:szCs w:val="20"/>
                <w:color w:val="auto"/>
              </w:rPr>
            </w:pPr>
            <w:r>
              <w:rPr>
                <w:rFonts w:ascii="Arial" w:cs="Arial" w:eastAsia="Arial" w:hAnsi="Arial"/>
                <w:sz w:val="18"/>
                <w:szCs w:val="18"/>
                <w:color w:val="auto"/>
              </w:rPr>
              <w:t>5,564,865</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38.32</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(368,195)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Settled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(5,795,423)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37.03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10,763,553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384,995</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connection with RSUs that settled during the six month period ended June 30, 2019, the Company satisfied its minimum statutory tax withholding requirements in lieu of delivering 2,023,986 shares of Class A common stock during such six month period. Accordingly, 3,771,437 shares of Class A common stock held by the Company were delivered during the six month period ended June 30, 2019.</w:t>
      </w:r>
    </w:p>
    <w:p>
      <w:pPr>
        <w:spacing w:after="0" w:line="18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June 30, 2019, estimated unrecognized RSU compensation expense was $195,263, with such expense expected to be recognized over a weighted average period of approximately 0.9 years subsequent to June 30, 2019.</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 ended June 30,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3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1,541,058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Granted</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1,039,736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45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(194,097)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Settled</w:t>
            </w:r>
          </w:p>
        </w:tc>
        <w:tc>
          <w:tcPr>
            <w:tcW w:w="4500" w:type="dxa"/>
            <w:vAlign w:val="bottom"/>
            <w:gridSpan w:val="3"/>
          </w:tcPr>
          <w:p>
            <w:pPr>
              <w:jc w:val="right"/>
              <w:ind w:right="60"/>
              <w:spacing w:after="0"/>
              <w:rPr>
                <w:sz w:val="20"/>
                <w:szCs w:val="20"/>
                <w:color w:val="auto"/>
              </w:rPr>
            </w:pPr>
            <w:r>
              <w:rPr>
                <w:rFonts w:ascii="Arial" w:cs="Arial" w:eastAsia="Arial" w:hAnsi="Arial"/>
                <w:sz w:val="18"/>
                <w:szCs w:val="18"/>
                <w:color w:val="auto"/>
              </w:rPr>
              <w:t>(1,159,850)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31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1,226,847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20" w:type="dxa"/>
            <w:vAlign w:val="bottom"/>
            <w:vMerge w:val="restart"/>
          </w:tcPr>
          <w:p>
            <w:pPr>
              <w:jc w:val="right"/>
              <w:ind w:right="1530"/>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67"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In connection with shares of restricted Class A common stock that settled during the six month period ended June 30, 2019, the Company satisfied its minimum statutory tax withholding requirements in lieu of delivering 370,777 shares of Class A common stock during such six month period. Accordingly, 789,073 shares of Class A common stock held by the Company were delivered during the six month period ended June 30, 2019.</w:t>
      </w:r>
    </w:p>
    <w:p>
      <w:pPr>
        <w:spacing w:after="0" w:line="166"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June 30, 2019, estimated unrecognized restricted stock expense was $28,337, with such expense to be recognized over a weighted average period of approximately 1.0 years subsequent to June 30, 2019.</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225" w:lineRule="exact"/>
        <w:rPr>
          <w:sz w:val="20"/>
          <w:szCs w:val="20"/>
          <w:color w:val="auto"/>
        </w:rPr>
      </w:pPr>
    </w:p>
    <w:p>
      <w:pPr>
        <w:ind w:right="18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six month period ended June 30, 2019:</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1,771,795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(1,171,081)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600,714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firstLine="518"/>
        <w:spacing w:after="0" w:line="286" w:lineRule="auto"/>
        <w:rPr>
          <w:sz w:val="20"/>
          <w:szCs w:val="20"/>
          <w:color w:val="auto"/>
        </w:rPr>
      </w:pPr>
      <w:r>
        <w:rPr>
          <w:rFonts w:ascii="Arial" w:cs="Arial" w:eastAsia="Arial" w:hAnsi="Arial"/>
          <w:sz w:val="17"/>
          <w:szCs w:val="17"/>
          <w:color w:val="auto"/>
        </w:rPr>
        <w:t>In connection with certain PRSUs that settled during the six month period ended June 30, 2019, the Company satisfied its minimum statutory tax withholding requirements in lieu of delivering 203,036 shares of Class A common stock during such six month period. Accordingly, 968,045 shares of Class A common stock held by the Company were delivered during the six month period ended June 30, 2019.</w:t>
      </w:r>
    </w:p>
    <w:p>
      <w:pPr>
        <w:spacing w:after="0" w:line="166"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2019, the total estimated unrecognized compensation expense was $4,249, and the Company expects to amortize such expense over a weighted-average period of approximately 0.7 years subsequent to June 30, 2019.</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Profits Interest Participation Rights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early 2019, the Company established a new long-term incentive compensation program consisting of profits interest participation rights, which are equity incentive awards that, subject to certain conditions, may be exchanged for shares of Class A common stock pursuant to the 2018 Plan. Pursuant to the program, in February 2019,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Profits interest participation rights are a class of membership interests in the Company that are intended to qualify as “profits interests” for U.S. federal income tax purposes, and are recorded within members’ equity in the Company’s condensed consolidated statements of financial condition. The profits interest participation rights generally allow the recipient to realize value only to the extent that both (i) the service-based vesting conditions and, if applicable, the performance conditions, are satisfied, and (ii) an amount of economic appreciation in the assets of the Company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Class A common stock will be exchanged on a one-for-one basis for shares of Class A common stock. If forfeited based solely on failing to meet the Minimum Value Condition, the associated compensation expense would not be reversed.</w:t>
      </w:r>
    </w:p>
    <w:p>
      <w:pPr>
        <w:spacing w:after="0" w:line="179"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Like outstanding RSUs and similar awards, profits interest participation rights will be subject to continued employment and other conditions and restrictions and will be forfeited if those conditions and restrictions are not fulfilled. More specifically, vesting of profits interest participation rights will be subject to compliance with restrictive covenants including non-compete, non-solicitation of clients, no hire of employees and confidentiality, which are similar to those applicable to PRSUs and RSUs. In addition, profits interest participation rights must satisfy the Minimum Value Condition. PRPUs, like outstanding PRSUs, will be subject to the achievement of incremental pre-established performance conditions and financial metrics and will only result in value to the recipient to the extent the conditions are satisfied.</w:t>
      </w:r>
    </w:p>
    <w:p>
      <w:pPr>
        <w:spacing w:after="0" w:line="19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number of shares of Class A common stock that a recipient will receive upon the exchange of a PRPU award will be calculated by reference to applicable financial metrics. The target number of shares of Class A common stock subject to each PRPU is one. Based on the achievement of performance criteria, as determined by the Compensation Committee, the number of shares of Class A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such awards.</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performance metrics applicable to each PRPU will be evaluated on an annual basis at the end of each fiscal year during the performance period, and, if Lazard Ltd has achieved a threshold level of performance with respect to the fiscal year, 25% of the target number of PRPUs will no longer be at risk of forfeiture based on the achievement of performance criteria. Profits interest participation rights are allocated income, subject to vesting and settled in cash, in respect of dividends paid on Class A common stock.</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profits interest participation rights, including PRPUs, during the six month period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Profits Interest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Participation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Table includes the target number of PRPUs assuming the achievement of applicable performance conditions at the target level.</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Compensation expense recognized for profits interest participation rights, including PRPUs, is determined by multiplying the number of shares of Class A common stock underlying such awards that, based on the Company’s estimate, are considered probable of vesting, by the grant date fair value. As of June 30, 2019, the total estimated unrecognized compensation expense was $20,652, and the Company expects to amortize such expense over a weighted-average period of approximately 1.3 years subsequent to June 30,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six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101,340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(82,990)</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(59,283)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2019</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118,048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years subsequent to June 30, 2019.</w:t>
      </w:r>
    </w:p>
    <w:p>
      <w:pPr>
        <w:spacing w:after="0" w:line="170"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2019 and 2018:</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52,129</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20,354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(1,935)</w:t>
            </w: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w:t>
      </w:r>
    </w:p>
    <w:p>
      <w:pPr>
        <w:spacing w:after="0" w:line="154"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7" w:name="page38"/>
    <w:bookmarkEnd w:id="3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and six month periods ended June 30,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(6,873)</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 loss</w:t>
            </w:r>
          </w:p>
        </w:tc>
        <w:tc>
          <w:tcPr>
            <w:tcW w:w="1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2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880" w:type="dxa"/>
            <w:vAlign w:val="bottom"/>
          </w:tcPr>
          <w:p>
            <w:pPr>
              <w:spacing w:after="0"/>
              <w:rPr>
                <w:sz w:val="4"/>
                <w:szCs w:val="4"/>
                <w:color w:val="auto"/>
              </w:rPr>
            </w:pPr>
          </w:p>
        </w:tc>
        <w:tc>
          <w:tcPr>
            <w:tcW w:w="294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19"/>
                <w:szCs w:val="19"/>
                <w:color w:val="auto"/>
              </w:rPr>
            </w:pP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(13,899)</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(15,366)</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Settlement loss</w:t>
            </w:r>
          </w:p>
        </w:tc>
        <w:tc>
          <w:tcPr>
            <w:tcW w:w="1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93"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color w:val="auto"/>
        </w:rPr>
        <w:t>The Company recorded income tax provisions of $17,276 and $33,264 for the three month and six month periods ended June 30, 2019, respectively, and $31,445 and $50,060 for the three month and six month periods ended June 30, 2018, respectively, representing effective tax rates of 16.1%, 15.4%,</w:t>
      </w:r>
    </w:p>
    <w:p>
      <w:pPr>
        <w:ind w:right="100"/>
        <w:spacing w:after="0" w:line="273" w:lineRule="auto"/>
        <w:rPr>
          <w:sz w:val="20"/>
          <w:szCs w:val="20"/>
          <w:color w:val="auto"/>
        </w:rPr>
      </w:pPr>
      <w:r>
        <w:rPr>
          <w:rFonts w:ascii="Arial" w:cs="Arial" w:eastAsia="Arial" w:hAnsi="Arial"/>
          <w:sz w:val="17"/>
          <w:szCs w:val="17"/>
          <w:color w:val="auto"/>
        </w:rPr>
        <w:t>16.4% and 13.2%, respectively. The difference between the U.S. federal statutory rate of 21.0% and the effective tax rates reflected above principally relates to (i) Lazard Group primarily operating as a limited liability company in the U.S., (ii) taxes payable to foreign jurisdictions, (iii) excess net tax benefit for share-based incentive compensation, (iv) change in the valuation allowance affecting the provision for income taxes, (v) U.S. state and local taxes, which are incremental to the U.S. federal statutory tax rate, and (vi) impact of U.S. tax reform, including base erosion and anti-abuse tax.</w:t>
      </w:r>
    </w:p>
    <w:p>
      <w:pPr>
        <w:spacing w:after="0" w:line="366"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Receivables from and Payables to Lazard Ltd Subsidiaries</w:t>
      </w:r>
    </w:p>
    <w:p>
      <w:pPr>
        <w:spacing w:after="0" w:line="11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Interest income relating to interest-bearing loans with subsidiaries of Lazard Ltd amounted to $74 and $89 for the three month and six month periods ended June 30, 2019, respectively, and $200 and $221 for the three month and six month periods ended June 30, 2018, respectively.</w:t>
      </w:r>
    </w:p>
    <w:p>
      <w:pPr>
        <w:spacing w:after="0" w:line="14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Lazard Group’s payables to subsidiaries of Lazard Ltd at June 30, 2019 and December 31, 2018 included interest-bearing loans, including interest thereon, of $57,064 and $60,875, respectively. Interest expense relating to interest-bearing loans with subsidiaries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Lazard Ltd amounted to $929 and $1,816 for the three month and six month periods ended June 30, 2019, respectively, and $929 and $1,902 for the three month and six month periods ended June 30, 2018, respectively.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$153,198 and $297,368 for the three month and six month periods ended June 30, 2019, respectively, and $170,680 and $351,990 for the three month and six month periods ended June 30, 2018, respectively, and are included in “asset management fees” on the condensed consolidated statements of operations. Of such amounts, $56,696 and $59,304 remained as receivables at June 30, 2019 and December 31, 2018, respectively, and are included in “fees receivable” on the condensed consolidated statements of financial condition.</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During the six month period ended June 30, 2019, the Company recognized approximately $3,000 of investment banking and other advisory fees pertaining to financial advisory services provided to a company of which a member of the Company’s Board of Directors served as Chairman and CEO. The engagement terms were negotiated in the ordinary course of business on an arms-length basis.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13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2019, LFNY’s regulatory net capital was $90,760, which exceeded the minimum requirement by $87,343. LFNY’s aggregate indebtedness to net capital ratio was 0.56:1 as of June 30, 2019.</w:t>
      </w:r>
    </w:p>
    <w:p>
      <w:pPr>
        <w:spacing w:after="0" w:line="193"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June 30, 2019, the aggregate regulatory net capital of the U.K. Subsidiaries was $167,610, which exceeded the minimum requirement by $151,085.</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June 30, 2019, the consolidated regulatory net capital of CFLF was $168,669, which exceeded the minimum requirement set for regulatory capital levels by $111,947.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March 31, 2019, the regulatory net capital of the combined European regulated group was $157,090, which exceeded the minimum requirement set for regulatory capital levels by $53,516.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2019, for those subsidiaries with regulatory capital requirements, their aggregate net capital was $163,269, which exceeded the minimum required capital by $135,064.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2019, each of these subsidiaries individually was in compliance with its regulatory capital requirements.</w:t>
      </w:r>
    </w:p>
    <w:p>
      <w:pPr>
        <w:spacing w:after="0" w:line="225"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 Company’s segment information for the three month and six month periods ended June 30, 2019 and 2018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327,763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269,321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324,287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543,356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646,795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58,442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315,591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352,588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617,424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706,871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219,021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23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123,027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191,055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67,951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628,150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754,639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1,254,152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1,507,900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520,537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1,037,676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107,613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3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June 30, 2019</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5"/>
              </w:rPr>
              <w:t>December 31, 2018</w:t>
            </w:r>
          </w:p>
        </w:tc>
        <w:tc>
          <w:tcPr>
            <w:tcW w:w="120" w:type="dxa"/>
            <w:vAlign w:val="bottom"/>
            <w:tcBorders>
              <w:bottom w:val="single" w:sz="8" w:color="CFF0FC"/>
            </w:tcBorders>
          </w:tcPr>
          <w:p>
            <w:pPr>
              <w:spacing w:after="0"/>
              <w:rPr>
                <w:sz w:val="13"/>
                <w:szCs w:val="13"/>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3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942,772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829,898</w:t>
            </w: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3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728,220</w:t>
            </w:r>
          </w:p>
        </w:tc>
        <w:tc>
          <w:tcPr>
            <w:tcW w:w="120" w:type="dxa"/>
            <w:vAlign w:val="bottom"/>
            <w:shd w:val="clear" w:color="auto" w:fill="CFF0FC"/>
          </w:tcPr>
          <w:p>
            <w:pPr>
              <w:spacing w:after="0"/>
              <w:rPr>
                <w:sz w:val="19"/>
                <w:szCs w:val="19"/>
                <w:color w:val="auto"/>
              </w:rPr>
            </w:pPr>
          </w:p>
        </w:tc>
      </w:tr>
      <w:tr>
        <w:trPr>
          <w:trHeight w:val="230"/>
        </w:trPr>
        <w:tc>
          <w:tcPr>
            <w:tcW w:w="47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3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3,258,220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2,831,357</w:t>
            </w:r>
          </w:p>
        </w:tc>
        <w:tc>
          <w:tcPr>
            <w:tcW w:w="120" w:type="dxa"/>
            <w:vAlign w:val="bottom"/>
            <w:tcBorders>
              <w:bottom w:val="single" w:sz="8" w:color="CFF0FC"/>
            </w:tcBorders>
          </w:tcPr>
          <w:p>
            <w:pPr>
              <w:spacing w:after="0"/>
              <w:rPr>
                <w:sz w:val="19"/>
                <w:szCs w:val="19"/>
                <w:color w:val="auto"/>
              </w:rPr>
            </w:pPr>
          </w:p>
        </w:tc>
      </w:tr>
      <w:tr>
        <w:trPr>
          <w:trHeight w:val="223"/>
        </w:trPr>
        <w:tc>
          <w:tcPr>
            <w:tcW w:w="4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4,903,522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4,389,475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CONSOLIDATED VIEs</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Company’s consolidated VIEs as of June 30, 2019 include certain funds that were recently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Company’s consolidated VIE assets and liabilities as reflected in the condensed consolidated statements of financial condition consist of the following at June 30, 2019: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tcPr>
          <w:p>
            <w:pPr>
              <w:spacing w:after="0"/>
              <w:rPr>
                <w:sz w:val="20"/>
                <w:szCs w:val="20"/>
                <w:color w:val="auto"/>
              </w:rPr>
            </w:pPr>
            <w:r>
              <w:rPr>
                <w:rFonts w:ascii="Arial" w:cs="Arial" w:eastAsia="Arial" w:hAnsi="Arial"/>
                <w:sz w:val="18"/>
                <w:szCs w:val="18"/>
                <w:color w:val="auto"/>
              </w:rPr>
              <w:t>Customers and other receivables</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r>
      <w:tr>
        <w:trPr>
          <w:trHeight w:val="243"/>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Investments (a)</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89,762</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FF0FC"/>
            </w:tcBorders>
          </w:tcPr>
          <w:p>
            <w:pPr>
              <w:spacing w:after="0"/>
              <w:rPr>
                <w:sz w:val="21"/>
                <w:szCs w:val="21"/>
                <w:color w:val="auto"/>
              </w:rPr>
            </w:pPr>
          </w:p>
        </w:tc>
      </w:tr>
      <w:tr>
        <w:trPr>
          <w:trHeight w:val="237"/>
        </w:trPr>
        <w:tc>
          <w:tcPr>
            <w:tcW w:w="94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95,230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9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9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948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r>
      <w:tr>
        <w:trPr>
          <w:trHeight w:val="243"/>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21"/>
                <w:szCs w:val="21"/>
                <w:color w:val="auto"/>
              </w:rPr>
            </w:pPr>
          </w:p>
        </w:tc>
      </w:tr>
      <w:tr>
        <w:trPr>
          <w:trHeight w:val="237"/>
        </w:trPr>
        <w:tc>
          <w:tcPr>
            <w:tcW w:w="94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0"/>
                <w:szCs w:val="20"/>
                <w:color w:val="auto"/>
              </w:rPr>
            </w:pP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$81,999 of LFI held by Lazard Group which is eliminated in the condensed consolidated statements of financial condition.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2018 (the “Form 10-K”). All references to “2019,” “2018,” “second quarter,” “first half” or “the period” refer to, as the context requires, the three month and six month periods ended June 30, 2019 and June 30,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deploy surplus cash through distributions to members, purchases of Class A common stock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2" w:name="page43"/>
    <w:bookmarkEnd w:id="42"/>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impact of investments in our technology infrastructure and data science capabilities;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62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Our websites and social media sites and the information contained therein or connected thereto shall not be deemed to be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Form 10-Q.</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900" w:right="180" w:hanging="379"/>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On an ongoing basis, regional, macroeconomic and geopolitical factors, including trade policy and regional tax and regulatory reform, may impact our business. The U.S. economic expansion continues. The European economy’s growth rate remains low. Emerging markets as a group have experienced growth but also significant volatility. Global borrowing costs remain 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760" w:right="80" w:hanging="374"/>
        <w:spacing w:after="0" w:line="273"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appear to remain in place. We believe our Financial Advisory business is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83" w:lineRule="exact"/>
        <w:rPr>
          <w:rFonts w:ascii="Arial" w:cs="Arial" w:eastAsia="Arial" w:hAnsi="Arial"/>
          <w:sz w:val="17"/>
          <w:szCs w:val="17"/>
          <w:color w:val="auto"/>
        </w:rPr>
      </w:pPr>
    </w:p>
    <w:p>
      <w:pPr>
        <w:ind w:left="760" w:hanging="374"/>
        <w:spacing w:after="0" w:line="253"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Asset Management</w:t>
      </w:r>
      <w:r>
        <w:rPr>
          <w:rFonts w:ascii="Arial" w:cs="Arial" w:eastAsia="Arial" w:hAnsi="Arial"/>
          <w:sz w:val="18"/>
          <w:szCs w:val="18"/>
          <w:color w:val="auto"/>
        </w:rPr>
        <w:t>—In the short to intermediate term, we expect most investor demand will come from defined benefit and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in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opportunities across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an International Value strategy, a Global Equity Franchise strategy, a U.S. Systematic Equity strategy, and a Market Neutral Quantitative Equity strategy.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evaluation of potential growth opportunities, the investment in new technology to support the development of existing and new business opportunities, the prudent management of our costs and expenses, the efficient use of our assets and the return of equity to our members.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the first half of 2019 as compared to 2018. With respect to announced M&amp;A transactions, the value and number of all transactions, including the subset of announced transactions involving values greater than $500 million, decreased in the first half of 2019 as compared to 2018.</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7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2018</w:t>
            </w:r>
          </w:p>
        </w:tc>
        <w:tc>
          <w:tcPr>
            <w:tcW w:w="90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1"/>
                <w:szCs w:val="11"/>
                <w:color w:val="auto"/>
              </w:rPr>
            </w:pPr>
          </w:p>
        </w:tc>
        <w:tc>
          <w:tcPr>
            <w:tcW w:w="86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89"/>
              </w:rPr>
              <w:t>2018</w:t>
            </w:r>
          </w:p>
        </w:tc>
        <w:tc>
          <w:tcPr>
            <w:tcW w:w="82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1,109</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2,054</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7,645</w:t>
            </w:r>
          </w:p>
        </w:tc>
        <w:tc>
          <w:tcPr>
            <w:tcW w:w="22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9,170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15,735</w:t>
            </w:r>
          </w:p>
        </w:tc>
        <w:tc>
          <w:tcPr>
            <w:tcW w:w="300" w:type="dxa"/>
            <w:vAlign w:val="bottom"/>
          </w:tcPr>
          <w:p>
            <w:pPr>
              <w:spacing w:after="0"/>
              <w:rPr>
                <w:sz w:val="19"/>
                <w:szCs w:val="19"/>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18,757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891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1,617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327</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640</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1,172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2,359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8,160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9,291</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16,449</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18,881</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950</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1,918</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390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20"/>
                <w:szCs w:val="20"/>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705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2090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July 4, 2019.</w:t>
      </w:r>
    </w:p>
    <w:p>
      <w:pPr>
        <w:spacing w:after="0" w:line="22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Global restructuring activity during the first half of 2019, as measured by the number of corporate defaults, remained unchanged as compared to the first half of 2018. The number of defaulting issuers was 46 in both the first half of 2019 and the first half of 2018 according to Moody’s Investors Service, Inc.</w:t>
      </w:r>
    </w:p>
    <w:p>
      <w:pPr>
        <w:spacing w:after="0" w:line="18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Equity market indices for major markets at June 30, 2019 generally increased as compared to such indices at December 31, 2018 and June 30, 2018. The percentage change in major equity market indices at June 30, 2019, as compared to such indices at March 31, 2019, December 31, 2018, and at June 30, 2018, is shown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Percentage Changes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0"/>
              </w:rPr>
              <w:t>June 30, 2019 vs.</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900" w:type="dxa"/>
            <w:vAlign w:val="bottom"/>
          </w:tcPr>
          <w:p>
            <w:pPr>
              <w:jc w:val="center"/>
              <w:ind w:left="68"/>
              <w:spacing w:after="0" w:line="133"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2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9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6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4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8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8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equity securities and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Although Corporate segment net revenue during 2019 is not significant compared to Lazard’s net revenue, total assets in the Corporate segment represented 66% of Lazard’s consolidated total assets as of June 30, 2019,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80" w:firstLine="51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14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900" w:right="120" w:hanging="379"/>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60" w:hanging="386"/>
        <w:spacing w:after="0" w:line="312" w:lineRule="auto"/>
        <w:tabs>
          <w:tab w:leader="none" w:pos="14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deferred incentive compensation awards granted in the year-end compensation process with respect to the fiscal year (</w:t>
      </w:r>
      <w:r>
        <w:rPr>
          <w:rFonts w:ascii="Arial" w:cs="Arial" w:eastAsia="Arial" w:hAnsi="Arial"/>
          <w:sz w:val="16"/>
          <w:szCs w:val="16"/>
          <w:i w:val="1"/>
          <w:iCs w:val="1"/>
          <w:color w:val="auto"/>
        </w:rPr>
        <w:t>e.g</w:t>
      </w:r>
      <w:r>
        <w:rPr>
          <w:rFonts w:ascii="Arial" w:cs="Arial" w:eastAsia="Arial" w:hAnsi="Arial"/>
          <w:sz w:val="16"/>
          <w:szCs w:val="16"/>
          <w:color w:val="auto"/>
        </w:rPr>
        <w:t>., deferred incentive compensation awards granted in 2019 related to the 2018 year-end compensation process), including performance-based restricted stock unit (“PRSU”) and performance-based restricted participation unit (“PRPU”) awards (based on the target payout level);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left="1420" w:right="480" w:hanging="386"/>
        <w:spacing w:after="0" w:line="277" w:lineRule="auto"/>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amounts in excess of the target payout level for PRSU and PRPU awards at the end of their respective performance periods; and</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66"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2019, non-compensation expense included expenses related to the redemption of the Company’s 4.25% senior notes due 2020 (the “2020 Notes”).</w:t>
      </w:r>
    </w:p>
    <w:p>
      <w:pPr>
        <w:spacing w:after="0" w:line="173"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5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 16 of Notes to Condensed Consolidated Financial Statements for additional information regarding income taxes and our deferred tax assets.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consolidated VIE interests held by employees. See Notes 13 and 20 of Notes to Condensed Consolidated Financial Statements for information regarding the Company’s noncontrolling interests and consolidated VIEs.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right="6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and six month periods ended June 30, 2019 was negatively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628,150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754,639</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1,254,152</w:t>
            </w:r>
          </w:p>
        </w:tc>
        <w:tc>
          <w:tcPr>
            <w:tcW w:w="2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1,507,900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370,452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414,615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740,700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817,922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149,683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148,748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297,258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311,128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520,537</w:t>
            </w:r>
          </w:p>
        </w:tc>
        <w:tc>
          <w:tcPr>
            <w:tcW w:w="3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562,825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1,037,676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1,129,134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107,613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191,814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216,476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378,766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17,276</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160,369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82,601</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158,953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176,042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325,321</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628,150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754,639</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1,254,152</w:t>
            </w:r>
          </w:p>
        </w:tc>
        <w:tc>
          <w:tcPr>
            <w:tcW w:w="16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1,507,900</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27,031</w:t>
            </w:r>
          </w:p>
        </w:tc>
        <w:tc>
          <w:tcPr>
            <w:tcW w:w="100" w:type="dxa"/>
            <w:vAlign w:val="bottom"/>
          </w:tcPr>
          <w:p>
            <w:pPr>
              <w:spacing w:after="0"/>
              <w:rPr>
                <w:sz w:val="19"/>
                <w:szCs w:val="19"/>
                <w:color w:val="auto"/>
              </w:rPr>
            </w:pPr>
          </w:p>
        </w:tc>
      </w:tr>
      <w:tr>
        <w:trPr>
          <w:trHeight w:val="215"/>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bad debt expense (b)</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(13,174)</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(24,719)</w:t>
            </w:r>
          </w:p>
        </w:tc>
        <w:tc>
          <w:tcPr>
            <w:tcW w:w="4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(37,470)</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(64,227)</w:t>
            </w: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(11,820)</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(5,622)</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(10,839)</w:t>
            </w: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(6,484)</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(20,354)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 investment adjustment (e)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628,271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738,331</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1,231,511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1,461,800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 w:hanging="372"/>
        <w:spacing w:after="0" w:line="258"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1"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excluded for purposes of determining adjusted non-compensation expense.</w:t>
      </w:r>
    </w:p>
    <w:p>
      <w:pPr>
        <w:ind w:left="380" w:right="220" w:hanging="372"/>
        <w:spacing w:after="0" w:line="25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5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write-down of a private equity investment to the potential transaction value.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370,452</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414,615</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740,700</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817,922</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(3,346)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(5,798)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(5,873)</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(6,484)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(20,354)</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80" w:type="dxa"/>
            <w:vAlign w:val="bottom"/>
            <w:shd w:val="clear" w:color="auto" w:fill="CFF0FC"/>
          </w:tcPr>
          <w:p>
            <w:pPr>
              <w:spacing w:after="0"/>
              <w:rPr>
                <w:sz w:val="19"/>
                <w:szCs w:val="19"/>
                <w:color w:val="auto"/>
              </w:rPr>
            </w:pP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360,059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411,768</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714,548</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813,984</w:t>
            </w:r>
          </w:p>
        </w:tc>
        <w:tc>
          <w:tcPr>
            <w:tcW w:w="180" w:type="dxa"/>
            <w:vAlign w:val="bottom"/>
            <w:tcBorders>
              <w:bottom w:val="single" w:sz="8" w:color="CFF0FC"/>
            </w:tcBorders>
          </w:tcPr>
          <w:p>
            <w:pPr>
              <w:spacing w:after="0"/>
              <w:rPr>
                <w:sz w:val="22"/>
                <w:szCs w:val="22"/>
                <w:color w:val="auto"/>
              </w:rPr>
            </w:pPr>
          </w:p>
        </w:tc>
      </w:tr>
      <w:tr>
        <w:trPr>
          <w:trHeight w:val="21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Adjusted compensation and benefits expense, as a % of operating revenue</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23"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149,683</w:t>
            </w:r>
          </w:p>
        </w:tc>
        <w:tc>
          <w:tcPr>
            <w:tcW w:w="3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148,748</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297,258</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311,128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(7,625)</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(5,404)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(10,830)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5"/>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380"/>
              <w:spacing w:after="0"/>
              <w:rPr>
                <w:sz w:val="20"/>
                <w:szCs w:val="20"/>
                <w:color w:val="auto"/>
              </w:rPr>
            </w:pPr>
            <w:r>
              <w:rPr>
                <w:rFonts w:ascii="Arial" w:cs="Arial" w:eastAsia="Arial" w:hAnsi="Arial"/>
                <w:sz w:val="18"/>
                <w:szCs w:val="18"/>
                <w:color w:val="auto"/>
              </w:rPr>
              <w:t>expense (c)</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(13,174)</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(24,719)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(37,470)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(64,227)</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(2,262)</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241,449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22"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included for purposes of determining operating revenue.</w:t>
      </w:r>
    </w:p>
    <w:p>
      <w:pPr>
        <w:ind w:left="380" w:right="420" w:hanging="372"/>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2019, represents charges pertaining to the redemption of the Company’s 2020 Notes due to the non-operating nature of such transaction. See “— Liquidity and Capital Resources—Financing Activities” below.</w:t>
      </w:r>
    </w:p>
    <w:p>
      <w:pPr>
        <w:ind w:left="380" w:hanging="372"/>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628,271</w:t>
            </w:r>
          </w:p>
        </w:tc>
        <w:tc>
          <w:tcPr>
            <w:tcW w:w="3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738,331</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1,231,511</w:t>
            </w:r>
          </w:p>
        </w:tc>
        <w:tc>
          <w:tcPr>
            <w:tcW w:w="240" w:type="dxa"/>
            <w:vAlign w:val="bottom"/>
          </w:tcPr>
          <w:p>
            <w:pPr>
              <w:spacing w:after="0"/>
              <w:rPr>
                <w:sz w:val="19"/>
                <w:szCs w:val="19"/>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1,461,800</w:t>
            </w:r>
          </w:p>
        </w:tc>
        <w:tc>
          <w:tcPr>
            <w:tcW w:w="1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(360,059)</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(411,768)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(714,548)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(813,984)</w:t>
            </w: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(126,388)</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(116,906)</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(241,449)</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(230,416)</w:t>
            </w: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141,824</w:t>
            </w:r>
          </w:p>
        </w:tc>
        <w:tc>
          <w:tcPr>
            <w:tcW w:w="3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209,657</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275,514</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417,400</w:t>
            </w:r>
          </w:p>
        </w:tc>
        <w:tc>
          <w:tcPr>
            <w:tcW w:w="18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28.6%</w:t>
            </w: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48</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color w:val="auto"/>
        </w:rPr>
        <w:t>Headcount information is set forth below:</w:t>
      </w:r>
    </w:p>
    <w:p>
      <w:pPr>
        <w:spacing w:after="0" w:line="298"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As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780" w:type="dxa"/>
            <w:vAlign w:val="bottom"/>
          </w:tcPr>
          <w:p>
            <w:pPr>
              <w:spacing w:after="0"/>
              <w:rPr>
                <w:sz w:val="11"/>
                <w:szCs w:val="11"/>
                <w:color w:val="auto"/>
              </w:rPr>
            </w:pPr>
          </w:p>
        </w:tc>
        <w:tc>
          <w:tcPr>
            <w:tcW w:w="920" w:type="dxa"/>
            <w:vAlign w:val="bottom"/>
            <w:tcBorders>
              <w:top w:val="single" w:sz="8" w:color="auto"/>
            </w:tcBorders>
          </w:tcPr>
          <w:p>
            <w:pPr>
              <w:ind w:left="420"/>
              <w:spacing w:after="0" w:line="133"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ind w:left="240"/>
              <w:spacing w:after="0" w:line="133" w:lineRule="exact"/>
              <w:rPr>
                <w:sz w:val="20"/>
                <w:szCs w:val="20"/>
                <w:color w:val="auto"/>
              </w:rPr>
            </w:pPr>
            <w:r>
              <w:rPr>
                <w:rFonts w:ascii="Arial" w:cs="Arial" w:eastAsia="Arial" w:hAnsi="Arial"/>
                <w:sz w:val="14"/>
                <w:szCs w:val="14"/>
                <w:b w:val="1"/>
                <w:bCs w:val="1"/>
                <w:color w:val="auto"/>
              </w:rPr>
              <w:t>December 31,</w:t>
            </w:r>
          </w:p>
        </w:tc>
        <w:tc>
          <w:tcPr>
            <w:tcW w:w="1340" w:type="dxa"/>
            <w:vAlign w:val="bottom"/>
            <w:tcBorders>
              <w:top w:val="single" w:sz="8" w:color="auto"/>
            </w:tcBorders>
          </w:tcPr>
          <w:p>
            <w:pPr>
              <w:jc w:val="right"/>
              <w:ind w:right="334"/>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r>
      <w:tr>
        <w:trPr>
          <w:trHeight w:val="171"/>
        </w:trPr>
        <w:tc>
          <w:tcPr>
            <w:tcW w:w="7700" w:type="dxa"/>
            <w:vAlign w:val="bottom"/>
            <w:gridSpan w:val="2"/>
          </w:tcPr>
          <w:p>
            <w:pPr>
              <w:ind w:left="730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Managing Directors: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Asset Management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Business Segment Professionals and Support Staff:</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Financial Advisory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Asset Management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1,012</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Corporate</w:t>
            </w:r>
          </w:p>
        </w:tc>
        <w:tc>
          <w:tcPr>
            <w:tcW w:w="42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versus June 30, 2018</w:t>
      </w:r>
    </w:p>
    <w:p>
      <w:pPr>
        <w:spacing w:after="0" w:line="117" w:lineRule="exact"/>
        <w:rPr>
          <w:sz w:val="20"/>
          <w:szCs w:val="20"/>
          <w:color w:val="auto"/>
        </w:rPr>
      </w:pPr>
    </w:p>
    <w:p>
      <w:pPr>
        <w:ind w:right="900" w:firstLine="518"/>
        <w:spacing w:after="0" w:line="277" w:lineRule="auto"/>
        <w:rPr>
          <w:sz w:val="20"/>
          <w:szCs w:val="20"/>
          <w:color w:val="auto"/>
        </w:rPr>
      </w:pPr>
      <w:r>
        <w:rPr>
          <w:rFonts w:ascii="Arial" w:cs="Arial" w:eastAsia="Arial" w:hAnsi="Arial"/>
          <w:sz w:val="18"/>
          <w:szCs w:val="18"/>
          <w:color w:val="auto"/>
        </w:rPr>
        <w:t>The Company reported net income attributable to Lazard Group of $83 million, as compared to net income attributable to Lazard Group of $159 million in the 2018 period.</w:t>
      </w:r>
    </w:p>
    <w:p>
      <w:pPr>
        <w:spacing w:after="0" w:line="170"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Net revenue decreased $126 million, or 17%, with operating revenue decreasing $110 million, or 15%, as compared to the 2018 period. Fee revenue from investment banking and other advisory activities decreased $92 million, or 22%, as compared to the 2018 period. Asset management fees, including incentive fees, decreased $39 million, or 12%, as compared to the 2018 period, primarily due to a decrease in average AUM. In the aggregate, interest income, other revenue and interest expense increased $5 million, as compared to the 2018 period.</w:t>
      </w:r>
    </w:p>
    <w:p>
      <w:pPr>
        <w:spacing w:after="0" w:line="17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Compensation and benefits expense decreased $44 million, or 11%, as compared to the 2018 period, primarily associated with decreased operating revenue.</w:t>
      </w:r>
    </w:p>
    <w:p>
      <w:pPr>
        <w:spacing w:after="0" w:line="170"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periods, as described above) was $360 million, a decrease of $52 million, or 13%, as compared to $412 million in the 2018 period. The ratio of adjusted compensation and benefits expense to operating revenue was 57.3% for the 2019 period, as compared to 55.8% for the 2018 period.</w:t>
      </w:r>
    </w:p>
    <w:p>
      <w:pPr>
        <w:spacing w:after="0" w:line="166"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Non-compensation expense increased $1 million, or 1%, as compared to the 2018 period. Adjusted non-compensation expense increased $9 million, or 8%, as compared to the 2018 period mainly reflecting investments in our technology infrastructure. The ratio of adjusted non-compensation expense to operating revenue was 20.1% for the 2019 period, as compared to 15.8% for the 2018 period.</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cost of $0.4 million in the 2019 period as compared to a benefit of $0.5 million in the 2018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$84 million, or 44%, as compared to the 2018 period.</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Earnings from operations decreased $68 million, or 32%, as compared to the 2018 period, and, as a percentage of operating revenue, was 22.6%, as compared to 28.4% in the 2018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1" w:name="page52"/>
    <w:bookmarkEnd w:id="51"/>
    <w:p>
      <w:pPr>
        <w:ind w:right="2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16.1%, as compared to 16.4% for the 2018 period. The decrease in the effective tax rate is primarily due to a change in the geographic mix of earnings, partially offset by a reduction in excess net tax benefits related to share-based incentive compensation and the impact of U.S. tax reform primarily related to base erosion and anti-abuse tax.</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increased $6 million as compared to the 2018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versus June 30, 2018</w:t>
      </w:r>
    </w:p>
    <w:p>
      <w:pPr>
        <w:spacing w:after="0" w:line="1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 reported net income attributable to Lazard Group of $176 million, as compared to net income attributable to Lazard Group of $325 million in the 2018 period.</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Net revenue decreased $254 million, or 17%, with operating revenue decreasing $230 million, or 16%, as compared to the 2018 period. Fee revenue from investment banking and other advisory activities decreased $180 million, or 22%, as compared to the 2018 period. Asset management fees, including incentive fees, decreased $85 million, or 13%, as compared to the 2018 period, primarily due to a decrease in average AUM. In the aggregate, interest income, other revenue and interest expense increased $12 million, as compared to the 2018 period, primarily due to higher income attributable to investments held in connection with LFI.</w:t>
      </w:r>
    </w:p>
    <w:p>
      <w:pPr>
        <w:spacing w:after="0" w:line="188"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Compensation and benefits expense decreased $77 million, or 9%, as compared to the 2018 period, primarily associated with decreased operating revenue.</w:t>
      </w:r>
    </w:p>
    <w:p>
      <w:pPr>
        <w:spacing w:after="0" w:line="170"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periods, as described above) was $715 million, a decrease of $99 million, or 12%, as compared to $814 million in the 2018 period. The ratio of adjusted compensation and benefits expense to operating revenue was 58.0% for the 2019 period, as compared to 55.7% for the 2018 period.</w:t>
      </w:r>
    </w:p>
    <w:p>
      <w:pPr>
        <w:spacing w:after="0" w:line="166"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color w:val="auto"/>
        </w:rPr>
        <w:t>Non-compensation expense decreased $14 million, or 4%, as compared to the 2018 period, primarily due to higher bad debt expense in the 2018 period and lower fund administration fees in the 2019 period, partially offset by investments in our technology infrastructure in the 2019 period. Adjusted non-compensation expense increased $11 million, or 5%, as compared to the 2018 period. The ratio of adjusted non-compensation expense to operating revenue was 19.6% for the 2019 period, as compared to 15.8% in the 2018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and other acquisition-related (benefits) costs remained substantially unchanged compared to the 2018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$162 million, or 43%, as compared to the 2018 period.</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Earnings from operations decreased $142 million, or 34%, as compared to the 2018 period, and, as a percentage of operating revenue, was 22.4%, as compared to 28.6% in the 2018 period.</w:t>
      </w:r>
    </w:p>
    <w:p>
      <w:pPr>
        <w:spacing w:after="0" w:line="170"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15.4%, as compared to 13.2% for the 2018 period. The increase in the effective tax rate is primarily due to a reduction in excess net tax benefits related to share-based incentive compensation and the impact of U.S. tax reform primarily related to base erosion and anti-abuse tax.</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increased $4 million as compared to the 2018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0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firstLine="8"/>
        <w:spacing w:after="0" w:line="271" w:lineRule="auto"/>
        <w:tabs>
          <w:tab w:leader="none" w:pos="265"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327,763</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419,468</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649,689</w:t>
            </w:r>
          </w:p>
        </w:tc>
        <w:tc>
          <w:tcPr>
            <w:tcW w:w="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827,935</w:t>
            </w:r>
          </w:p>
        </w:tc>
        <w:tc>
          <w:tcPr>
            <w:tcW w:w="180" w:type="dxa"/>
            <w:vAlign w:val="bottom"/>
            <w:shd w:val="clear" w:color="auto" w:fill="CFF0FC"/>
          </w:tcPr>
          <w:p>
            <w:pPr>
              <w:spacing w:after="0"/>
              <w:rPr>
                <w:sz w:val="21"/>
                <w:szCs w:val="2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269,321</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324,287</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543,356</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646,795</w:t>
            </w:r>
          </w:p>
        </w:tc>
        <w:tc>
          <w:tcPr>
            <w:tcW w:w="180" w:type="dxa"/>
            <w:vAlign w:val="bottom"/>
            <w:tcBorders>
              <w:bottom w:val="single" w:sz="8" w:color="CFF0FC"/>
            </w:tcBorders>
          </w:tcPr>
          <w:p>
            <w:pPr>
              <w:spacing w:after="0"/>
              <w:rPr>
                <w:sz w:val="19"/>
                <w:szCs w:val="19"/>
                <w:color w:val="auto"/>
              </w:rPr>
            </w:pPr>
          </w:p>
        </w:tc>
      </w:tr>
      <w:tr>
        <w:trPr>
          <w:trHeight w:val="237"/>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58,442</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95,181</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106,333</w:t>
            </w:r>
          </w:p>
        </w:tc>
        <w:tc>
          <w:tcPr>
            <w:tcW w:w="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181,140</w:t>
            </w:r>
          </w:p>
        </w:tc>
        <w:tc>
          <w:tcPr>
            <w:tcW w:w="180" w:type="dxa"/>
            <w:vAlign w:val="bottom"/>
            <w:shd w:val="clear" w:color="auto" w:fill="CFF0FC"/>
          </w:tcPr>
          <w:p>
            <w:pPr>
              <w:spacing w:after="0"/>
              <w:rPr>
                <w:sz w:val="20"/>
                <w:szCs w:val="20"/>
                <w:color w:val="auto"/>
              </w:rPr>
            </w:pP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4"/>
          </w:tcPr>
          <w:p>
            <w:pPr>
              <w:spacing w:after="0"/>
              <w:rPr>
                <w:sz w:val="20"/>
                <w:szCs w:val="20"/>
                <w:color w:val="auto"/>
              </w:rPr>
            </w:pPr>
            <w:r>
              <w:rPr>
                <w:rFonts w:ascii="Arial" w:cs="Arial" w:eastAsia="Arial" w:hAnsi="Arial"/>
                <w:sz w:val="18"/>
                <w:szCs w:val="18"/>
                <w:color w:val="auto"/>
              </w:rPr>
              <w:t>Operating Income, as a % of net revenue</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17.8%</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22.7%</w:t>
            </w:r>
          </w:p>
        </w:tc>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16.4%</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7960" w:type="dxa"/>
            <w:vAlign w:val="bottom"/>
            <w:gridSpan w:val="9"/>
          </w:tcPr>
          <w:p>
            <w:pPr>
              <w:ind w:left="520"/>
              <w:spacing w:after="0"/>
              <w:rPr>
                <w:sz w:val="20"/>
                <w:szCs w:val="20"/>
                <w:color w:val="auto"/>
              </w:rPr>
            </w:pPr>
            <w:r>
              <w:rPr>
                <w:rFonts w:ascii="Arial" w:cs="Arial" w:eastAsia="Arial" w:hAnsi="Arial"/>
                <w:sz w:val="18"/>
                <w:szCs w:val="18"/>
                <w:color w:val="auto"/>
                <w:w w:val="93"/>
              </w:rPr>
              <w:t>Certain Lazard fee and transaction statistics for the Financial Advisory segment are set forth below:</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6"/>
        </w:trPr>
        <w:tc>
          <w:tcPr>
            <w:tcW w:w="1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6"/>
          </w:tcPr>
          <w:p>
            <w:pPr>
              <w:jc w:val="center"/>
              <w:ind w:left="30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4"/>
          </w:tcPr>
          <w:p>
            <w:pPr>
              <w:jc w:val="center"/>
              <w:ind w:left="648"/>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64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60" w:type="dxa"/>
            <w:vAlign w:val="bottom"/>
            <w:gridSpan w:val="2"/>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460" w:type="dxa"/>
            <w:vAlign w:val="bottom"/>
            <w:gridSpan w:val="5"/>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500" w:type="dxa"/>
            <w:vAlign w:val="bottom"/>
            <w:gridSpan w:val="4"/>
          </w:tcPr>
          <w:p>
            <w:pPr>
              <w:spacing w:after="0"/>
              <w:rPr>
                <w:sz w:val="20"/>
                <w:szCs w:val="20"/>
                <w:color w:val="auto"/>
              </w:rPr>
            </w:pPr>
            <w:r>
              <w:rPr>
                <w:rFonts w:ascii="Arial" w:cs="Arial" w:eastAsia="Arial" w:hAnsi="Arial"/>
                <w:sz w:val="18"/>
                <w:szCs w:val="18"/>
                <w:color w:val="auto"/>
              </w:rPr>
              <w:t>Number of clients with fees greater than $1 million:</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69</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89"/>
              </w:rPr>
              <w:t>88</w:t>
            </w:r>
          </w:p>
        </w:tc>
        <w:tc>
          <w:tcPr>
            <w:tcW w:w="2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9"/>
                <w:szCs w:val="19"/>
                <w:color w:val="auto"/>
              </w:rPr>
            </w:pPr>
          </w:p>
        </w:tc>
      </w:tr>
      <w:tr>
        <w:trPr>
          <w:trHeight w:val="215"/>
        </w:trPr>
        <w:tc>
          <w:tcPr>
            <w:tcW w:w="6500" w:type="dxa"/>
            <w:vAlign w:val="bottom"/>
            <w:gridSpan w:val="4"/>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00" w:type="dxa"/>
            <w:vAlign w:val="bottom"/>
            <w:gridSpan w:val="4"/>
          </w:tcPr>
          <w:p>
            <w:pPr>
              <w:ind w:left="140"/>
              <w:spacing w:after="0"/>
              <w:rPr>
                <w:sz w:val="20"/>
                <w:szCs w:val="20"/>
                <w:color w:val="auto"/>
              </w:rPr>
            </w:pPr>
            <w:r>
              <w:rPr>
                <w:rFonts w:ascii="Arial" w:cs="Arial" w:eastAsia="Arial" w:hAnsi="Arial"/>
                <w:sz w:val="18"/>
                <w:szCs w:val="18"/>
                <w:color w:val="auto"/>
              </w:rPr>
              <w:t>clients</w:t>
            </w:r>
          </w:p>
        </w:tc>
        <w:tc>
          <w:tcPr>
            <w:tcW w:w="680" w:type="dxa"/>
            <w:vAlign w:val="bottom"/>
            <w:gridSpan w:val="3"/>
          </w:tcPr>
          <w:p>
            <w:pPr>
              <w:ind w:left="22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gridSpan w:val="3"/>
          </w:tcPr>
          <w:p>
            <w:pPr>
              <w:ind w:left="200"/>
              <w:spacing w:after="0"/>
              <w:rPr>
                <w:sz w:val="20"/>
                <w:szCs w:val="20"/>
                <w:color w:val="auto"/>
              </w:rPr>
            </w:pPr>
            <w:r>
              <w:rPr>
                <w:rFonts w:ascii="Arial" w:cs="Arial" w:eastAsia="Arial" w:hAnsi="Arial"/>
                <w:sz w:val="18"/>
                <w:szCs w:val="18"/>
                <w:color w:val="auto"/>
              </w:rPr>
              <w:t>33%</w:t>
            </w:r>
          </w:p>
        </w:tc>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5"/>
        </w:trPr>
        <w:tc>
          <w:tcPr>
            <w:tcW w:w="65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0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12</w:t>
            </w: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89"/>
              </w:rPr>
              <w:t>20</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July 4, 2019.</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Canada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versus June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Advisory net revenue decreased $92 million, or 22%, as compared to the 2018 period.</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Operating expenses decreased $55 million, or 17%, as compared to the 2018 period, primarily due to a decrease in compensation and benefits expense associated with decreased operating revenue.</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Financial Advisory operating income was $58 million, a decrease of $37 million, or 39%, as compared to operating income of $95 million in the 2018 period and, as a percentage of net revenue, was 17.8%, as compared to 22.7% in the 2018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versus June 30, 2018</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Financial Advisory net revenue decreased $178 million, or 22%, as compared to the 2018 period. The decrease in Financial Advisory revenue was primarily a result of a decrease in the number of fees greater than $5 million, as compared to the 2018 period.</w:t>
      </w:r>
    </w:p>
    <w:p>
      <w:pPr>
        <w:spacing w:after="0" w:line="17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Operating expenses decreased $103 million, or 16%, as compared to the 2018 period, primarily due to a decrease in compensation associated with decreased operating revenue.</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Financial Advisory operating income was $106 million, a decrease of $75 million, or 41%, as compared to operating income of $181 million in the 2018 period and, as a percentage of net revenue, was 16.4%, as compared to 21.9% in the 2018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42,836</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47,559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41,490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195,858</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6,195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237,466</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Total AUM at June 30, 2019 was $237 billion, an increase of $22 billion, or 11%, as compared to total AUM of $215 billion at December 31, 2018, due to market appreciation, partially offset by net outflows and foreign exchange depreciation. Average AUM for the three month and six month periods ended June 30, 2019 decreased 3% and 7% as compared to the three month and six month periods ended June 30, 2018,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ind w:right="80" w:firstLine="518"/>
        <w:spacing w:after="0" w:line="279" w:lineRule="auto"/>
        <w:rPr>
          <w:sz w:val="20"/>
          <w:szCs w:val="20"/>
          <w:color w:val="auto"/>
        </w:rPr>
      </w:pPr>
      <w:r>
        <w:rPr>
          <w:rFonts w:ascii="Arial" w:cs="Arial" w:eastAsia="Arial" w:hAnsi="Arial"/>
          <w:sz w:val="17"/>
          <w:szCs w:val="17"/>
          <w:color w:val="auto"/>
        </w:rPr>
        <w:t>As of June 30, 2019, approximately 86% of our AUM was managed on behalf of institutional clients, including corporations, labor unions, public pension funds, insurance companies and banks, and through sub-advisory relationships, mutual fund sponsors, broker-dealers and registered advisors, as compared to approximately 88% as of December 31, 2018. As of June 30, 2019, approximately 14% of our AUM was managed on behalf of individual client relationships, which are principally with family offices and individuals, as compared to 12% as of December 31, 2018.</w:t>
      </w:r>
    </w:p>
    <w:p>
      <w:pPr>
        <w:spacing w:after="0" w:line="17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June 30, 2019, AUM with foreign currency exposure represented approximately 69% of our total AUM, as compared to approximately 70% as of December 31, 2018.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changes in AUM by asset class for the three month and six month periods ended June 30, 2019 and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 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(11,389)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(6,157)</w:t>
            </w: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6,393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6,902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80" w:hanging="374"/>
        <w:spacing w:after="0" w:line="259"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Global and Multi-Regional platforms. Outflows in the Equity asset class were primarily attributable to the Emerging Markets, Global, and Multi-Regional platforms, and outflows in the Fixed Income asset class were primarily attributable to the Emerging Markets and Global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 2019</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(18,618)</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(6,988)</w:t>
            </w: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25,957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27,990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60" w:right="20" w:hanging="374"/>
        <w:spacing w:after="0" w:line="259"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Global, Multi-Regional and Emerging Markets platforms. Outflows in the Equity asset class were primarily attributable to the Emerging Markets, Global and Multi-Regional platforms, and outflows in the Fixed Income asset class were primarily attributable to the Emerging Markets and Global platforms.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 2018</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210,077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(10,399)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(3,617)</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1"/>
              </w:rPr>
              <w:t>(1,102)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(1,826)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53</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(20,453)</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(2,745)</w:t>
            </w:r>
          </w:p>
        </w:tc>
        <w:tc>
          <w:tcPr>
            <w:tcW w:w="48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(3,302)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(4,470)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(1,078)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As of July 19, 2019, AUM was $237.4 billion, a $0.1 billion decrease since June 30, 2019. The decrease in AUM was due to foreign exchange depreciation of $0.9 billion and net outflows of $0.8 billion, partially offset by market appreciation of $1.6 billion.</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Average AUM for the three month and six month periods ended June 30, 2019 and 2018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196,171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205,221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192,555</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209,777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236,978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245,127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232,740</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315,591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352,588</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617,424</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706,871</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219,021</w:t>
            </w:r>
          </w:p>
        </w:tc>
        <w:tc>
          <w:tcPr>
            <w:tcW w:w="3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229,561</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426,369</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459,230</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96,570</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123,027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191,055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247,641</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9"/>
        </w:trPr>
        <w:tc>
          <w:tcPr>
            <w:tcW w:w="6560" w:type="dxa"/>
            <w:vAlign w:val="bottom"/>
            <w:gridSpan w:val="2"/>
          </w:tcPr>
          <w:p>
            <w:pPr>
              <w:ind w:left="562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versus June 30, 2018</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Asset Management net revenue decreased $37 million, or 10%, as compared to the 2018 period. Management fees and other revenue was $311 million, a decrease of $30 million, or 9%, as compared to $341 million in the 2018 period, primarily due a decrease in average AUM. Incentive fees were $5 million, a decrease of $7 million as compared to $12 million in the 2018 period.</w:t>
      </w:r>
    </w:p>
    <w:p>
      <w:pPr>
        <w:spacing w:after="0" w:line="1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Operating expenses decreased $11 million, or 5%, as compared to the 2018 period, primarily due to a decrease in compensation and benefits expense associated with decreased operating revenue, as well as lower fund administration fees.</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Asset Management operating income was $97 million, a decrease of $26 million, or 22%, as compared to operating income of $123 million in the 2018 period and, as a percentage of net revenue, was 30.6%, as compared to 34.9% in the 2018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versus June 30, 2018</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Asset Management net revenue decreased $89 million, or 13%, as compared to the 2018 period. Management fees and other revenue was $612 million, a decrease of $77 million, or 11%, as compared to $689 million in the 2018 period, primarily due to a decrease in average AUM. Incentive fees were $6 million, a decrease of $12 million as compared to $18 million in the 2018 period.</w:t>
      </w:r>
    </w:p>
    <w:p>
      <w:pPr>
        <w:spacing w:after="0" w:line="1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Operating expenses decreased $33 million, or 7%, as compared to the 2018 period, primarily due to a decrease in compensation and benefits expense associated with decreased operating revenue, as well as lower fund administration fees.</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Asset Management operating income was $191 million, a decrease of $57 million, or 23%, as compared to operating income of $248 million in the 2018 period and, as a percentage of net revenue, was 30.9%, as compared to 35.0% in the 2018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(19,926)</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(13,532)</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(27,509)</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(11,678)</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(32,039)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(5,739)</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(3,549)</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(15,204)</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(17,417)</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(26,394)</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(80,912)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versus June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$5 million, or 43%, as compared to the 2018 period.</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Other revenue increased $7 million as compared to the 2018 period, primarily due to higher income in the 2019 period attributable to investments held in connection with LFI.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7" w:name="page58"/>
    <w:bookmarkEnd w:id="57"/>
    <w:p>
      <w:pPr>
        <w:ind w:right="640" w:firstLine="518"/>
        <w:spacing w:after="0" w:line="277" w:lineRule="auto"/>
        <w:rPr>
          <w:sz w:val="20"/>
          <w:szCs w:val="20"/>
          <w:color w:val="auto"/>
        </w:rPr>
      </w:pPr>
      <w:r>
        <w:rPr>
          <w:rFonts w:ascii="Arial" w:cs="Arial" w:eastAsia="Arial" w:hAnsi="Arial"/>
          <w:sz w:val="18"/>
          <w:szCs w:val="18"/>
          <w:color w:val="auto"/>
        </w:rPr>
        <w:t>Operating expenses increased $23 million as compared to the 2018 period, primarily due to an increase in compensation and benefits expense, including an increase in charges pertaining to LFI.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versus June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$9 million, or 37%, as compared to the 2018 period.</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Other revenue increased $23 million as compared to the 2018 period, primarily due to higher income in the 2019 period attributable to investments held in connection with LFI.</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Operating expenses increased $45 million as compared to the 2018 period, primarily due to a increase in compensation and benefits expense, including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Cash flows were also affected in 2019 by Lazard Group’s issuance of $500 million aggregate principal amount of its 4.375% senior notes maturing in 2029 (the “2029 Notes”) and the redemption of the 2020 Notes.</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2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Operating activities: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0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Financing activities (c)</w:t>
            </w:r>
          </w:p>
        </w:tc>
        <w:tc>
          <w:tcPr>
            <w:tcW w:w="10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 and Restricted Cash</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5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6"/>
        </w:trPr>
        <w:tc>
          <w:tcPr>
            <w:tcW w:w="7900" w:type="dxa"/>
            <w:vAlign w:val="bottom"/>
            <w:gridSpan w:val="2"/>
          </w:tcPr>
          <w:p>
            <w:pPr>
              <w:ind w:left="5620"/>
              <w:spacing w:after="0"/>
              <w:rPr>
                <w:sz w:val="20"/>
                <w:szCs w:val="20"/>
                <w:color w:val="auto"/>
              </w:rPr>
            </w:pPr>
            <w:r>
              <w:rPr>
                <w:rFonts w:ascii="Arial" w:cs="Arial" w:eastAsia="Arial" w:hAnsi="Arial"/>
                <w:sz w:val="18"/>
                <w:szCs w:val="18"/>
                <w:color w:val="auto"/>
              </w:rPr>
              <w:t>56</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Consists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72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Noncash lease expense</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8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Deferred tax benefit</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8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60" w:hanging="372"/>
        <w:spacing w:after="0" w:line="265"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Consists primarily of purchases of shares of Class A common stock, tax withholdings related to the settlement of vested restricted stock units (“RSUs”), vested restricted stock awards and vested PRSUs, changes in customer deposits, distributions to members and noncontrolling interest holders and activity relating to borrowings (including in 2019, the redemption of the 2020 Notes and the issuance of the 2029 Notes).</w:t>
      </w:r>
    </w:p>
    <w:p>
      <w:pPr>
        <w:ind w:left="380" w:right="100" w:hanging="372"/>
        <w:spacing w:after="0" w:line="261"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half of 2019, as reflected on the condensed consolidated statements of financial condition, both “deposits with banks and short-term investments” and “deposits and other customer payables” increased as compared to December 31, 2018, due to a higher level of LFB customer-related demand deposits, primarily from clients and funds managed by LFG.</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regularly monitor our liquidity position, including cash levels, investments in U.S. Treasury securities, credit lines, principal investment commitments, interest and principal payments on debt, capital expenditures, distributions to members, purchases of shares of Class A common stock and matters relating to liquidity and to compliance with regulatory net capital requirements. At June 30, 2019, Lazard had approximately $835 million of cash, with such amount including approximately $506 million held at Lazard’s operations outside the U.S. Lazard provides for income taxes on substantially all of its foreign earnings. We expect that no material amount of additional taxes would be recognized upon receipt of dividends or distributions of such earnings from our foreign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59" w:name="page60"/>
    <w:bookmarkEnd w:id="59"/>
    <w:p>
      <w:pPr>
        <w:ind w:right="100" w:firstLine="518"/>
        <w:spacing w:after="0" w:line="312" w:lineRule="auto"/>
        <w:rPr>
          <w:sz w:val="20"/>
          <w:szCs w:val="20"/>
          <w:color w:val="auto"/>
        </w:rPr>
      </w:pPr>
      <w:r>
        <w:rPr>
          <w:rFonts w:ascii="Arial" w:cs="Arial" w:eastAsia="Arial" w:hAnsi="Arial"/>
          <w:sz w:val="16"/>
          <w:szCs w:val="16"/>
          <w:color w:val="auto"/>
        </w:rPr>
        <w:t>We maintain lines of credit in excess of anticipated liquidity requirements. As of June 30, 2019, Lazard had approximately $168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w:t>
      </w:r>
    </w:p>
    <w:p>
      <w:pPr>
        <w:spacing w:after="0" w:line="14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June 30, 2019 and December 31, 2018. The agreements with respect to this indebtedness are discussed in more detail in our condensed consolidated financial statements and related notes included elsewhere in this Form 10-Q and in our Form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2028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2029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 See Note 11 of Notes to Condensed Consolidated Financial Statements.</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June 30, 2019, Lazard Group was in compliance with such ratios, with its Consolidated Leverage Ratio being 1.78 to 1.00 and its Consolidated Interest Coverage Ratio being 15.24 to 1.00. In any event, no amounts were outstanding under the Amended and Restated Credit Agreement as of June 30, 2019.</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June 30, 2019,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of Notes to Condensed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At June 30, 2019, total members’ equity was $302 million, as compared to $583 million at December 31, 2018, including $238 million and $530 million attributable to Lazard Group on the respective dates. The net activity in members’ equity during the six month period ended June 30, 2019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Members’ Equity - January 1, 2019</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Distributions to members and noncontrolling interests, net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Members’ Equity - June 30, 2019</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61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4,147,526</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2019</w:t>
            </w:r>
          </w:p>
        </w:tc>
        <w:tc>
          <w:tcPr>
            <w:tcW w:w="6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9,715,003</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June 30, 2019, a total of $244 million of share repurchase authorization remained available under Lazard Ltd’s share repurchase program, all of which will expire on December 31, 2020.</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the six month period ended June 30, 2019, Lazard Ltd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14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See Notes 13 and 14 of Notes to Condensed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2,308,792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$22,905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709,977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39,785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149,339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108,932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3,027,033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118,299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289,839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249,432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140" w:hanging="372"/>
        <w:spacing w:after="0" w:line="259"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the 2029 Notes. Interest on the 2029 Notes is payable semi-annually on March 11 and September 11 of each year, beginning September 11, 2019. Lazard Group used a portion of the net proceeds of the 2029 Notes during March and April 2019 to redeem or otherwise retire the remaining $250,000 of the 2020 Notes. See Note 11 of Notes to Condensed Consolidated Financial Statements.</w:t>
      </w:r>
    </w:p>
    <w:p>
      <w:pPr>
        <w:spacing w:after="0" w:line="24"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$13,400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19" w:lineRule="exact"/>
        <w:rPr>
          <w:rFonts w:ascii="Arial" w:cs="Arial" w:eastAsia="Arial" w:hAnsi="Arial"/>
          <w:sz w:val="18"/>
          <w:szCs w:val="18"/>
          <w:color w:val="auto"/>
        </w:rPr>
      </w:pPr>
    </w:p>
    <w:p>
      <w:pPr>
        <w:ind w:left="380" w:right="200" w:hanging="372"/>
        <w:spacing w:after="0" w:line="312" w:lineRule="auto"/>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12, 14, 15, and 16 of Notes to Condensed Consolidated Financial Statements regarding information in connection with commitments, incentive plans, employee benefit plans and income taxes,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2018, on a consolidated basis, we recorded gross deferred tax assets of approximately $144 million, with such amount partially offset by a valuation allowance of approximately $68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3" w:name="page64"/>
    <w:bookmarkEnd w:id="63"/>
    <w:p>
      <w:pPr>
        <w:ind w:right="50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$68 million of deferred tax assets held by these entities as of December 31, 2018.</w:t>
      </w:r>
    </w:p>
    <w:p>
      <w:pPr>
        <w:spacing w:after="0" w:line="17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16 of Notes to Condensed Consolidated Financial Statements for additional information related to income taxes.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60" w:type="dxa"/>
            <w:vAlign w:val="bottom"/>
            <w:gridSpan w:val="7"/>
          </w:tcPr>
          <w:p>
            <w:pPr>
              <w:jc w:val="right"/>
              <w:ind w:right="124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r>
      <w:tr>
        <w:trPr>
          <w:trHeight w:val="230"/>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Equities (a)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86,251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73,410</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8,308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9,548</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Alternative investments</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31,293</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7,131</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125,852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90,089</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Other investments owned: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29,058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41,788</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Interest-bearing deposits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149,453</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226,346</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other investments owned</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179,022</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268,644</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Subtotal</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304,874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358,733</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12,810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14,555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LFI (e)</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257,740</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201,860</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575,424</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575,148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7020" w:type="dxa"/>
            <w:vAlign w:val="bottom"/>
            <w:gridSpan w:val="4"/>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9440" w:type="dxa"/>
            <w:vAlign w:val="bottom"/>
            <w:gridSpan w:val="8"/>
          </w:tcPr>
          <w:p>
            <w:pPr>
              <w:spacing w:after="0"/>
              <w:rPr>
                <w:sz w:val="20"/>
                <w:szCs w:val="20"/>
                <w:color w:val="auto"/>
              </w:rPr>
            </w:pPr>
            <w:r>
              <w:rPr>
                <w:rFonts w:ascii="Arial" w:cs="Arial" w:eastAsia="Arial" w:hAnsi="Arial"/>
                <w:sz w:val="18"/>
                <w:szCs w:val="18"/>
                <w:color w:val="auto"/>
                <w:w w:val="94"/>
              </w:rPr>
              <w:t>(a)  At June 30, 2019 and December 31, 2018, seed investments in directly owned equity securities were invested as follows: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5"/>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89"/>
              </w:rPr>
              <w:t>June 30,</w:t>
            </w: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56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Borders>
              <w:bottom w:val="single" w:sz="8" w:color="CFF0FC"/>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5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17"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$25 million and $27 million as of June 30, 2019 and December 31, 2018, respectively.</w:t>
      </w:r>
    </w:p>
    <w:p>
      <w:pPr>
        <w:ind w:left="380" w:right="920" w:hanging="372"/>
        <w:spacing w:after="0" w:line="277"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June 30, 2019 and December 31, 2018, includes investments in U.S. Treasury securities of approximately $125 million and $200 million, respectively, with original maturities of greater than three months and less than one year.</w:t>
      </w:r>
    </w:p>
    <w:p>
      <w:pPr>
        <w:spacing w:after="0" w:line="8" w:lineRule="exact"/>
        <w:rPr>
          <w:rFonts w:ascii="Arial" w:cs="Arial" w:eastAsia="Arial" w:hAnsi="Arial"/>
          <w:sz w:val="18"/>
          <w:szCs w:val="18"/>
          <w:color w:val="auto"/>
        </w:rPr>
      </w:pPr>
    </w:p>
    <w:p>
      <w:pPr>
        <w:ind w:left="380" w:right="160" w:hanging="372"/>
        <w:spacing w:after="0" w:line="264"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19" w:lineRule="exact"/>
        <w:rPr>
          <w:rFonts w:ascii="Arial" w:cs="Arial" w:eastAsia="Arial" w:hAnsi="Arial"/>
          <w:sz w:val="18"/>
          <w:szCs w:val="18"/>
          <w:color w:val="auto"/>
        </w:rPr>
      </w:pPr>
    </w:p>
    <w:p>
      <w:pPr>
        <w:ind w:left="380" w:right="20" w:hanging="372"/>
        <w:spacing w:after="0" w:line="276"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$91 million in eight entities as of June 30, 2019, as compared to $69 million in three entities as of December 31, 2018.</w:t>
      </w:r>
    </w:p>
    <w:p>
      <w:pPr>
        <w:spacing w:after="0" w:line="173"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At June 30, 2019 and December 31, 2018, total investments with a fair value of $575 million and $575 million, respectively, included $65 million and $57 million, respectively, or 11% and 10%,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As of June 30, 2019 and December 31, 2018, the Company held seed investments of approximately $126 million and $90 million, respectively. Seed investments held in entities in which the Company maintained a controlling interest were $66 million in nine entities as of June 30, 2019, as compared to $31 million in eight entities as of December 31,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firstLine="518"/>
        <w:spacing w:after="0" w:line="257" w:lineRule="auto"/>
        <w:rPr>
          <w:sz w:val="20"/>
          <w:szCs w:val="20"/>
          <w:color w:val="auto"/>
        </w:rPr>
      </w:pPr>
      <w:r>
        <w:rPr>
          <w:rFonts w:ascii="Arial" w:cs="Arial" w:eastAsia="Arial" w:hAnsi="Arial"/>
          <w:sz w:val="18"/>
          <w:szCs w:val="18"/>
          <w:color w:val="auto"/>
        </w:rPr>
        <w:t>As of June 30, 2019 and December 31, 2018, the Company did not consolidate or deconsolidate any seed investment entities or LFI investment entities with the exception of the recent consolidation of certain LFI funds (see Note 20 of Notes to the Condensed Consolidated Financial Statements). As such, 100% of the recorded balance of seed investments and substantially all of LFI investments as of June 30, 2019 and December 31, 2018 represented the Company’s economic interest in the seed and LFI investments. See “—Consolidation of Variable Interest Entities” below for more information on the Company’s policy regarding the consolidation of seed and LFI investment entities.</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10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Lazard’s involvement with various entities that are VOEs or VIEs primarily arises from LFI investments and investment management contracts with fund entities in our Asset Management business. Lazard is not required to consolidate such entities because, with the exception of certain seed and LFI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71"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Lazard makes seed and LFI investments in certain entities that are considered VOEs and VIEs and often require consolidation as a result of our investment. 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 Investments” above for more information regarding our investments.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right="40" w:firstLine="518"/>
        <w:spacing w:after="0" w:line="279" w:lineRule="auto"/>
        <w:rPr>
          <w:sz w:val="20"/>
          <w:szCs w:val="20"/>
          <w:color w:val="auto"/>
        </w:rPr>
      </w:pPr>
      <w:r>
        <w:rPr>
          <w:rFonts w:ascii="Arial" w:cs="Arial" w:eastAsia="Arial" w:hAnsi="Arial"/>
          <w:sz w:val="17"/>
          <w:szCs w:val="17"/>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and LFI investment entities in which we own a controlling interest, and we would deconsolidate any such entity when we no longer have a controlling interest in such entity.</w:t>
      </w:r>
    </w:p>
    <w:p>
      <w:pPr>
        <w:spacing w:after="0" w:line="276" w:lineRule="exact"/>
        <w:rPr>
          <w:sz w:val="20"/>
          <w:szCs w:val="20"/>
          <w:color w:val="auto"/>
        </w:rPr>
      </w:pPr>
    </w:p>
    <w:p>
      <w:pPr>
        <w:jc w:val="center"/>
        <w:ind w:right="998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998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Equity Market Price Risk—At June 30, 2019 and December 31, 2018, the Company’s exposure to equity market price risk in its investment portfolio, which primarily relates to investments in equity securities, equity funds and hedge funds, was approximately $111 million and $84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$0.8 million in the carrying value of such investments as of June 30, 2019 and December 31, 2018, respectively, including the effect of the hedging transactions.</w:t>
      </w:r>
    </w:p>
    <w:p>
      <w:pPr>
        <w:spacing w:after="0" w:line="158" w:lineRule="exact"/>
        <w:rPr>
          <w:sz w:val="20"/>
          <w:szCs w:val="20"/>
          <w:color w:val="auto"/>
        </w:rPr>
      </w:pPr>
    </w:p>
    <w:p>
      <w:pPr>
        <w:ind w:right="380" w:firstLine="518"/>
        <w:spacing w:after="0" w:line="255" w:lineRule="auto"/>
        <w:rPr>
          <w:sz w:val="20"/>
          <w:szCs w:val="20"/>
          <w:color w:val="auto"/>
        </w:rPr>
      </w:pPr>
      <w:r>
        <w:rPr>
          <w:rFonts w:ascii="Arial" w:cs="Arial" w:eastAsia="Arial" w:hAnsi="Arial"/>
          <w:sz w:val="18"/>
          <w:szCs w:val="18"/>
          <w:color w:val="auto"/>
        </w:rPr>
        <w:t>Interest Rate/Credit Spread Risk—At June 30, 2019 and December 31, 2018, the Company’s exposure to interest rate and credit spread risk in its investment portfolio related to investments in debt securities or funds which invest primarily in debt securities was $167 million and $245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$1.0 million and $0.9 million in the carrying value of such investments as of June 30, 2019 and December 31, 2018, respectively, including the effect of the hedging transactions.</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Foreign Exchange Rate Risk—At June 30, 2019 and December 31, 2018, the Company’s exposure to foreign exchange rate risk in its investment portfolio, which primarily relates to investments in foreign currency denominated equity and debt securities, was $50 million and $41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$0.6 million and $0.1 million in the carrying value of such investments as of June 30, 2019 and December 31, 2018, respectively, including the effect of the hedging transactions.</w:t>
      </w:r>
    </w:p>
    <w:p>
      <w:pPr>
        <w:spacing w:after="0" w:line="193"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June 30, 2019 and December 31, 2018, the Company’s exposure to changes in fair value of such investments was approximately $29 million and $42 million, respectively. The Company estimates that a hypothetical 10% adverse change in fair value would result in a decrease of approximately $2.9 million and $4.2 million in the carrying value of such investments as of June 30, 2019 and December 31, 2018, respectively.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7" w:name="page68"/>
    <w:bookmarkEnd w:id="67"/>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2019, total receivables amounted to $740 million, net of an allowance for doubtful accounts of $33 million. As of that date, Financial Advisory and Asset Management fees, receivables from Lazard Ltd subsidiaries, and customers and other receivables comprised 68%, 27% and 5% of total receivables, respectively. At December 31, 2018, total receivables amounted to $704 million, net of an allowance for doubtful accounts of $40 million. As of that date, Financial Advisory and Asset Management fees, receivables from Lazard Ltd subsidiaries, and customers and other receivables comprised 71%, 3% and 26% of total receivables, respectively. At June 30, 2019 and December 31, 2018, the Company had receivables past due or deemed uncollectible of approximately $45 million and $42 million, respectively. See also “Critical Accounting Policies and Estimates—Revenue Recognition” above and Note 4 of Notes to Condensed Consolidated Financial Statements for additional information regarding receivables.</w:t>
      </w:r>
    </w:p>
    <w:p>
      <w:pPr>
        <w:spacing w:after="0" w:line="178"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June 30, 2019 and December 31, 2018, customer receivables included $70 million and $64 million, respectively, of LFB loans,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and $12 million at</w:t>
      </w:r>
    </w:p>
    <w:p>
      <w:pPr>
        <w:ind w:right="560"/>
        <w:spacing w:after="0" w:line="323" w:lineRule="auto"/>
        <w:rPr>
          <w:sz w:val="20"/>
          <w:szCs w:val="20"/>
          <w:color w:val="auto"/>
        </w:rPr>
      </w:pPr>
      <w:r>
        <w:rPr>
          <w:rFonts w:ascii="Arial" w:cs="Arial" w:eastAsia="Arial" w:hAnsi="Arial"/>
          <w:sz w:val="16"/>
          <w:szCs w:val="16"/>
          <w:color w:val="auto"/>
        </w:rPr>
        <w:t>June 30, 2019 and December 31, 2018, respectively, and derivative liabilities, excluding the derivative liability arising from the Company’s obligation pertaining to LFI and other similar deferred compensation arrangements, amounted to $6 million and $1 million at such respective dates.</w:t>
      </w:r>
    </w:p>
    <w:p>
      <w:pPr>
        <w:spacing w:after="0" w:line="139"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$229 million and $188 million at June 30, 2019 and December 31, 2018,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June 30, 2019, Lazard estimates that its annual operating income relating to cash and cash equivalents would increase by approximately $9 million in the event interest rates were to increase by 1% and decrease by approximately $9 million if rates were to decrease by 1%.</w:t>
      </w:r>
    </w:p>
    <w:p>
      <w:pPr>
        <w:spacing w:after="0" w:line="14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of June 30, 2019, the Company’s cash and cash equivalents totaled approximately $835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(iii) 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of January 1, 2019, we implemented a new enterprise resource planning (“ERP’) system, by transitioning certain of our operations, including the general ledger, to the new ERP system. We have modified our existing controls infrastructure, as well as added other processes and internal controls, to adapt to our new ERP system and to take advantage of the increased functionality of the new system.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9" w:name="page70"/>
    <w:bookmarkEnd w:id="69"/>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2018.</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80" w:type="dxa"/>
            <w:vAlign w:val="bottom"/>
            <w:gridSpan w:val="21"/>
          </w:tcPr>
          <w:p>
            <w:pPr>
              <w:jc w:val="center"/>
              <w:ind w:right="532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380" w:type="dxa"/>
            <w:vAlign w:val="bottom"/>
            <w:gridSpan w:val="33"/>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120" w:type="dxa"/>
            <w:vAlign w:val="bottom"/>
            <w:tcBorders>
              <w:bottom w:val="single" w:sz="8" w:color="0000EE"/>
            </w:tcBorders>
            <w:gridSpan w:val="25"/>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Certificate of Formation of the Registrant (incorporated by reference to Exhibit 3.1 to the Registrant’s Registration Statement (File No. 333-</w:t>
              </w:r>
            </w:hyperlink>
          </w:p>
        </w:tc>
        <w:tc>
          <w:tcPr>
            <w:tcW w:w="26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100" w:type="dxa"/>
            <w:vAlign w:val="bottom"/>
            <w:tcBorders>
              <w:bottom w:val="single" w:sz="8" w:color="0000EE"/>
            </w:tcBorders>
            <w:gridSpan w:val="24"/>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Certificate of Amendment of Certificate of Formation of the Registrant, changing name to Lazard Group LLC (incorporated by reference to</w:t>
              </w:r>
            </w:hyperlink>
          </w:p>
        </w:tc>
        <w:tc>
          <w:tcPr>
            <w:tcW w:w="28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Exhibit 3.2 to the Registrant’s Registration Statement (File No. 333-126751) on Form S-4 filed on July 21, 2005).</w:t>
              </w:r>
            </w:hyperlink>
          </w:p>
        </w:tc>
        <w:tc>
          <w:tcPr>
            <w:tcW w:w="2160" w:type="dxa"/>
            <w:vAlign w:val="bottom"/>
            <w:gridSpan w:val="17"/>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0220" w:type="dxa"/>
            <w:vAlign w:val="bottom"/>
            <w:tcBorders>
              <w:bottom w:val="single" w:sz="8" w:color="0000EE"/>
            </w:tcBorders>
            <w:gridSpan w:val="28"/>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Amended and Restated Operating Agreement of the Registrant, dated as of February 4, 2019 (incorporated by reference to Exhibit 99.1 to the</w:t>
              </w:r>
            </w:hyperlink>
          </w:p>
        </w:tc>
        <w:tc>
          <w:tcPr>
            <w:tcW w:w="1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6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Registrant’s Current Report (File No. 333-126751) on Form 8-K filed on February 5, 2019).</w:t>
              </w:r>
            </w:hyperlink>
          </w:p>
        </w:tc>
        <w:tc>
          <w:tcPr>
            <w:tcW w:w="3740" w:type="dxa"/>
            <w:vAlign w:val="bottom"/>
            <w:gridSpan w:val="19"/>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98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Indenture, dated as of May 10, 2005, by and between the Registrant and The Bank of New York, as Trustee (incorporated by reference to</w:t>
              </w:r>
            </w:hyperlink>
          </w:p>
        </w:tc>
        <w:tc>
          <w:tcPr>
            <w:tcW w:w="50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Exhibit 4.1 to the Registrant’s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9500" w:type="dxa"/>
            <w:vAlign w:val="bottom"/>
            <w:tcBorders>
              <w:bottom w:val="single" w:sz="8" w:color="0000EE"/>
            </w:tcBorders>
            <w:gridSpan w:val="18"/>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Sixth Supplemental Indenture, dated as of February 13, 2015, between the Registrant and The Bank of New York Mellon, as trustee</w:t>
              </w:r>
            </w:hyperlink>
          </w:p>
        </w:tc>
        <w:tc>
          <w:tcPr>
            <w:tcW w:w="88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(incorporated by reference to Exhibit 4.1 of the Registrant’s Current Report on Form 8-K (File No. 333-126751) filed on February 13, 2015).</w:t>
              </w:r>
            </w:hyperlink>
          </w:p>
        </w:tc>
        <w:tc>
          <w:tcPr>
            <w:tcW w:w="200" w:type="dxa"/>
            <w:vAlign w:val="bottom"/>
            <w:gridSpan w:val="7"/>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10380" w:type="dxa"/>
            <w:vAlign w:val="bottom"/>
            <w:gridSpan w:val="33"/>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Seventh Supplemental Indenture, dated as of November 4, 2016,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2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(incorporated by reference to Exhibit 4.1 of the Registrant’s Current Report on Form 8-K (File No. 333-126751) filed on November 7, 2016).</w:t>
              </w:r>
            </w:hyperlink>
          </w:p>
        </w:tc>
        <w:tc>
          <w:tcPr>
            <w:tcW w:w="160" w:type="dxa"/>
            <w:vAlign w:val="bottom"/>
            <w:gridSpan w:val="5"/>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0380" w:type="dxa"/>
            <w:vAlign w:val="bottom"/>
            <w:gridSpan w:val="33"/>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Eighth Supplemental Indenture, dated as of September 19, 2018,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(incorporated by reference to Exhibit 4.1 to the Registrant’s Current Report on Form 8-K (File No. 333-126751) filed on September 19, 2018</w:t>
              </w:r>
            </w:hyperlink>
            <w:r>
              <w:rPr>
                <w:rFonts w:ascii="Arial" w:cs="Arial" w:eastAsia="Arial" w:hAnsi="Arial"/>
                <w:sz w:val="18"/>
                <w:szCs w:val="18"/>
                <w:color w:val="000000"/>
                <w:w w:val="92"/>
              </w:rPr>
              <w:t>).</w:t>
            </w: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0200" w:type="dxa"/>
            <w:vAlign w:val="bottom"/>
            <w:tcBorders>
              <w:top w:val="single" w:sz="8" w:color="0000EE"/>
            </w:tcBorders>
            <w:gridSpan w:val="27"/>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Ninth Supplemental Indenture, dated as of March 11, 2019, between Lazard Group LLC and The Bank of New York Mellon, as trustee</w:t>
              </w:r>
            </w:hyperlink>
          </w:p>
        </w:tc>
        <w:tc>
          <w:tcPr>
            <w:tcW w:w="180" w:type="dxa"/>
            <w:vAlign w:val="bottom"/>
            <w:gridSpan w:val="6"/>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(incorporated by reference to Exhibit 4.1 to the Registrant’s Current Report on Form 8-K (File No. 333-126751) filed on March 11, 2019).</w:t>
              </w:r>
            </w:hyperlink>
          </w:p>
        </w:tc>
        <w:tc>
          <w:tcPr>
            <w:tcW w:w="400" w:type="dxa"/>
            <w:vAlign w:val="bottom"/>
            <w:gridSpan w:val="1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103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02">
              <w:r>
                <w:rPr>
                  <w:rFonts w:ascii="Arial" w:cs="Arial" w:eastAsia="Arial" w:hAnsi="Arial"/>
                  <w:sz w:val="18"/>
                  <w:szCs w:val="18"/>
                  <w:color w:val="0000EE"/>
                </w:rPr>
                <w:t>4.2</w:t>
              </w:r>
            </w:hyperlink>
            <w:r>
              <w:rPr>
                <w:rFonts w:ascii="Arial" w:cs="Arial" w:eastAsia="Arial" w:hAnsi="Arial"/>
                <w:sz w:val="18"/>
                <w:szCs w:val="18"/>
                <w:color w:val="auto"/>
              </w:rPr>
              <w:t xml:space="preserve">, </w:t>
            </w:r>
            <w:hyperlink r:id="rId103">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04">
              <w:r>
                <w:rPr>
                  <w:rFonts w:ascii="Arial" w:cs="Arial" w:eastAsia="Arial" w:hAnsi="Arial"/>
                  <w:sz w:val="18"/>
                  <w:szCs w:val="18"/>
                  <w:color w:val="0000EE"/>
                </w:rPr>
                <w:t>4.4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05">
              <w:r>
                <w:rPr>
                  <w:rFonts w:ascii="Arial" w:cs="Arial" w:eastAsia="Arial" w:hAnsi="Arial"/>
                  <w:sz w:val="18"/>
                  <w:szCs w:val="18"/>
                  <w:color w:val="0000EE"/>
                </w:rPr>
                <w:t>4.5</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40" w:type="dxa"/>
            <w:vAlign w:val="bottom"/>
            <w:tcBorders>
              <w:bottom w:val="single" w:sz="8" w:color="0000EE"/>
            </w:tcBorders>
            <w:gridSpan w:val="32"/>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7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Exhibit 10.19 to Lazard Ltd’s Registration Statement (File No. 333-121407) on Form S-1/A filed on February 11, 2005).</w:t>
              </w:r>
            </w:hyperlink>
          </w:p>
        </w:tc>
        <w:tc>
          <w:tcPr>
            <w:tcW w:w="1680" w:type="dxa"/>
            <w:vAlign w:val="bottom"/>
            <w:gridSpan w:val="16"/>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380" w:type="dxa"/>
            <w:vAlign w:val="bottom"/>
            <w:tcBorders>
              <w:bottom w:val="single" w:sz="8" w:color="0000EE"/>
            </w:tcBorders>
            <w:gridSpan w:val="33"/>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r>
      <w:tr>
        <w:trPr>
          <w:trHeight w:val="196"/>
        </w:trPr>
        <w:tc>
          <w:tcPr>
            <w:tcW w:w="1040" w:type="dxa"/>
            <w:vAlign w:val="bottom"/>
          </w:tcPr>
          <w:p>
            <w:pPr>
              <w:spacing w:after="0"/>
              <w:rPr>
                <w:sz w:val="17"/>
                <w:szCs w:val="17"/>
                <w:color w:val="auto"/>
              </w:rPr>
            </w:pPr>
          </w:p>
        </w:tc>
        <w:tc>
          <w:tcPr>
            <w:tcW w:w="102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1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Exhibit 10.15 to the Registrant’s Quarterly Report (File No. 333-126751) on Form 10-Q filed on April 29, 2011).</w:t>
              </w:r>
            </w:hyperlink>
          </w:p>
        </w:tc>
        <w:tc>
          <w:tcPr>
            <w:tcW w:w="2180" w:type="dxa"/>
            <w:vAlign w:val="bottom"/>
            <w:gridSpan w:val="18"/>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10.3*</w:t>
            </w:r>
          </w:p>
        </w:tc>
        <w:tc>
          <w:tcPr>
            <w:tcW w:w="10380" w:type="dxa"/>
            <w:vAlign w:val="bottom"/>
            <w:gridSpan w:val="33"/>
          </w:tcPr>
          <w:p>
            <w:pPr>
              <w:spacing w:after="0"/>
              <w:rPr>
                <w:rFonts w:ascii="Arial" w:cs="Arial" w:eastAsia="Arial" w:hAnsi="Arial"/>
                <w:sz w:val="18"/>
                <w:szCs w:val="18"/>
                <w:color w:val="0000EE"/>
                <w:w w:val="95"/>
              </w:rPr>
            </w:pPr>
            <w:hyperlink r:id="rId108">
              <w:r>
                <w:rPr>
                  <w:rFonts w:ascii="Arial" w:cs="Arial" w:eastAsia="Arial" w:hAnsi="Arial"/>
                  <w:sz w:val="18"/>
                  <w:szCs w:val="18"/>
                  <w:color w:val="0000EE"/>
                  <w:w w:val="95"/>
                </w:rPr>
                <w:t>Lazard Ltd’s 2005 Equity Incentive Plan (incorporated by reference to Exhibit 10.21 to Lazard Ltd’s Registration Statement (File No. 333-</w:t>
              </w:r>
            </w:hyperlink>
          </w:p>
        </w:tc>
      </w:tr>
      <w:tr>
        <w:trPr>
          <w:trHeight w:val="196"/>
        </w:trPr>
        <w:tc>
          <w:tcPr>
            <w:tcW w:w="1040" w:type="dxa"/>
            <w:vAlign w:val="bottom"/>
          </w:tcPr>
          <w:p>
            <w:pPr>
              <w:spacing w:after="0"/>
              <w:rPr>
                <w:sz w:val="17"/>
                <w:szCs w:val="17"/>
                <w:color w:val="auto"/>
              </w:rPr>
            </w:pPr>
          </w:p>
        </w:tc>
        <w:tc>
          <w:tcPr>
            <w:tcW w:w="100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121407) on Form S-1/A filed on May 2, 2005).</w:t>
              </w:r>
            </w:hyperlink>
          </w:p>
        </w:tc>
        <w:tc>
          <w:tcPr>
            <w:tcW w:w="34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10.4*</w:t>
            </w:r>
          </w:p>
        </w:tc>
        <w:tc>
          <w:tcPr>
            <w:tcW w:w="10380" w:type="dxa"/>
            <w:vAlign w:val="bottom"/>
            <w:gridSpan w:val="33"/>
          </w:tcPr>
          <w:p>
            <w:pPr>
              <w:spacing w:after="0"/>
              <w:rPr>
                <w:rFonts w:ascii="Arial" w:cs="Arial" w:eastAsia="Arial" w:hAnsi="Arial"/>
                <w:sz w:val="18"/>
                <w:szCs w:val="18"/>
                <w:color w:val="0000EE"/>
                <w:w w:val="98"/>
              </w:rPr>
            </w:pPr>
            <w:hyperlink r:id="rId109">
              <w:r>
                <w:rPr>
                  <w:rFonts w:ascii="Arial" w:cs="Arial" w:eastAsia="Arial" w:hAnsi="Arial"/>
                  <w:sz w:val="18"/>
                  <w:szCs w:val="18"/>
                  <w:color w:val="0000EE"/>
                  <w:w w:val="98"/>
                </w:rPr>
                <w:t>Lazard Ltd’s 2008 Incentive Compensation Plan (incorporated by reference to Annex B to Lazard Ltd’s Definitive Proxy Statement on</w:t>
              </w:r>
            </w:hyperlink>
          </w:p>
        </w:tc>
      </w:tr>
      <w:tr>
        <w:trPr>
          <w:trHeight w:val="196"/>
        </w:trPr>
        <w:tc>
          <w:tcPr>
            <w:tcW w:w="10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Schedule 14A (File No. 001-32492) filed on March 24, 2008).</w:t>
              </w:r>
            </w:hyperlink>
          </w:p>
        </w:tc>
        <w:tc>
          <w:tcPr>
            <w:tcW w:w="5180" w:type="dxa"/>
            <w:vAlign w:val="bottom"/>
            <w:tcBorders>
              <w:top w:val="single" w:sz="8" w:color="0000EE"/>
            </w:tcBorders>
            <w:gridSpan w:val="6"/>
          </w:tcPr>
          <w:p>
            <w:pPr>
              <w:spacing w:after="0"/>
              <w:rPr>
                <w:sz w:val="17"/>
                <w:szCs w:val="17"/>
                <w:color w:val="auto"/>
              </w:rPr>
            </w:pPr>
          </w:p>
        </w:tc>
        <w:tc>
          <w:tcPr>
            <w:tcW w:w="660" w:type="dxa"/>
            <w:vAlign w:val="bottom"/>
            <w:gridSpan w:val="14"/>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0380" w:type="dxa"/>
            <w:vAlign w:val="bottom"/>
            <w:gridSpan w:val="33"/>
          </w:tcPr>
          <w:p>
            <w:pPr>
              <w:spacing w:after="0"/>
              <w:rPr>
                <w:rFonts w:ascii="Arial" w:cs="Arial" w:eastAsia="Arial" w:hAnsi="Arial"/>
                <w:sz w:val="18"/>
                <w:szCs w:val="18"/>
                <w:color w:val="0000EE"/>
                <w:w w:val="93"/>
              </w:rPr>
            </w:pPr>
            <w:hyperlink r:id="rId110">
              <w:r>
                <w:rPr>
                  <w:rFonts w:ascii="Arial" w:cs="Arial" w:eastAsia="Arial" w:hAnsi="Arial"/>
                  <w:sz w:val="18"/>
                  <w:szCs w:val="18"/>
                  <w:color w:val="0000EE"/>
                  <w:w w:val="93"/>
                </w:rPr>
                <w:t>Lazard Ltd’s 2016 French Sub-plan (incorporated by reference to Annex B to Lazard Ltd’s Definitive Proxy Statement on Schedule 14A (File</w:t>
              </w:r>
            </w:hyperlink>
          </w:p>
        </w:tc>
      </w:tr>
      <w:tr>
        <w:trPr>
          <w:trHeight w:val="196"/>
        </w:trPr>
        <w:tc>
          <w:tcPr>
            <w:tcW w:w="10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No. 001-32492) filed on March 10, 2016).</w:t>
              </w:r>
            </w:hyperlink>
          </w:p>
        </w:tc>
        <w:tc>
          <w:tcPr>
            <w:tcW w:w="7160" w:type="dxa"/>
            <w:vAlign w:val="bottom"/>
            <w:tcBorders>
              <w:top w:val="single" w:sz="8" w:color="0000EE"/>
            </w:tcBorders>
            <w:gridSpan w:val="26"/>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10.6*</w:t>
            </w:r>
          </w:p>
        </w:tc>
        <w:tc>
          <w:tcPr>
            <w:tcW w:w="10380" w:type="dxa"/>
            <w:vAlign w:val="bottom"/>
            <w:gridSpan w:val="33"/>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Lazard Ltd 2018 Incentive Compensation Plan (incorporated by reference to Annex B to Lazard Ltd’s Definitive Proxy Statement on Schedule</w:t>
              </w:r>
            </w:hyperlink>
          </w:p>
        </w:tc>
      </w:tr>
      <w:tr>
        <w:trPr>
          <w:trHeight w:val="196"/>
        </w:trPr>
        <w:tc>
          <w:tcPr>
            <w:tcW w:w="104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14A (File No. 001-32492) filed on March 15, 2018).</w:t>
              </w:r>
            </w:hyperlink>
          </w:p>
        </w:tc>
        <w:tc>
          <w:tcPr>
            <w:tcW w:w="6480" w:type="dxa"/>
            <w:vAlign w:val="bottom"/>
            <w:tcBorders>
              <w:top w:val="single" w:sz="8" w:color="0000EE"/>
            </w:tcBorders>
            <w:gridSpan w:val="19"/>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10320" w:type="dxa"/>
            <w:vAlign w:val="bottom"/>
            <w:tcBorders>
              <w:bottom w:val="single" w:sz="8" w:color="0000EE"/>
            </w:tcBorders>
            <w:gridSpan w:val="31"/>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Amended and Restated Agreement relating to Retention and Noncompetition and Other Covenants, dated as of March 29, 2019, by and among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the Registrant, Lazard Ltd and Kenneth M. Jacobs (incorporated by reference to Exhibit 10.1 to the Registrant’s Current Report on Form 8-K</w:t>
              </w:r>
            </w:hyperlink>
          </w:p>
        </w:tc>
        <w:tc>
          <w:tcPr>
            <w:tcW w:w="2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(File No. 333-126751) filed on April 3, 2019).</w:t>
              </w:r>
            </w:hyperlink>
          </w:p>
        </w:tc>
        <w:tc>
          <w:tcPr>
            <w:tcW w:w="6980" w:type="dxa"/>
            <w:vAlign w:val="bottom"/>
            <w:gridSpan w:val="26"/>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10.8*</w:t>
            </w:r>
          </w:p>
        </w:tc>
        <w:tc>
          <w:tcPr>
            <w:tcW w:w="10320" w:type="dxa"/>
            <w:vAlign w:val="bottom"/>
            <w:tcBorders>
              <w:bottom w:val="single" w:sz="8" w:color="0000EE"/>
            </w:tcBorders>
            <w:gridSpan w:val="31"/>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Amended and Restated Agreement relating to Retention and Noncompetition and Other Covenants, dated as of March 29, 2019, by and among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the Registrant, Lazard Ltd and Ashish Bhutani (incorporated by reference to Exhibit 10.3 to the Registrant’s Current Report on Form 8-K (File</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No. 333-126751) filed on April 3, 2019).</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740" w:type="dxa"/>
            <w:vAlign w:val="bottom"/>
            <w:gridSpan w:val="17"/>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10.9*</w:t>
            </w:r>
          </w:p>
        </w:tc>
        <w:tc>
          <w:tcPr>
            <w:tcW w:w="10320" w:type="dxa"/>
            <w:vAlign w:val="bottom"/>
            <w:tcBorders>
              <w:bottom w:val="single" w:sz="8" w:color="0000EE"/>
            </w:tcBorders>
            <w:gridSpan w:val="31"/>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Amended and Restated Agreement relating to Retention and Noncompetition and Other Covenants, dated as of March 29, 2019, by and among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the Registrant, Lazard Ltd and Scott D. Hoffman (incorporated by reference to Exhibit 10.4 to the Registrant’s Current Report on Form 8-K</w:t>
              </w:r>
            </w:hyperlink>
          </w:p>
        </w:tc>
        <w:tc>
          <w:tcPr>
            <w:tcW w:w="30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(File No. 333-126751) filed on April 3, 2019).</w:t>
              </w:r>
            </w:hyperlink>
          </w:p>
        </w:tc>
      </w:tr>
      <w:tr>
        <w:trPr>
          <w:trHeight w:val="534"/>
        </w:trPr>
        <w:tc>
          <w:tcPr>
            <w:tcW w:w="1040" w:type="dxa"/>
            <w:vAlign w:val="bottom"/>
          </w:tcPr>
          <w:p>
            <w:pPr>
              <w:spacing w:after="0"/>
              <w:rPr>
                <w:sz w:val="24"/>
                <w:szCs w:val="24"/>
                <w:color w:val="auto"/>
              </w:rPr>
            </w:pPr>
          </w:p>
        </w:tc>
        <w:tc>
          <w:tcPr>
            <w:tcW w:w="3340" w:type="dxa"/>
            <w:vAlign w:val="bottom"/>
            <w:tcBorders>
              <w:top w:val="single" w:sz="8" w:color="0000EE"/>
            </w:tcBorders>
            <w:gridSpan w:val="6"/>
          </w:tcPr>
          <w:p>
            <w:pPr>
              <w:spacing w:after="0"/>
              <w:rPr>
                <w:sz w:val="24"/>
                <w:szCs w:val="24"/>
                <w:color w:val="auto"/>
              </w:rPr>
            </w:pPr>
          </w:p>
        </w:tc>
        <w:tc>
          <w:tcPr>
            <w:tcW w:w="3300" w:type="dxa"/>
            <w:vAlign w:val="bottom"/>
            <w:gridSpan w:val="8"/>
          </w:tcPr>
          <w:p>
            <w:pPr>
              <w:jc w:val="right"/>
              <w:ind w:right="1880"/>
              <w:spacing w:after="0"/>
              <w:rPr>
                <w:sz w:val="20"/>
                <w:szCs w:val="20"/>
                <w:color w:val="auto"/>
              </w:rPr>
            </w:pPr>
            <w:r>
              <w:rPr>
                <w:rFonts w:ascii="Arial" w:cs="Arial" w:eastAsia="Arial" w:hAnsi="Arial"/>
                <w:sz w:val="18"/>
                <w:szCs w:val="18"/>
                <w:color w:val="auto"/>
              </w:rPr>
              <w:t>69</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10.10*</w:t>
            </w:r>
          </w:p>
        </w:tc>
        <w:tc>
          <w:tcPr>
            <w:tcW w:w="10300" w:type="dxa"/>
            <w:vAlign w:val="bottom"/>
            <w:gridSpan w:val="26"/>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Agreement relating to Retention and Noncompetition and Other Covenants, dated as of March 29, 2019, by and among the Registrant, Lazard</w:t>
              </w:r>
            </w:hyperlink>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Ltd and Evan L. Russo (incorporated by reference to Exhibit 10.2 to the Registrant’s Current Report on Form 8-K (File No. 333-126751) filed</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April 3, 2019).</w:t>
              </w:r>
            </w:hyperlink>
          </w:p>
        </w:tc>
        <w:tc>
          <w:tcPr>
            <w:tcW w:w="9220" w:type="dxa"/>
            <w:vAlign w:val="bottom"/>
            <w:gridSpan w:val="25"/>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10.11*</w:t>
            </w:r>
          </w:p>
        </w:tc>
        <w:tc>
          <w:tcPr>
            <w:tcW w:w="10300" w:type="dxa"/>
            <w:vAlign w:val="bottom"/>
            <w:tcBorders>
              <w:bottom w:val="single" w:sz="8" w:color="0000EE"/>
            </w:tcBorders>
            <w:gridSpan w:val="26"/>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Amended and Restated Agreement relating to Retention and Noncompetition and Other Covenants, dated as of March 29, 2019, by and among</w:t>
              </w:r>
            </w:hyperlink>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the Registrant, Lazard Ltd and Alexander F. Stern (incorporated by reference to Exhibit 10.5 to the Registrant’s Current Report on Form 8-K</w:t>
              </w:r>
            </w:hyperlink>
          </w:p>
        </w:tc>
        <w:tc>
          <w:tcPr>
            <w:tcW w:w="14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(File No. 333-126751) filed on April 3, 2019).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10.12*</w:t>
            </w:r>
          </w:p>
        </w:tc>
        <w:tc>
          <w:tcPr>
            <w:tcW w:w="9940" w:type="dxa"/>
            <w:vAlign w:val="bottom"/>
            <w:tcBorders>
              <w:bottom w:val="single" w:sz="8" w:color="0000EE"/>
            </w:tcBorders>
            <w:gridSpan w:val="16"/>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Form of Award Letter for Annual Grant of Deferred Stock Units to Non-Executive Directors (incorporated by reference to Exhibit 99.1 to</w:t>
              </w:r>
            </w:hyperlink>
          </w:p>
        </w:tc>
        <w:tc>
          <w:tcPr>
            <w:tcW w:w="36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Lazard Ltd’s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10.13*</w:t>
            </w:r>
          </w:p>
        </w:tc>
        <w:tc>
          <w:tcPr>
            <w:tcW w:w="10300" w:type="dxa"/>
            <w:vAlign w:val="bottom"/>
            <w:gridSpan w:val="26"/>
          </w:tcPr>
          <w:p>
            <w:pPr>
              <w:spacing w:after="0"/>
              <w:rPr>
                <w:rFonts w:ascii="Arial" w:cs="Arial" w:eastAsia="Arial" w:hAnsi="Arial"/>
                <w:sz w:val="18"/>
                <w:szCs w:val="18"/>
                <w:color w:val="0000EE"/>
                <w:w w:val="98"/>
              </w:rPr>
            </w:pPr>
            <w:hyperlink r:id="rId120">
              <w:r>
                <w:rPr>
                  <w:rFonts w:ascii="Arial" w:cs="Arial" w:eastAsia="Arial" w:hAnsi="Arial"/>
                  <w:sz w:val="18"/>
                  <w:szCs w:val="18"/>
                  <w:color w:val="0000EE"/>
                  <w:w w:val="98"/>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w w:val="96"/>
              </w:rPr>
            </w:pPr>
            <w:hyperlink r:id="rId120">
              <w:r>
                <w:rPr>
                  <w:rFonts w:ascii="Arial" w:cs="Arial" w:eastAsia="Arial" w:hAnsi="Arial"/>
                  <w:sz w:val="18"/>
                  <w:szCs w:val="18"/>
                  <w:color w:val="0000EE"/>
                  <w:w w:val="96"/>
                </w:rPr>
                <w:t>(incorporated by reference to Exhibit 10.41 to Lazard 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10.14*</w:t>
            </w:r>
          </w:p>
        </w:tc>
        <w:tc>
          <w:tcPr>
            <w:tcW w:w="10100" w:type="dxa"/>
            <w:vAlign w:val="bottom"/>
            <w:tcBorders>
              <w:bottom w:val="single" w:sz="8" w:color="0000EE"/>
            </w:tcBorders>
            <w:gridSpan w:val="19"/>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Form of Agreement evidencing a grant of Deferred Cash Award to Executive Officers (incorporated by reference to Exhibit 10.42 to Lazard</w:t>
              </w:r>
            </w:hyperlink>
          </w:p>
        </w:tc>
        <w:tc>
          <w:tcPr>
            <w:tcW w:w="20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10.15*</w:t>
            </w:r>
          </w:p>
        </w:tc>
        <w:tc>
          <w:tcPr>
            <w:tcW w:w="10300" w:type="dxa"/>
            <w:vAlign w:val="bottom"/>
            <w:gridSpan w:val="26"/>
          </w:tcPr>
          <w:p>
            <w:pPr>
              <w:spacing w:after="0"/>
              <w:rPr>
                <w:rFonts w:ascii="Arial" w:cs="Arial" w:eastAsia="Arial" w:hAnsi="Arial"/>
                <w:sz w:val="18"/>
                <w:szCs w:val="18"/>
                <w:color w:val="0000EE"/>
                <w:w w:val="93"/>
              </w:rPr>
            </w:pPr>
            <w:hyperlink r:id="rId122">
              <w:r>
                <w:rPr>
                  <w:rFonts w:ascii="Arial" w:cs="Arial" w:eastAsia="Arial" w:hAnsi="Arial"/>
                  <w:sz w:val="18"/>
                  <w:szCs w:val="18"/>
                  <w:color w:val="0000EE"/>
                  <w:w w:val="93"/>
                </w:rPr>
                <w:t>Directors’ Fee Deferral Unit Plan (incorporated by reference to Exhibit 10.39 to Lazard Ltd’s Quarterly Report (File No.001-32492) on Form</w:t>
              </w:r>
            </w:hyperlink>
          </w:p>
        </w:tc>
      </w:tr>
      <w:tr>
        <w:trPr>
          <w:trHeight w:val="196"/>
        </w:trPr>
        <w:tc>
          <w:tcPr>
            <w:tcW w:w="1040" w:type="dxa"/>
            <w:vAlign w:val="bottom"/>
          </w:tcPr>
          <w:p>
            <w:pPr>
              <w:spacing w:after="0"/>
              <w:rPr>
                <w:sz w:val="17"/>
                <w:szCs w:val="17"/>
                <w:color w:val="auto"/>
              </w:rPr>
            </w:pPr>
          </w:p>
        </w:tc>
        <w:tc>
          <w:tcPr>
            <w:tcW w:w="102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10-Q filed on May 11, 2006).</w:t>
              </w:r>
            </w:hyperlink>
          </w:p>
        </w:tc>
        <w:tc>
          <w:tcPr>
            <w:tcW w:w="8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10.16</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Amended and Restated Credit Agreement, dated as of September 25, 2015, among the Registrant, the Banks from time to time parties thereto,</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and Citibank, N.A., as Administrative Agent (incorporated by reference to Exhibit 10.25 to the Registrant’s Quarterly Report (File No. 333-</w:t>
              </w:r>
            </w:hyperlink>
          </w:p>
        </w:tc>
      </w:tr>
      <w:tr>
        <w:trPr>
          <w:trHeight w:val="196"/>
        </w:trPr>
        <w:tc>
          <w:tcPr>
            <w:tcW w:w="104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126751) on Form 10-Q filed on October 28, 2015).</w:t>
              </w:r>
            </w:hyperlink>
          </w:p>
        </w:tc>
        <w:tc>
          <w:tcPr>
            <w:tcW w:w="22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10.17*</w:t>
            </w:r>
          </w:p>
        </w:tc>
        <w:tc>
          <w:tcPr>
            <w:tcW w:w="10140" w:type="dxa"/>
            <w:vAlign w:val="bottom"/>
            <w:tcBorders>
              <w:bottom w:val="single" w:sz="8" w:color="0000EE"/>
            </w:tcBorders>
            <w:gridSpan w:val="21"/>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c>
          <w:tcPr>
            <w:tcW w:w="1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the Registrant’s Quarterly Report (File No. 333-126751) on Form 10-Q filed on May 1, 2013).</w:t>
              </w:r>
            </w:hyperlink>
          </w:p>
        </w:tc>
        <w:tc>
          <w:tcPr>
            <w:tcW w:w="3480" w:type="dxa"/>
            <w:vAlign w:val="bottom"/>
            <w:gridSpan w:val="16"/>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10.18*</w:t>
            </w:r>
          </w:p>
        </w:tc>
        <w:tc>
          <w:tcPr>
            <w:tcW w:w="10300" w:type="dxa"/>
            <w:vAlign w:val="bottom"/>
            <w:gridSpan w:val="26"/>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Form of Agreement evidencing a February 20, 2014 grant of Performance-Based Stock Units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(incorporated by reference to Exhibit 10.54 to the Registrant’s Quarterly Report (File No. 333-126751)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10.19*</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Agreement between Lazard Ltd and Kenneth M. Jacobs, dated as of February 20, 2014, evidencing a grant of Performance-Based Stock Units</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under the 2008 Incentive Compensation Plan (incorporated by reference to Exhibit 10.55 to the Registrant’s Quarterly Report (File No. 333-</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10.20*</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Form of Agreement evidencing a grant of Restricted Stock under the 2008 Incentive Compensation Plan (incorporated by reference to Exhibit</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54</w:t>
              </w:r>
              <w:r>
                <w:rPr>
                  <w:rFonts w:ascii="Arial" w:cs="Arial" w:eastAsia="Arial" w:hAnsi="Arial"/>
                  <w:sz w:val="18"/>
                  <w:szCs w:val="18"/>
                  <w:color w:val="0000EE"/>
                </w:rPr>
                <w:t xml:space="preserve"> to the Registrant’s Quarterly Report (File No. 333-126751) on Form 10-Q filed on April 30, 2010).</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10.21*</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Form of Agreement evidencing a grant of Lazard Fund Interests (incorporated by reference to Exhibit 10.54 to the Registrant’s Quarterly</w:t>
              </w:r>
            </w:hyperlink>
          </w:p>
        </w:tc>
        <w:tc>
          <w:tcPr>
            <w:tcW w:w="42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Report (File No. 333-126751) on Form 10-Q filed on April 29, 2011).</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8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10.22*</w:t>
            </w:r>
          </w:p>
        </w:tc>
        <w:tc>
          <w:tcPr>
            <w:tcW w:w="10300" w:type="dxa"/>
            <w:vAlign w:val="bottom"/>
            <w:gridSpan w:val="26"/>
          </w:tcPr>
          <w:p>
            <w:pPr>
              <w:spacing w:after="0"/>
              <w:rPr>
                <w:rFonts w:ascii="Arial" w:cs="Arial" w:eastAsia="Arial" w:hAnsi="Arial"/>
                <w:sz w:val="18"/>
                <w:szCs w:val="18"/>
                <w:color w:val="0000EE"/>
                <w:w w:val="99"/>
              </w:rPr>
            </w:pPr>
            <w:hyperlink r:id="rId129">
              <w:r>
                <w:rPr>
                  <w:rFonts w:ascii="Arial" w:cs="Arial" w:eastAsia="Arial" w:hAnsi="Arial"/>
                  <w:sz w:val="18"/>
                  <w:szCs w:val="18"/>
                  <w:color w:val="0000EE"/>
                  <w:w w:val="99"/>
                </w:rPr>
                <w:t>Form of Agreement for Performance-Based Profits Interest Participation Right Units under the 2018 Incentive Compensation Plan</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80" w:type="dxa"/>
            <w:vAlign w:val="bottom"/>
            <w:gridSpan w:val="6"/>
            <w:shd w:val="clear" w:color="auto" w:fill="0000EE"/>
          </w:tcPr>
          <w:p>
            <w:pPr>
              <w:spacing w:after="0" w:line="20" w:lineRule="exact"/>
              <w:rPr>
                <w:sz w:val="1"/>
                <w:szCs w:val="1"/>
                <w:color w:val="auto"/>
              </w:rPr>
            </w:pPr>
          </w:p>
        </w:tc>
        <w:tc>
          <w:tcPr>
            <w:tcW w:w="8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(incorporated by reference to Exhibit 10.22 to the Registrant’s Quarterly Report (File No 333-126751) on Form 10-Q filed on April 30, 2019).</w:t>
              </w:r>
            </w:hyperlink>
          </w:p>
        </w:tc>
        <w:tc>
          <w:tcPr>
            <w:tcW w:w="40" w:type="dxa"/>
            <w:vAlign w:val="bottom"/>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Rule 13a-14(a) Certification of Kenneth M. Jacobs.</w:t>
              </w:r>
            </w:hyperlink>
          </w:p>
        </w:tc>
        <w:tc>
          <w:tcPr>
            <w:tcW w:w="6580" w:type="dxa"/>
            <w:vAlign w:val="bottom"/>
            <w:gridSpan w:val="20"/>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300" w:type="dxa"/>
            <w:vAlign w:val="bottom"/>
            <w:gridSpan w:val="2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20" w:type="dxa"/>
            <w:vAlign w:val="bottom"/>
            <w:gridSpan w:val="21"/>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36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Section 1350 Certification for Kenneth M. Jacobs.</w:t>
              </w:r>
            </w:hyperlink>
          </w:p>
        </w:tc>
        <w:tc>
          <w:tcPr>
            <w:tcW w:w="6620" w:type="dxa"/>
            <w:vAlign w:val="bottom"/>
            <w:gridSpan w:val="21"/>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300" w:type="dxa"/>
            <w:vAlign w:val="bottom"/>
            <w:gridSpan w:val="2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Section 1350 Certification for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7000" w:type="dxa"/>
            <w:vAlign w:val="bottom"/>
            <w:gridSpan w:val="23"/>
          </w:tcPr>
          <w:p>
            <w:pPr>
              <w:spacing w:after="0" w:line="20" w:lineRule="exact"/>
              <w:rPr>
                <w:sz w:val="1"/>
                <w:szCs w:val="1"/>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26"/>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iXBRL tags are embedded within the</w:t>
            </w:r>
          </w:p>
        </w:tc>
      </w:tr>
      <w:tr>
        <w:trPr>
          <w:trHeight w:val="230"/>
        </w:trPr>
        <w:tc>
          <w:tcPr>
            <w:tcW w:w="1040" w:type="dxa"/>
            <w:vAlign w:val="bottom"/>
          </w:tcPr>
          <w:p>
            <w:pPr>
              <w:spacing w:after="0"/>
              <w:rPr>
                <w:sz w:val="20"/>
                <w:szCs w:val="20"/>
                <w:color w:val="auto"/>
              </w:rPr>
            </w:pPr>
          </w:p>
        </w:tc>
        <w:tc>
          <w:tcPr>
            <w:tcW w:w="10300" w:type="dxa"/>
            <w:vAlign w:val="bottom"/>
            <w:gridSpan w:val="26"/>
          </w:tcPr>
          <w:p>
            <w:pPr>
              <w:spacing w:after="0"/>
              <w:rPr>
                <w:sz w:val="20"/>
                <w:szCs w:val="20"/>
                <w:color w:val="auto"/>
              </w:rPr>
            </w:pPr>
            <w:r>
              <w:rPr>
                <w:rFonts w:ascii="Arial" w:cs="Arial" w:eastAsia="Arial" w:hAnsi="Arial"/>
                <w:sz w:val="18"/>
                <w:szCs w:val="18"/>
                <w:color w:val="auto"/>
              </w:rPr>
              <w:t>Inline XBRL document.</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2090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24"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Evan L. Russo</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gridSpan w:val="2"/>
          </w:tcPr>
          <w:p>
            <w:pPr>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Dominick Ragone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gridSpan w:val="2"/>
          </w:tcPr>
          <w:p>
            <w:pPr>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2019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2019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29,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29,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1."/>
      <w:numFmt w:val="decimal"/>
      <w:start w:val="3"/>
    </w:lvl>
  </w:abstractNum>
  <w:abstractNum w:abstractNumId="7">
    <w:nsid w:val="4516DDE9"/>
    <w:multiLevelType w:val="hybridMultilevel"/>
    <w:lvl w:ilvl="0">
      <w:lvlJc w:val="left"/>
      <w:lvlText w:val="(%1)"/>
      <w:numFmt w:val="lowerLetter"/>
      <w:start w:val="1"/>
    </w:lvl>
  </w:abstractNum>
  <w:abstractNum w:abstractNumId="8">
    <w:nsid w:val="3006C83E"/>
    <w:multiLevelType w:val="hybridMultilevel"/>
    <w:lvl w:ilvl="0">
      <w:lvlJc w:val="left"/>
      <w:lvlText w:val="(%1)"/>
      <w:numFmt w:val="lowerLetter"/>
      <w:start w:val="2"/>
    </w:lvl>
  </w:abstractNum>
  <w:abstractNum w:abstractNumId="9">
    <w:nsid w:val="614FD4A1"/>
    <w:multiLevelType w:val="hybridMultilevel"/>
    <w:lvl w:ilvl="0">
      <w:lvlJc w:val="left"/>
      <w:lvlText w:val="%1."/>
      <w:numFmt w:val="decimal"/>
      <w:start w:val="4"/>
    </w:lvl>
  </w:abstractNum>
  <w:abstractNum w:abstractNumId="10">
    <w:nsid w:val="419AC241"/>
    <w:multiLevelType w:val="hybridMultilevel"/>
    <w:lvl w:ilvl="0">
      <w:lvlJc w:val="left"/>
      <w:lvlText w:val="%1."/>
      <w:numFmt w:val="decimal"/>
      <w:start w:val="5"/>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decimal"/>
      <w:start w:val="6"/>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decimal"/>
      <w:start w:val="7"/>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decimal"/>
      <w:start w:val="8"/>
    </w:lvl>
  </w:abstractNum>
  <w:abstractNum w:abstractNumId="19">
    <w:nsid w:val="5E884ADC"/>
    <w:multiLevelType w:val="hybridMultilevel"/>
    <w:lvl w:ilvl="0">
      <w:lvlJc w:val="left"/>
      <w:lvlText w:val="%1."/>
      <w:numFmt w:val="decimal"/>
      <w:start w:val="9"/>
    </w:lvl>
  </w:abstractNum>
  <w:abstractNum w:abstractNumId="20">
    <w:nsid w:val="51EAD36B"/>
    <w:multiLevelType w:val="hybridMultilevel"/>
    <w:lvl w:ilvl="0">
      <w:lvlJc w:val="left"/>
      <w:lvlText w:val="%1."/>
      <w:numFmt w:val="decimal"/>
      <w:start w:val="10"/>
    </w:lvl>
  </w:abstractNum>
  <w:abstractNum w:abstractNumId="21">
    <w:nsid w:val="2D517796"/>
    <w:multiLevelType w:val="hybridMultilevel"/>
    <w:lvl w:ilvl="0">
      <w:lvlJc w:val="left"/>
      <w:lvlText w:val="%1."/>
      <w:numFmt w:val="decimal"/>
      <w:start w:val="11"/>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decimal"/>
      <w:start w:val="12"/>
    </w:lvl>
  </w:abstractNum>
  <w:abstractNum w:abstractNumId="24">
    <w:nsid w:val="3855585C"/>
    <w:multiLevelType w:val="hybridMultilevel"/>
    <w:lvl w:ilvl="0">
      <w:lvlJc w:val="left"/>
      <w:lvlText w:val="%1."/>
      <w:numFmt w:val="decimal"/>
      <w:start w:val="13"/>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decimal"/>
      <w:start w:val="14"/>
    </w:lvl>
  </w:abstractNum>
  <w:abstractNum w:abstractNumId="27">
    <w:nsid w:val="2A487CB0"/>
    <w:multiLevelType w:val="hybridMultilevel"/>
    <w:lvl w:ilvl="0">
      <w:lvlJc w:val="left"/>
      <w:lvlText w:val="%1."/>
      <w:numFmt w:val="decimal"/>
      <w:start w:val="15"/>
    </w:lvl>
  </w:abstractNum>
  <w:abstractNum w:abstractNumId="28">
    <w:nsid w:val="1D4ED43B"/>
    <w:multiLevelType w:val="hybridMultilevel"/>
    <w:lvl w:ilvl="0">
      <w:lvlJc w:val="left"/>
      <w:lvlText w:val="%1."/>
      <w:numFmt w:val="decimal"/>
      <w:start w:val="16"/>
    </w:lvl>
  </w:abstractNum>
  <w:abstractNum w:abstractNumId="29">
    <w:nsid w:val="725A06FB"/>
    <w:multiLevelType w:val="hybridMultilevel"/>
    <w:lvl w:ilvl="0">
      <w:lvlJc w:val="left"/>
      <w:lvlText w:val="%1."/>
      <w:numFmt w:val="decimal"/>
      <w:start w:val="17"/>
    </w:lvl>
  </w:abstractNum>
  <w:abstractNum w:abstractNumId="30">
    <w:nsid w:val="2CD89A32"/>
    <w:multiLevelType w:val="hybridMultilevel"/>
    <w:lvl w:ilvl="0">
      <w:lvlJc w:val="left"/>
      <w:lvlText w:val="%1."/>
      <w:numFmt w:val="decimal"/>
      <w:start w:val="18"/>
    </w:lvl>
  </w:abstractNum>
  <w:abstractNum w:abstractNumId="31">
    <w:nsid w:val="57E4CCAF"/>
    <w:multiLevelType w:val="hybridMultilevel"/>
    <w:lvl w:ilvl="0">
      <w:lvlJc w:val="left"/>
      <w:lvlText w:val="%1."/>
      <w:numFmt w:val="decimal"/>
      <w:start w:val="19"/>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20"/>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lvl w:ilvl="1">
      <w:lvlJc w:val="left"/>
      <w:lvlText w:val="(%2)"/>
      <w:numFmt w:val="lowerRoman"/>
      <w:start w:val="1"/>
    </w:lvl>
  </w:abstractNum>
  <w:abstractNum w:abstractNumId="41">
    <w:nsid w:val="749ABB43"/>
    <w:multiLevelType w:val="hybridMultilevel"/>
    <w:lvl w:ilvl="0">
      <w:lvlJc w:val="left"/>
      <w:lvlText w:val="•"/>
      <w:numFmt w:val="bullet"/>
      <w:start w:val="1"/>
    </w:lvl>
    <w:lvl w:ilvl="1">
      <w:lvlJc w:val="left"/>
      <w:lvlText w:val="(%2)"/>
      <w:numFmt w:val="lowerRoman"/>
      <w:start w:val="2"/>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Roman"/>
      <w:start w:val="2"/>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2"/>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lowerLetter"/>
      <w:start w:val="2"/>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98" Type="http://schemas.openxmlformats.org/officeDocument/2006/relationships/hyperlink" Target="http://www.sec.gov/Archives/edgar/data/1326141/000119312505145683/dex31.htm" TargetMode="External"/><Relationship Id="rId99" Type="http://schemas.openxmlformats.org/officeDocument/2006/relationships/hyperlink" Target="http://www.sec.gov/Archives/edgar/data/1326141/000119312505145683/dex32.htm" TargetMode="External"/><Relationship Id="rId100" Type="http://schemas.openxmlformats.org/officeDocument/2006/relationships/hyperlink" Target="http://www.sec.gov/Archives/edgar/data/1326141/000119312519027573/d655030dex991.htm" TargetMode="External"/><Relationship Id="rId101" Type="http://schemas.openxmlformats.org/officeDocument/2006/relationships/hyperlink" Target="http://www.sec.gov/Archives/edgar/data/1326141/000119312505145683/dex41.htm" TargetMode="External"/><Relationship Id="rId102" Type="http://schemas.openxmlformats.org/officeDocument/2006/relationships/hyperlink" Target="http://www.sec.gov/Archives/edgar/data/1326141/000119312515050372/d871109dex41.htm" TargetMode="External"/><Relationship Id="rId103" Type="http://schemas.openxmlformats.org/officeDocument/2006/relationships/hyperlink" Target="http://www.sec.gov/Archives/edgar/data/1326141/000119312516760474/d275674dex41.htm" TargetMode="External"/><Relationship Id="rId104" Type="http://schemas.openxmlformats.org/officeDocument/2006/relationships/hyperlink" Target="http://www.sec.gov/Archives/edgar/data/1311370/000119312518277695/d614135dex41.htm" TargetMode="External"/><Relationship Id="rId105" Type="http://schemas.openxmlformats.org/officeDocument/2006/relationships/hyperlink" Target="http://www.sec.gov/Archives/edgar/data/1326141/000095015719000258/ex4-1.htm" TargetMode="External"/><Relationship Id="rId106" Type="http://schemas.openxmlformats.org/officeDocument/2006/relationships/hyperlink" Target="http://www.sec.gov/Archives/edgar/data/1311370/000119312505025486/dex1019.htm" TargetMode="External"/><Relationship Id="rId107" Type="http://schemas.openxmlformats.org/officeDocument/2006/relationships/hyperlink" Target="http://www.sec.gov/Archives/edgar/data/1326141/000119312511117049/dex1015.htm" TargetMode="External"/><Relationship Id="rId108" Type="http://schemas.openxmlformats.org/officeDocument/2006/relationships/hyperlink" Target="http://www.sec.gov/Archives/edgar/data/1311370/000119312505091140/dex1021.htm" TargetMode="External"/><Relationship Id="rId109" Type="http://schemas.openxmlformats.org/officeDocument/2006/relationships/hyperlink" Target="http://www.sec.gov/Archives/edgar/data/1311370/000119312508063107/ddef14a.htm" TargetMode="External"/><Relationship Id="rId110" Type="http://schemas.openxmlformats.org/officeDocument/2006/relationships/hyperlink" Target="http://www.sec.gov/Archives/edgar/data/1311370/000119312516500308/d128121ddef14a.htm" TargetMode="External"/><Relationship Id="rId111" Type="http://schemas.openxmlformats.org/officeDocument/2006/relationships/hyperlink" Target="http://www.sec.gov/Archives/edgar/data/1311370/000119312518082725/d525181ddef14a.htm" TargetMode="External"/><Relationship Id="rId112" Type="http://schemas.openxmlformats.org/officeDocument/2006/relationships/hyperlink" Target="http://www.sec.gov/Archives/edgar/data/1326141/000119312519096110/d698065dex101.htm" TargetMode="External"/><Relationship Id="rId113" Type="http://schemas.openxmlformats.org/officeDocument/2006/relationships/hyperlink" Target="http://www.sec.gov/Archives/edgar/data/1326141/000119312519096110/d698065dex103.htm" TargetMode="External"/><Relationship Id="rId114" Type="http://schemas.openxmlformats.org/officeDocument/2006/relationships/hyperlink" Target="http://www.sec.gov/Archives/edgar/data/1326141/000119312519096110/d698065dex104.htm" TargetMode="External"/><Relationship Id="rId117" Type="http://schemas.openxmlformats.org/officeDocument/2006/relationships/hyperlink" Target="http://www.sec.gov/Archives/edgar/data/1326141/000119312519096110/d698065dex102.htm" TargetMode="External"/><Relationship Id="rId118" Type="http://schemas.openxmlformats.org/officeDocument/2006/relationships/hyperlink" Target="http://www.sec.gov/Archives/edgar/data/1326141/000119312519096110/d698065dex105.htm" TargetMode="External"/><Relationship Id="rId119" Type="http://schemas.openxmlformats.org/officeDocument/2006/relationships/hyperlink" Target="http://www.sec.gov/Archives/edgar/data/1311370/000089882205001180/sept9_exhibit.txt" TargetMode="External"/><Relationship Id="rId120" Type="http://schemas.openxmlformats.org/officeDocument/2006/relationships/hyperlink" Target="http://www.sec.gov/Archives/edgar/data/1311370/000119312509041325/dex1041.htm" TargetMode="External"/><Relationship Id="rId121" Type="http://schemas.openxmlformats.org/officeDocument/2006/relationships/hyperlink" Target="http://www.sec.gov/Archives/edgar/data/1311370/000119312509041325/dex1042.htm" TargetMode="External"/><Relationship Id="rId122" Type="http://schemas.openxmlformats.org/officeDocument/2006/relationships/hyperlink" Target="http://www.sec.gov/Archives/edgar/data/1311370/000119312506109044/dex1039.htm" TargetMode="External"/><Relationship Id="rId123" Type="http://schemas.openxmlformats.org/officeDocument/2006/relationships/hyperlink" Target="http://www.sec.gov/Archives/edgar/data/1326141/000119312515355050/d40575dex1025.htm" TargetMode="External"/><Relationship Id="rId124" Type="http://schemas.openxmlformats.org/officeDocument/2006/relationships/hyperlink" Target="http://www.sec.gov/Archives/edgar/data/1326141/000119312513188145/d507153dex1054.htm" TargetMode="External"/><Relationship Id="rId125" Type="http://schemas.openxmlformats.org/officeDocument/2006/relationships/hyperlink" Target="http://www.sec.gov/Archives/edgar/data/1326141/000119312514185018/d700862dex1054.htm" TargetMode="External"/><Relationship Id="rId126" Type="http://schemas.openxmlformats.org/officeDocument/2006/relationships/hyperlink" Target="http://www.sec.gov/Archives/edgar/data/1326141/000119312514185018/d700862dex1055.htm" TargetMode="External"/><Relationship Id="rId127" Type="http://schemas.openxmlformats.org/officeDocument/2006/relationships/hyperlink" Target="http://www.sec.gov/Archives/edgar/data/1326141/000119312510102282/dex1054.htm" TargetMode="External"/><Relationship Id="rId128" Type="http://schemas.openxmlformats.org/officeDocument/2006/relationships/hyperlink" Target="http://www.sec.gov/Archives/edgar/data/1326141/000119312511117049/dex1054.htm" TargetMode="External"/><Relationship Id="rId129" Type="http://schemas.openxmlformats.org/officeDocument/2006/relationships/hyperlink" Target="http://www.sec.gov/Archives/edgar/data/1326141/000156459019013925/lzd-ex1022_6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2019-12-28T09:28:45Z</dcterms:created>
  <dcterms:modified xsi:type="dcterms:W3CDTF">2019-12-28T09:28:45Z</dcterms:modified>
</cp:coreProperties>
</file>