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9"/>
                <w:szCs w:val="19"/>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9"/>
                <w:szCs w:val="19"/>
                <w:color w:val="auto"/>
              </w:rPr>
            </w:pPr>
          </w:p>
        </w:tc>
      </w:tr>
      <w:tr>
        <w:trPr>
          <w:trHeight w:val="151"/>
        </w:trPr>
        <w:tc>
          <w:tcPr>
            <w:tcW w:w="7220" w:type="dxa"/>
            <w:vAlign w:val="bottom"/>
            <w:gridSpan w:val="3"/>
          </w:tcPr>
          <w:p>
            <w:pPr>
              <w:jc w:val="center"/>
              <w:ind w:right="210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9"/>
        </w:trPr>
        <w:tc>
          <w:tcPr>
            <w:tcW w:w="4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49"/>
        </w:trPr>
        <w:tc>
          <w:tcPr>
            <w:tcW w:w="416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New York, NY 10112</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0"/>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02"/>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5"/>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75"/>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right="172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June 30, 2015, none of the Registrant’s common membership interests were held by non-affiliates.</w:t>
      </w:r>
    </w:p>
    <w:p>
      <w:pPr>
        <w:spacing w:after="0" w:line="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January 29, 2016, in addition to profit participation interests, there were two managing member interests outstanding.</w:t>
      </w:r>
    </w:p>
    <w:p>
      <w:pPr>
        <w:spacing w:after="0" w:line="63" w:lineRule="exact"/>
        <w:rPr>
          <w:sz w:val="24"/>
          <w:szCs w:val="24"/>
          <w:color w:val="auto"/>
        </w:rPr>
      </w:pPr>
    </w:p>
    <w:p>
      <w:pPr>
        <w:ind w:right="60" w:firstLine="342"/>
        <w:spacing w:after="0" w:line="256" w:lineRule="auto"/>
        <w:rPr>
          <w:sz w:val="20"/>
          <w:szCs w:val="20"/>
          <w:color w:val="auto"/>
        </w:rPr>
      </w:pPr>
      <w:r>
        <w:rPr>
          <w:rFonts w:ascii="Arial" w:cs="Arial" w:eastAsia="Arial" w:hAnsi="Arial"/>
          <w:sz w:val="18"/>
          <w:szCs w:val="18"/>
          <w:color w:val="auto"/>
        </w:rPr>
        <w:t>The Registrant meets the conditions set forth in General Instruction (I)(1)(a) and (b) of Form 10-K and is therefore filing this Form with the reduced disclosure format by omitting the information called for by the following items of Form 10-K: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30">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December 31, 2015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corporate preparedness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years ended December 31, 2015, 2014 and 2013, our Financial Advisory segment net revenue totaled $1.280 billion, $1.207 billion and $981 million, respectively, accounting for approximately 54%, 53% and 49%, respectively, of our consolidated net revenue for such years. We earned $1 million or more from 268 clients, 281 clients and 235 clients for the years ended December 31, 2015, 2014 and 2013, respectively. For the years ended December 31, 2015, 2014 and 2013, the ten largest fee paying clients constituted approximately 17%, 15% and 19%, respectively, of our Financial Advisory segment net revenue, with no client individually contributing more than 10% of segment net revenue during any of these years. For the years ended December 31, 2015, 2014 and 2013, our Financial Advisory segment reported operating income of $274 million, $229 million and $21 million, respectively. Operating income in 2013 included charges of $47 million associated with the cost saving initiatives (as described in Note 16 of Notes to Consolidated Financial Statements) announced by the Company in October 2012. Excluding the impact of such charges, our Financial Advisory segment had operating income of $68 million in the year ended December 31, 2013. At December 31, 2015, 2014 and 2013, our Financial Advisory segment had total assets of $763 million, $786 million and $715 million, respectively.</w:t>
      </w:r>
    </w:p>
    <w:p>
      <w:pPr>
        <w:spacing w:after="0" w:line="12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(“U.S.”), the United Kingdom (the “U.K.”) and France, including a network of regional branch offices in the U.S., as well as a presence in Argentina, Australia, Belgium, Brazil, Chile, China, Colombia, Germany, Hong Kong, India, Italy, Japan, Korea, the Netherlands, Panama, Peru, Singapore, Spain, Sweden, Switzerland and the Middle East Region.</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Financial Advisory business has made certain business acquisitions and entered into other strategic business relationships. For example, in 2012, we integrated our Brazilian operations based in São Paulo, and established a Lazard Africa initiative to leverage our sovereign and corporate expertise in this rapidly growing region, for our clients in both developed and developing countries. In addition,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 In 2015, we established a Lazard Central and Eastern Europe initiative to provide financial advisory services to businesses and governments in the region, as well as to our clients outside the region that are active in the region.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When we assist clients in connection with corporate preparedness matters, our services may include reviewing and analyzing the business and financial condition of the company and assisting in the evaluation of defense measures and strategic alternatives potentially available to the company.</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challenged by the current economic environment.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Lazard’s Sovereign Advisory Group has advised a number of countries and institutions with respect to sovereign debt and other financial matters.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corporate preparedness and other transactions or financial matters, depending on our clients’ needs. Many of our managing directors and senior employees come from diverse backgrounds, such as senior executive positions at corporations and in government, law and strategic consulting, which we believe enhances our ability to offer sophisticated advice and customized solutions to our clients. As of December 31, 2015, our Financial Advisory segment had 139 managing directors and 768 other professionals (which includes directors, vice presidents, associates and analysts).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business:</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preparedness and defense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raising for alternative investment funds;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Corporate Preparedness and Sovereign Advisory groups;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2009, offices in Australia (Perth) and the Middle East Region, as well as integrating our Brazilian operations based in São Paulo and establishing the Lazard Africa and Lazard Central and Eastern Europe initiatives;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developed and emerging markets;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2015, total assets under management (“AUM”) were $186 billion, of which approximately 81% was invested in equities, 16% in fixed income, 2% in alternative investments and 1% in private equity funds. As of the same date, within the equity asset class, approximately 35% of our AUM was invested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24% in emerging markets strategies, 21% in global investment strategies and 20% in local investment strategies. Within the fixed income asset class, approximately 47% of our AUM was invested in emerging markets strategies, 26%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14% in global investment strategies and 13% in local investment strategies. Our top ten clients accounted for 21%, 24% and 24% of our total AUM at December 31, 2015, 2014 and 2013, respectively, with no client individually contributing more than 10% of our Asset Management segment net revenue during any of the respective years. Approximately 89% of our AUM as of December 31, 2015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high-net worth individuals.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2015,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139700</wp:posOffset>
            </wp:positionV>
            <wp:extent cx="4613910" cy="133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1391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For the years ended December 31, 2015, 2014 and 2013, our Asset Management segment net revenue totaled $1.111 billion, $1.135 billion and $1.039 billion, respectively, accounting for approximately 47%, 49% and 52%, respectively, of our consolidated net revenue for such years. For the years ended December 31, 2015, 2014 and 2013, our Asset Management segment reported operating income of $374 million, $385 million and $335 million, respectively. Operating income in 2013 included charges of $0.2 million associated with the cost saving initiatives announced by the Company in October 2012, and a charge of $12 million relating to private equity incentive compensation (as described in “Management’s Discussion and Analysis of Financial Condition and Results of Operations”). Excluding the impact of such charges, our Asset Management segment had operating income of $347 million for the year ended December 31, 2013. At December 31, 2015, 2014 and 2013, our Asset Management segment had total assets of $640 million, $588 million and $612 million, respectively.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largest Asset Management businesses are Lazard Asset Management LLC and its subsidiaries (“LAM”), with offices in New York, Boston, Chicago, Dubai, Dublin, Frankfurt, Hamburg, Hong Kong, London, Manama, Milan, Montreal, San Francisco, Seoul, Singapore, Sydney, Tokyo, Toronto and Zurich (aggregating approximately $168 billion in total AUM as of December 31, 2015), and Lazard Frères Gestion SAS (“LFG”), with offices in Paris, Bordeaux, Brussels, Lyon and Nantes (aggregating approximately $17 billion in total AUM as of December 31, 2015). These operations, with 90 managing directors and 392 professionals as of December 31, 2015, provide our Asset Management business with both a global presence and a local identity.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18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880" w:type="dxa"/>
            <w:vAlign w:val="bottom"/>
          </w:tcPr>
          <w:p>
            <w:pPr>
              <w:ind w:left="88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300" w:type="dxa"/>
            <w:vAlign w:val="bottom"/>
            <w:gridSpan w:val="2"/>
          </w:tcPr>
          <w:p>
            <w:pPr>
              <w:ind w:left="880"/>
              <w:spacing w:after="0"/>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60"/>
        <w:spacing w:after="0"/>
        <w:rPr>
          <w:sz w:val="20"/>
          <w:szCs w:val="20"/>
          <w:color w:val="auto"/>
        </w:rPr>
      </w:pPr>
      <w:r>
        <w:rPr>
          <w:rFonts w:ascii="Arial" w:cs="Arial" w:eastAsia="Arial" w:hAnsi="Arial"/>
          <w:sz w:val="14"/>
          <w:szCs w:val="14"/>
          <w:b w:val="1"/>
          <w:bCs w:val="1"/>
          <w:i w:val="1"/>
          <w:iCs w:val="1"/>
          <w:color w:val="auto"/>
        </w:rPr>
        <w:t>Global Ex</w:t>
      </w:r>
    </w:p>
    <w:p>
      <w:pPr>
        <w:ind w:left="2160"/>
        <w:spacing w:after="0" w:line="221" w:lineRule="auto"/>
        <w:rPr>
          <w:sz w:val="20"/>
          <w:szCs w:val="20"/>
          <w:color w:val="auto"/>
        </w:rPr>
      </w:pPr>
      <w:r>
        <w:rPr>
          <w:rFonts w:ascii="Arial" w:cs="Arial" w:eastAsia="Arial" w:hAnsi="Arial"/>
          <w:sz w:val="14"/>
          <w:szCs w:val="14"/>
          <w:color w:val="auto"/>
        </w:rPr>
        <w:t>Global Ex-U.K.</w:t>
      </w:r>
    </w:p>
    <w:p>
      <w:pPr>
        <w:ind w:left="2160"/>
        <w:spacing w:after="0" w:line="221" w:lineRule="auto"/>
        <w:rPr>
          <w:sz w:val="20"/>
          <w:szCs w:val="20"/>
          <w:color w:val="auto"/>
        </w:rPr>
      </w:pPr>
      <w:r>
        <w:rPr>
          <w:rFonts w:ascii="Arial" w:cs="Arial" w:eastAsia="Arial" w:hAnsi="Arial"/>
          <w:sz w:val="14"/>
          <w:szCs w:val="14"/>
          <w:color w:val="auto"/>
        </w:rPr>
        <w:t>Global Ex-Japan</w:t>
      </w:r>
    </w:p>
    <w:p>
      <w:pPr>
        <w:ind w:left="2160"/>
        <w:spacing w:after="0"/>
        <w:rPr>
          <w:sz w:val="20"/>
          <w:szCs w:val="20"/>
          <w:color w:val="auto"/>
        </w:rPr>
      </w:pPr>
      <w:r>
        <w:rPr>
          <w:rFonts w:ascii="Arial" w:cs="Arial" w:eastAsia="Arial" w:hAnsi="Arial"/>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Fixed Income and Cash</w:t>
      </w:r>
      <w:r>
        <w:rPr>
          <w:sz w:val="20"/>
          <w:szCs w:val="20"/>
          <w:color w:val="auto"/>
        </w:rPr>
        <w:tab/>
      </w:r>
      <w:r>
        <w:rPr>
          <w:rFonts w:ascii="Arial" w:cs="Arial" w:eastAsia="Arial" w:hAnsi="Arial"/>
          <w:sz w:val="12"/>
          <w:szCs w:val="12"/>
          <w:b w:val="1"/>
          <w:bCs w:val="1"/>
          <w:i w:val="1"/>
          <w:iCs w:val="1"/>
          <w:color w:val="auto"/>
        </w:rPr>
        <w:t>Global</w:t>
      </w:r>
    </w:p>
    <w:p>
      <w:pPr>
        <w:spacing w:after="0" w:line="223" w:lineRule="auto"/>
        <w:tabs>
          <w:tab w:leader="none" w:pos="2140" w:val="left"/>
        </w:tabs>
        <w:rPr>
          <w:sz w:val="20"/>
          <w:szCs w:val="20"/>
          <w:color w:val="auto"/>
        </w:rPr>
      </w:pPr>
      <w:r>
        <w:rPr>
          <w:rFonts w:ascii="Arial" w:cs="Arial" w:eastAsia="Arial" w:hAnsi="Arial"/>
          <w:sz w:val="14"/>
          <w:szCs w:val="14"/>
          <w:b w:val="1"/>
          <w:bCs w:val="1"/>
          <w:color w:val="auto"/>
        </w:rPr>
        <w:t>Management</w:t>
      </w:r>
      <w:r>
        <w:rPr>
          <w:sz w:val="20"/>
          <w:szCs w:val="20"/>
          <w:color w:val="auto"/>
        </w:rPr>
        <w:tab/>
      </w:r>
      <w:r>
        <w:rPr>
          <w:rFonts w:ascii="Arial" w:cs="Arial" w:eastAsia="Arial" w:hAnsi="Arial"/>
          <w:sz w:val="14"/>
          <w:szCs w:val="14"/>
          <w:color w:val="auto"/>
        </w:rPr>
        <w:t>Core Fixed Income</w:t>
      </w:r>
    </w:p>
    <w:p>
      <w:pPr>
        <w:ind w:left="2160"/>
        <w:spacing w:after="0" w:line="222" w:lineRule="auto"/>
        <w:rPr>
          <w:sz w:val="20"/>
          <w:szCs w:val="20"/>
          <w:color w:val="auto"/>
        </w:rPr>
      </w:pPr>
      <w:r>
        <w:rPr>
          <w:rFonts w:ascii="Arial" w:cs="Arial" w:eastAsia="Arial" w:hAnsi="Arial"/>
          <w:sz w:val="14"/>
          <w:szCs w:val="14"/>
          <w:color w:val="auto"/>
        </w:rPr>
        <w:t>High Yield</w:t>
      </w:r>
    </w:p>
    <w:p>
      <w:pPr>
        <w:ind w:left="2160"/>
        <w:spacing w:after="0"/>
        <w:rPr>
          <w:sz w:val="20"/>
          <w:szCs w:val="20"/>
          <w:color w:val="auto"/>
        </w:rPr>
      </w:pPr>
      <w:r>
        <w:rPr>
          <w:rFonts w:ascii="Arial" w:cs="Arial" w:eastAsia="Arial" w:hAnsi="Arial"/>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Alternative</w:t>
      </w:r>
      <w:r>
        <w:rPr>
          <w:sz w:val="20"/>
          <w:szCs w:val="20"/>
          <w:color w:val="auto"/>
        </w:rPr>
        <w:tab/>
      </w:r>
      <w:r>
        <w:rPr>
          <w:rFonts w:ascii="Arial" w:cs="Arial" w:eastAsia="Arial" w:hAnsi="Arial"/>
          <w:sz w:val="14"/>
          <w:szCs w:val="14"/>
          <w:b w:val="1"/>
          <w:bCs w:val="1"/>
          <w:i w:val="1"/>
          <w:iCs w:val="1"/>
          <w:color w:val="auto"/>
        </w:rPr>
        <w:t>Global</w:t>
      </w:r>
    </w:p>
    <w:p>
      <w:pPr>
        <w:ind w:left="2160"/>
        <w:spacing w:after="0" w:line="224" w:lineRule="auto"/>
        <w:rPr>
          <w:sz w:val="20"/>
          <w:szCs w:val="20"/>
          <w:color w:val="auto"/>
        </w:rPr>
      </w:pPr>
      <w:r>
        <w:rPr>
          <w:rFonts w:ascii="Arial" w:cs="Arial" w:eastAsia="Arial" w:hAnsi="Arial"/>
          <w:sz w:val="14"/>
          <w:szCs w:val="14"/>
          <w:color w:val="auto"/>
        </w:rPr>
        <w:t>Fund of Hedge Funds</w:t>
      </w:r>
    </w:p>
    <w:p>
      <w:pPr>
        <w:jc w:val="right"/>
        <w:ind w:right="380"/>
        <w:spacing w:after="0" w:line="221" w:lineRule="auto"/>
        <w:rPr>
          <w:sz w:val="20"/>
          <w:szCs w:val="20"/>
          <w:color w:val="auto"/>
        </w:rPr>
      </w:pPr>
      <w:r>
        <w:rPr>
          <w:rFonts w:ascii="Arial" w:cs="Arial" w:eastAsia="Arial" w:hAnsi="Arial"/>
          <w:sz w:val="14"/>
          <w:szCs w:val="14"/>
          <w:color w:val="auto"/>
        </w:rPr>
        <w:t>Fund of Closed-End Funds</w:t>
      </w:r>
    </w:p>
    <w:p>
      <w:pPr>
        <w:jc w:val="right"/>
        <w:ind w:right="360"/>
        <w:spacing w:after="0" w:line="222" w:lineRule="auto"/>
        <w:rPr>
          <w:sz w:val="20"/>
          <w:szCs w:val="20"/>
          <w:color w:val="auto"/>
        </w:rPr>
      </w:pPr>
      <w:r>
        <w:rPr>
          <w:rFonts w:ascii="Arial" w:cs="Arial" w:eastAsia="Arial" w:hAnsi="Arial"/>
          <w:sz w:val="14"/>
          <w:szCs w:val="14"/>
          <w:color w:val="auto"/>
        </w:rPr>
        <w:t>(Long and Long/Short)</w:t>
      </w:r>
    </w:p>
    <w:p>
      <w:pPr>
        <w:ind w:left="2160"/>
        <w:spacing w:after="0" w:line="221" w:lineRule="auto"/>
        <w:rPr>
          <w:sz w:val="20"/>
          <w:szCs w:val="20"/>
          <w:color w:val="auto"/>
        </w:rPr>
      </w:pPr>
      <w:r>
        <w:rPr>
          <w:rFonts w:ascii="Arial" w:cs="Arial" w:eastAsia="Arial" w:hAnsi="Arial"/>
          <w:sz w:val="14"/>
          <w:szCs w:val="14"/>
          <w:color w:val="auto"/>
        </w:rPr>
        <w:t>Convertible</w:t>
      </w:r>
    </w:p>
    <w:p>
      <w:pPr>
        <w:ind w:left="2160"/>
        <w:spacing w:after="0" w:line="222" w:lineRule="auto"/>
        <w:rPr>
          <w:sz w:val="20"/>
          <w:szCs w:val="20"/>
          <w:color w:val="auto"/>
        </w:rPr>
      </w:pPr>
      <w:r>
        <w:rPr>
          <w:rFonts w:ascii="Arial" w:cs="Arial" w:eastAsia="Arial" w:hAnsi="Arial"/>
          <w:sz w:val="14"/>
          <w:szCs w:val="14"/>
          <w:color w:val="auto"/>
        </w:rPr>
        <w:t>Long/Short Equity</w:t>
      </w:r>
    </w:p>
    <w:p>
      <w:pPr>
        <w:ind w:left="2160"/>
        <w:spacing w:after="0"/>
        <w:rPr>
          <w:sz w:val="20"/>
          <w:szCs w:val="20"/>
          <w:color w:val="auto"/>
        </w:rPr>
      </w:pPr>
      <w:r>
        <w:rPr>
          <w:rFonts w:ascii="Arial" w:cs="Arial" w:eastAsia="Arial" w:hAnsi="Arial"/>
          <w:sz w:val="12"/>
          <w:szCs w:val="12"/>
          <w:color w:val="auto"/>
        </w:rPr>
        <w:t>Arbitrage/Relative Value</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Multi Asset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4"/>
          <w:szCs w:val="14"/>
          <w:b w:val="1"/>
          <w:bCs w:val="1"/>
          <w:u w:val="single" w:color="auto"/>
          <w:color w:val="auto"/>
        </w:rPr>
        <w:t>Multi-Regional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Large Capitalization</w:t>
      </w:r>
    </w:p>
    <w:p>
      <w:pPr>
        <w:spacing w:after="0"/>
        <w:rPr>
          <w:sz w:val="20"/>
          <w:szCs w:val="20"/>
          <w:color w:val="auto"/>
        </w:rPr>
      </w:pPr>
      <w:r>
        <w:rPr>
          <w:rFonts w:ascii="Arial" w:cs="Arial" w:eastAsia="Arial" w:hAnsi="Arial"/>
          <w:sz w:val="14"/>
          <w:szCs w:val="14"/>
          <w:color w:val="auto"/>
        </w:rPr>
        <w:t>Small Capitalization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Continental European</w:t>
      </w:r>
    </w:p>
    <w:p>
      <w:pPr>
        <w:spacing w:after="0" w:line="221" w:lineRule="auto"/>
        <w:rPr>
          <w:sz w:val="20"/>
          <w:szCs w:val="20"/>
          <w:color w:val="auto"/>
        </w:rPr>
      </w:pPr>
      <w:r>
        <w:rPr>
          <w:rFonts w:ascii="Arial" w:cs="Arial" w:eastAsia="Arial" w:hAnsi="Arial"/>
          <w:sz w:val="14"/>
          <w:szCs w:val="14"/>
          <w:color w:val="auto"/>
        </w:rPr>
        <w:t>Small Cap</w:t>
      </w:r>
    </w:p>
    <w:p>
      <w:pPr>
        <w:spacing w:after="0" w:line="221" w:lineRule="auto"/>
        <w:rPr>
          <w:sz w:val="20"/>
          <w:szCs w:val="20"/>
          <w:color w:val="auto"/>
        </w:rPr>
      </w:pPr>
      <w:r>
        <w:rPr>
          <w:rFonts w:ascii="Arial" w:cs="Arial" w:eastAsia="Arial" w:hAnsi="Arial"/>
          <w:sz w:val="14"/>
          <w:szCs w:val="14"/>
          <w:color w:val="auto"/>
        </w:rPr>
        <w:t>Multi Cap</w:t>
      </w:r>
    </w:p>
    <w:p>
      <w:pPr>
        <w:spacing w:after="0" w:line="222" w:lineRule="auto"/>
        <w:rPr>
          <w:sz w:val="20"/>
          <w:szCs w:val="20"/>
          <w:color w:val="auto"/>
        </w:rPr>
      </w:pPr>
      <w:r>
        <w:rPr>
          <w:rFonts w:ascii="Arial" w:cs="Arial" w:eastAsia="Arial" w:hAnsi="Arial"/>
          <w:sz w:val="14"/>
          <w:szCs w:val="14"/>
          <w:color w:val="auto"/>
        </w:rPr>
        <w:t>Eurozone</w:t>
      </w:r>
    </w:p>
    <w:p>
      <w:pPr>
        <w:spacing w:after="0"/>
        <w:rPr>
          <w:sz w:val="20"/>
          <w:szCs w:val="20"/>
          <w:color w:val="auto"/>
        </w:rPr>
      </w:pPr>
      <w:r>
        <w:rPr>
          <w:rFonts w:ascii="Arial" w:cs="Arial" w:eastAsia="Arial" w:hAnsi="Arial"/>
          <w:sz w:val="14"/>
          <w:szCs w:val="14"/>
          <w:color w:val="auto"/>
        </w:rPr>
        <w:t>Euro-Trend (Thematic)</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Asian</w:t>
      </w:r>
    </w:p>
    <w:p>
      <w:pPr>
        <w:spacing w:after="0" w:line="221" w:lineRule="auto"/>
        <w:rPr>
          <w:sz w:val="20"/>
          <w:szCs w:val="20"/>
          <w:color w:val="auto"/>
        </w:rPr>
      </w:pPr>
      <w:r>
        <w:rPr>
          <w:rFonts w:ascii="Arial" w:cs="Arial" w:eastAsia="Arial" w:hAnsi="Arial"/>
          <w:sz w:val="14"/>
          <w:szCs w:val="14"/>
          <w:color w:val="auto"/>
        </w:rPr>
        <w:t>Asia Ex-Japan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Europe, Australasia and Far East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line="221" w:lineRule="auto"/>
        <w:rPr>
          <w:sz w:val="20"/>
          <w:szCs w:val="20"/>
          <w:color w:val="auto"/>
        </w:rPr>
      </w:pPr>
      <w:r>
        <w:rPr>
          <w:rFonts w:ascii="Arial" w:cs="Arial" w:eastAsia="Arial" w:hAnsi="Arial"/>
          <w:sz w:val="14"/>
          <w:szCs w:val="14"/>
          <w:color w:val="auto"/>
        </w:rPr>
        <w:t>Multi-Capitalization</w:t>
      </w:r>
    </w:p>
    <w:p>
      <w:pPr>
        <w:spacing w:after="0" w:line="222" w:lineRule="auto"/>
        <w:rPr>
          <w:sz w:val="20"/>
          <w:szCs w:val="20"/>
          <w:color w:val="auto"/>
        </w:rPr>
      </w:pPr>
      <w:r>
        <w:rPr>
          <w:rFonts w:ascii="Arial" w:cs="Arial" w:eastAsia="Arial" w:hAnsi="Arial"/>
          <w:sz w:val="14"/>
          <w:szCs w:val="14"/>
          <w:color w:val="auto"/>
        </w:rPr>
        <w:t>Quantitative</w:t>
      </w:r>
    </w:p>
    <w:p>
      <w:pPr>
        <w:spacing w:after="0"/>
        <w:rPr>
          <w:sz w:val="20"/>
          <w:szCs w:val="20"/>
          <w:color w:val="auto"/>
        </w:rPr>
      </w:pPr>
      <w:r>
        <w:rPr>
          <w:rFonts w:ascii="Arial" w:cs="Arial" w:eastAsia="Arial" w:hAnsi="Arial"/>
          <w:sz w:val="14"/>
          <w:szCs w:val="14"/>
          <w:color w:val="auto"/>
        </w:rPr>
        <w:t>Real Estate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Core Fixed Income</w:t>
      </w:r>
    </w:p>
    <w:p>
      <w:pPr>
        <w:spacing w:after="0" w:line="221" w:lineRule="auto"/>
        <w:rPr>
          <w:sz w:val="20"/>
          <w:szCs w:val="20"/>
          <w:color w:val="auto"/>
        </w:rPr>
      </w:pPr>
      <w:r>
        <w:rPr>
          <w:rFonts w:ascii="Arial" w:cs="Arial" w:eastAsia="Arial" w:hAnsi="Arial"/>
          <w:sz w:val="14"/>
          <w:szCs w:val="14"/>
          <w:color w:val="auto"/>
        </w:rPr>
        <w:t>High Yield</w:t>
      </w:r>
    </w:p>
    <w:p>
      <w:pPr>
        <w:spacing w:after="0" w:line="222"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Duration Overlay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Fixed Income</w:t>
      </w:r>
    </w:p>
    <w:p>
      <w:pPr>
        <w:spacing w:after="0" w:line="221"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Corporate Bonds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w:t>
      </w:r>
    </w:p>
    <w:p>
      <w:pPr>
        <w:spacing w:after="0"/>
        <w:rPr>
          <w:sz w:val="20"/>
          <w:szCs w:val="20"/>
          <w:color w:val="auto"/>
        </w:rPr>
      </w:pPr>
      <w:r>
        <w:rPr>
          <w:rFonts w:ascii="Arial" w:cs="Arial" w:eastAsia="Arial" w:hAnsi="Arial"/>
          <w:sz w:val="14"/>
          <w:szCs w:val="14"/>
          <w:color w:val="auto"/>
        </w:rPr>
        <w:t>Long/Short Equity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Local</w:t>
            </w:r>
          </w:p>
        </w:tc>
        <w:tc>
          <w:tcPr>
            <w:tcW w:w="7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w w:val="90"/>
              </w:rPr>
              <w:t>Emerging Markets</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151" w:lineRule="exact"/>
              <w:rPr>
                <w:sz w:val="20"/>
                <w:szCs w:val="20"/>
                <w:color w:val="auto"/>
              </w:rPr>
            </w:pPr>
            <w:r>
              <w:rPr>
                <w:rFonts w:ascii="Arial" w:cs="Arial" w:eastAsia="Arial" w:hAnsi="Arial"/>
                <w:sz w:val="14"/>
                <w:szCs w:val="14"/>
                <w:b w:val="1"/>
                <w:bCs w:val="1"/>
                <w:i w:val="1"/>
                <w:iCs w:val="1"/>
                <w:color w:val="auto"/>
              </w:rPr>
              <w:t>U.S.</w:t>
            </w:r>
          </w:p>
        </w:tc>
        <w:tc>
          <w:tcPr>
            <w:tcW w:w="3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920" w:type="dxa"/>
            <w:vAlign w:val="bottom"/>
            <w:gridSpan w:val="2"/>
          </w:tcPr>
          <w:p>
            <w:pPr>
              <w:ind w:left="50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Large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Mid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Small/Mid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Small 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Multi-Capitalization</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r>
        <w:trPr>
          <w:trHeight w:val="172"/>
        </w:trPr>
        <w:tc>
          <w:tcPr>
            <w:tcW w:w="21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b w:val="1"/>
                <w:bCs w:val="1"/>
                <w:i w:val="1"/>
                <w:iCs w:val="1"/>
                <w:color w:val="auto"/>
              </w:rPr>
              <w:t>Latin America</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Other</w:t>
            </w: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Latin America</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U.K. (Large Capitalization)</w:t>
            </w: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b w:val="1"/>
                <w:bCs w:val="1"/>
                <w:i w:val="1"/>
                <w:iCs w:val="1"/>
                <w:color w:val="auto"/>
                <w:w w:val="86"/>
              </w:rPr>
              <w:t>Middle East North Africa</w:t>
            </w:r>
          </w:p>
        </w:tc>
        <w:tc>
          <w:tcPr>
            <w:tcW w:w="0" w:type="dxa"/>
            <w:vAlign w:val="bottom"/>
          </w:tcPr>
          <w:p>
            <w:pPr>
              <w:spacing w:after="0"/>
              <w:rPr>
                <w:sz w:val="1"/>
                <w:szCs w:val="1"/>
                <w:color w:val="auto"/>
              </w:rPr>
            </w:pPr>
          </w:p>
        </w:tc>
      </w:tr>
      <w:tr>
        <w:trPr>
          <w:trHeight w:val="81"/>
        </w:trPr>
        <w:tc>
          <w:tcPr>
            <w:tcW w:w="21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(Small Capitalization)</w:t>
            </w:r>
          </w:p>
        </w:tc>
        <w:tc>
          <w:tcPr>
            <w:tcW w:w="1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00" w:type="dxa"/>
            <w:vAlign w:val="bottom"/>
            <w:gridSpan w:val="3"/>
            <w:vMerge w:val="continue"/>
          </w:tcPr>
          <w:p>
            <w:pPr>
              <w:spacing w:after="0"/>
              <w:rPr>
                <w:sz w:val="5"/>
                <w:szCs w:val="5"/>
                <w:color w:val="auto"/>
              </w:rPr>
            </w:pP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color w:val="auto"/>
                <w:w w:val="92"/>
              </w:rPr>
              <w:t>Middle East North Africa</w:t>
            </w:r>
          </w:p>
        </w:tc>
        <w:tc>
          <w:tcPr>
            <w:tcW w:w="0" w:type="dxa"/>
            <w:vAlign w:val="bottom"/>
          </w:tcPr>
          <w:p>
            <w:pPr>
              <w:spacing w:after="0"/>
              <w:rPr>
                <w:sz w:val="1"/>
                <w:szCs w:val="1"/>
                <w:color w:val="auto"/>
              </w:rPr>
            </w:pPr>
          </w:p>
        </w:tc>
      </w:tr>
      <w:tr>
        <w:trPr>
          <w:trHeight w:val="105"/>
        </w:trPr>
        <w:tc>
          <w:tcPr>
            <w:tcW w:w="21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Quantitative</w:t>
            </w: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10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Australia</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France (Large Capitalization)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France (Small Capitalization)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Japan</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00" w:type="dxa"/>
            <w:vAlign w:val="bottom"/>
            <w:gridSpan w:val="3"/>
          </w:tcPr>
          <w:p>
            <w:pPr>
              <w:spacing w:after="0"/>
              <w:rPr>
                <w:sz w:val="20"/>
                <w:szCs w:val="20"/>
                <w:color w:val="auto"/>
              </w:rPr>
            </w:pPr>
            <w:r>
              <w:rPr>
                <w:rFonts w:ascii="Arial" w:cs="Arial" w:eastAsia="Arial" w:hAnsi="Arial"/>
                <w:sz w:val="14"/>
                <w:szCs w:val="14"/>
                <w:color w:val="auto"/>
              </w:rPr>
              <w:t>Korea</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194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Core Fixed Income</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rPr>
              <w:t>Emerging Debt</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High Yield</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w w:val="85"/>
              </w:rPr>
              <w:t>Emerging Corporates</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Short Duration</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Municipals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Cash Management</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Non-U.S.</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U.K. Fixed Income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182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194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U.S. (Long/Short)</w:t>
            </w:r>
          </w:p>
        </w:tc>
        <w:tc>
          <w:tcPr>
            <w:tcW w:w="1940" w:type="dxa"/>
            <w:vAlign w:val="bottom"/>
          </w:tcPr>
          <w:p>
            <w:pPr>
              <w:ind w:left="780"/>
              <w:spacing w:after="0" w:line="149" w:lineRule="exact"/>
              <w:rPr>
                <w:sz w:val="20"/>
                <w:szCs w:val="20"/>
                <w:color w:val="auto"/>
              </w:rPr>
            </w:pPr>
            <w:r>
              <w:rPr>
                <w:rFonts w:ascii="Arial" w:cs="Arial" w:eastAsia="Arial" w:hAnsi="Arial"/>
                <w:sz w:val="14"/>
                <w:szCs w:val="14"/>
                <w:color w:val="auto"/>
              </w:rPr>
              <w:t>Emerging Income</w:t>
            </w:r>
          </w:p>
        </w:tc>
        <w:tc>
          <w:tcPr>
            <w:tcW w:w="0" w:type="dxa"/>
            <w:vAlign w:val="bottom"/>
          </w:tcPr>
          <w:p>
            <w:pPr>
              <w:spacing w:after="0"/>
              <w:rPr>
                <w:sz w:val="1"/>
                <w:szCs w:val="1"/>
                <w:color w:val="auto"/>
              </w:rPr>
            </w:pPr>
          </w:p>
        </w:tc>
      </w:tr>
      <w:tr>
        <w:trPr>
          <w:trHeight w:val="172"/>
        </w:trPr>
        <w:tc>
          <w:tcPr>
            <w:tcW w:w="1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Non-U.S.</w:t>
            </w:r>
          </w:p>
        </w:tc>
        <w:tc>
          <w:tcPr>
            <w:tcW w:w="1940" w:type="dxa"/>
            <w:vAlign w:val="bottom"/>
          </w:tcPr>
          <w:p>
            <w:pPr>
              <w:ind w:left="780"/>
              <w:spacing w:after="0"/>
              <w:rPr>
                <w:sz w:val="20"/>
                <w:szCs w:val="20"/>
                <w:color w:val="auto"/>
              </w:rPr>
            </w:pPr>
            <w:r>
              <w:rPr>
                <w:rFonts w:ascii="Arial" w:cs="Arial" w:eastAsia="Arial" w:hAnsi="Arial"/>
                <w:sz w:val="14"/>
                <w:szCs w:val="14"/>
                <w:color w:val="auto"/>
              </w:rPr>
              <w:t>Emerging Debt</w:t>
            </w:r>
          </w:p>
        </w:tc>
        <w:tc>
          <w:tcPr>
            <w:tcW w:w="0" w:type="dxa"/>
            <w:vAlign w:val="bottom"/>
          </w:tcPr>
          <w:p>
            <w:pPr>
              <w:spacing w:after="0"/>
              <w:rPr>
                <w:sz w:val="1"/>
                <w:szCs w:val="1"/>
                <w:color w:val="auto"/>
              </w:rPr>
            </w:pPr>
          </w:p>
        </w:tc>
      </w:tr>
      <w:tr>
        <w:trPr>
          <w:trHeight w:val="57"/>
        </w:trPr>
        <w:tc>
          <w:tcPr>
            <w:tcW w:w="182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Japan (Long/Short)</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67" w:lineRule="exact"/>
        <w:rPr>
          <w:sz w:val="20"/>
          <w:szCs w:val="20"/>
          <w:color w:val="auto"/>
        </w:rPr>
      </w:pPr>
    </w:p>
    <w:p>
      <w:pPr>
        <w:sectPr>
          <w:pgSz w:w="11900" w:h="16838" w:orient="portrait"/>
          <w:cols w:equalWidth="0" w:num="3">
            <w:col w:w="4000" w:space="720"/>
            <w:col w:w="1880" w:space="520"/>
            <w:col w:w="4280"/>
          </w:cols>
          <w:pgMar w:left="240" w:top="459" w:right="259" w:bottom="1440" w:gutter="0" w:footer="0" w:header="0"/>
          <w:type w:val="continuous"/>
        </w:sect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Boston, Chicago, Dubai, Frankfurt, Hamburg, Hong Kong, London, Manama, Milan, Montreal,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and an equity team focused on Middle East and North African markets;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Dubai, Singapore and Dublin.</w:t>
      </w:r>
    </w:p>
    <w:p>
      <w:pPr>
        <w:spacing w:after="0" w:line="19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2015, Edgewater had approximately $1 billion of AUM and unfunded fee-earning commitments.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Historically, Lazard also has made selected investments with its own capital, often alongside capital of qualified institutional and individual investors in connection with Lazard’s selected alternative investments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2015, we employed 2,610 people, which included 139 managing directors and 768 other professionals in our Financial Advisory segment and 90 managing directors and 405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Centerview Partners LLC, Citigroup, Credit Suisse, Deutsche Bank, Evercore Partners, Goldman Sachs, Greenhill, JPMorgan Chase, Morgan Stanley, Rothschild and UBS. In our Restructuring practice, we believe our primary competitors are Centerview Partners, Evercore Partners, Houlihan Lokey, PJT Partners, Moelis &amp; Company and Rothschild.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Schroders, Alliance Bernstein, Capital Management &amp; Research, Fidelity, Franklin Templeton, Invesco, JP Morgan Asset Management, Lord Abbett, MFS, Neuberger Berman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position. They also may have the ability to support investment banking and securities products with commercial banking, insurance and other financial services revenue in an effort to gain market share, which could result in pricing pressure in our businesses.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a subsidiary of Goldsmith, Agio, Helms &amp; Lynner, LLC (“GAHL”), is registered as a broker-dealer with the SEC and FINRA, and as a broker-dealer in various U.S. states and territories.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4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the Dubai Financial Services Authority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19, 2016,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57</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56</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55</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53</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49</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w:t>
      </w:r>
    </w:p>
    <w:p>
      <w:pPr>
        <w:ind w:right="60"/>
        <w:spacing w:after="0" w:line="255" w:lineRule="auto"/>
        <w:rPr>
          <w:sz w:val="20"/>
          <w:szCs w:val="20"/>
          <w:color w:val="auto"/>
        </w:rPr>
      </w:pPr>
      <w:r>
        <w:rPr>
          <w:rFonts w:ascii="Arial" w:cs="Arial" w:eastAsia="Arial" w:hAnsi="Arial"/>
          <w:sz w:val="18"/>
          <w:szCs w:val="18"/>
          <w:color w:val="auto"/>
        </w:rPr>
        <w:t xml:space="preserve">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Copies of these reports and other information can also be inspected at the offices of the New York Stock Exchange, Inc., 20 Broad Street,</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New York 10005, U.S.A.</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and the investor relations SEC filings section of our public website is located at </w:t>
      </w:r>
      <w:r>
        <w:rPr>
          <w:rFonts w:ascii="Arial" w:cs="Arial" w:eastAsia="Arial" w:hAnsi="Arial"/>
          <w:sz w:val="18"/>
          <w:szCs w:val="18"/>
          <w:i w:val="1"/>
          <w:iCs w:val="1"/>
          <w:color w:val="auto"/>
        </w:rPr>
        <w:t xml:space="preserve">http://www.lazard.com/InvestorRelations/SEC-Filings.aspx. </w:t>
      </w:r>
      <w:r>
        <w:rPr>
          <w:rFonts w:ascii="Arial" w:cs="Arial" w:eastAsia="Arial" w:hAnsi="Arial"/>
          <w:sz w:val="18"/>
          <w:szCs w:val="18"/>
          <w:color w:val="auto"/>
        </w:rPr>
        <w:t>We will make available free of charge, on or through the investor relations section of our website,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134"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recent years, regional and global capital markets and economies have experienced periods of significant disruption and volatility. If these conditions continue or if current conditions materially worsen, our business may be adversely affected, which may have a material impact on our business and results of operations.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6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11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quarterly fluctuations, it may be difficult for us to achieve steady earnings growth on a quarterly basis.</w:t>
      </w:r>
    </w:p>
    <w:p>
      <w:pPr>
        <w:spacing w:after="0" w:line="165"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or other individual reasons, some of which may be beyond our control. If any of our managing directors and other key professional employees were to retire, join an existing competitor, form a competing company or otherwise leave us,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2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increased levels of Lazard Ltd’s Class A common stock, par value $0.01 per share (“Class A common stock”) issued to our employees upon vesting of restricted stock units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revenue and earnings.</w:t>
      </w:r>
    </w:p>
    <w:p>
      <w:pPr>
        <w:spacing w:after="0" w:line="126"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2015, Financial Advisory services accounted for approximately 54%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0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1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although the aggregate value of debt defaults has recently been low, consistent with the last several years.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through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117"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Our investment style in our Asset Management business, including the mix of asset classes and investment strategies comprising our AUM, may underperform other investment approaches, which may result in significant client or asset departures, or a reduction in AUM.</w:t>
      </w:r>
    </w:p>
    <w:p>
      <w:pPr>
        <w:spacing w:after="0" w:line="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Trends toward passively managed investment strategies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2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2015, we received approximately 40% of our consolidated net revenue in other currencies, predominantly in euros, British pounds and Australian dollars.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2015, AUM with foreign currency exposure represented approximately 72% of our total AUM.</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members’ equity from currency translation adjustments and Note 2 of Notes to Consolidated Financial Statements for additional information regarding the impact on operating results from currency transaction adjustments.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38"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2015, our Asset Management business obtained research and other services through third-party soft dollar arrangements, the total cost of which we estimate to be approximately $24 million. If the use of soft dollars were to be limited, we would have to bear some of these costs. In addition, new regulations regarding the management of hedge funds, UCITs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1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38" w:lineRule="exact"/>
        <w:rPr>
          <w:sz w:val="20"/>
          <w:szCs w:val="20"/>
          <w:color w:val="auto"/>
        </w:rPr>
      </w:pPr>
    </w:p>
    <w:p>
      <w:pPr>
        <w:ind w:right="300" w:firstLine="456"/>
        <w:spacing w:after="0" w:line="378" w:lineRule="auto"/>
        <w:rPr>
          <w:sz w:val="20"/>
          <w:szCs w:val="20"/>
          <w:color w:val="auto"/>
        </w:rPr>
      </w:pPr>
      <w:r>
        <w:rPr>
          <w:rFonts w:ascii="Arial" w:cs="Arial" w:eastAsia="Arial" w:hAnsi="Arial"/>
          <w:sz w:val="15"/>
          <w:szCs w:val="15"/>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20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92"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2015.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114"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For example, during 2009, we established a private equity business with Edgewater. During 2011, we added a global real estate investment team. During 2012, we integrated our Brazilian operations based in São Paulo. During 2014, we acquired certain convertible securities sales and trading assets and we opened an asset management office in Dubai. We expect to continue to explore acquisitions, growth strategies and partnership or strategic alliance opportunities that we believe to be attractive.</w:t>
      </w:r>
    </w:p>
    <w:p>
      <w:pPr>
        <w:spacing w:after="0" w:line="144"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Acquisitions, growth strategies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that we pursue business opportunities outside of the United States, including through acquisitions, joint ventures or other geographic expansion of our existing businesses, we may become subject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and results of operations.</w:t>
      </w:r>
    </w:p>
    <w:p>
      <w:pPr>
        <w:spacing w:after="0" w:line="137"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December 31, 2015, Lazard Group and its subsidiaries had approximately $1.0 billion in debt (including capital lease obligations) outstanding, of which $98 million, $500 million and $400 million relate to Lazard Group senior notes that mature in 2017, 2020 and 2025,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114"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On February 9, 2016, the Executive Branch submitted its 2017 budget proposals to Congress. The 2017 budget submission included several items that could generate additional tax revenue, including proposals to limit the deduction of certain related party interest and interest attributable to certain classes of foreign source income.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actual or potential proposals. If they are enacted, however, some of these proposals may increase Lazard’s effective tax rate during future periods.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2015 relating to our periodic or current reports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2015. As a general matter, one or both of our Financial Advisory and Asset Management segments (as well as our Corporate segment) uses the following properties. Our London and other offices sublease 71,207 and 21,000 square feet, respectively, to third parties. We remain fully liable for the subleased space to the extent that the subtenants fail to perform their obligations under the subleases for any reason.</w:t>
      </w:r>
    </w:p>
    <w:p>
      <w:pPr>
        <w:sectPr>
          <w:pgSz w:w="11900" w:h="16838" w:orient="portrait"/>
          <w:cols w:equalWidth="0" w:num="1">
            <w:col w:w="11400"/>
          </w:cols>
          <w:pgMar w:left="240" w:top="459" w:right="25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413,375 square feet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Other North America</w:t>
            </w:r>
          </w:p>
        </w:tc>
        <w:tc>
          <w:tcPr>
            <w:tcW w:w="2180" w:type="dxa"/>
            <w:vAlign w:val="bottom"/>
          </w:tcPr>
          <w:p>
            <w:pPr>
              <w:spacing w:after="0"/>
              <w:rPr>
                <w:sz w:val="20"/>
                <w:szCs w:val="20"/>
                <w:color w:val="auto"/>
              </w:rPr>
            </w:pPr>
            <w:r>
              <w:rPr>
                <w:rFonts w:ascii="Arial" w:cs="Arial" w:eastAsia="Arial" w:hAnsi="Arial"/>
                <w:sz w:val="18"/>
                <w:szCs w:val="18"/>
                <w:color w:val="auto"/>
                <w:w w:val="90"/>
              </w:rPr>
              <w:t>163,601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Paris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151,310 square feet of 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142,371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Other Europe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107,709 square feet of leased</w:t>
            </w:r>
          </w:p>
        </w:tc>
        <w:tc>
          <w:tcPr>
            <w:tcW w:w="0" w:type="dxa"/>
            <w:vAlign w:val="bottom"/>
          </w:tcPr>
          <w:p>
            <w:pPr>
              <w:spacing w:after="0"/>
              <w:rPr>
                <w:sz w:val="1"/>
                <w:szCs w:val="1"/>
                <w:color w:val="auto"/>
              </w:rPr>
            </w:pPr>
          </w:p>
        </w:tc>
      </w:tr>
      <w:tr>
        <w:trPr>
          <w:trHeight w:val="222"/>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Asia, Australia and</w:t>
            </w: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0"/>
        </w:trPr>
        <w:tc>
          <w:tcPr>
            <w:tcW w:w="3100" w:type="dxa"/>
            <w:vAlign w:val="bottom"/>
            <w:gridSpan w:val="4"/>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89,826 square feet of leased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2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Legal Proceedings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764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Principal office located at 30 Rockefeller Plaza</w:t>
      </w:r>
    </w:p>
    <w:p>
      <w:pPr>
        <w:spacing w:after="0" w:line="333" w:lineRule="exact"/>
        <w:rPr>
          <w:sz w:val="20"/>
          <w:szCs w:val="20"/>
          <w:color w:val="auto"/>
        </w:rPr>
      </w:pPr>
    </w:p>
    <w:p>
      <w:pPr>
        <w:ind w:right="60"/>
        <w:spacing w:after="0" w:line="393" w:lineRule="auto"/>
        <w:rPr>
          <w:sz w:val="20"/>
          <w:szCs w:val="20"/>
          <w:color w:val="auto"/>
        </w:rPr>
      </w:pPr>
      <w:r>
        <w:rPr>
          <w:rFonts w:ascii="Arial" w:cs="Arial" w:eastAsia="Arial" w:hAnsi="Arial"/>
          <w:sz w:val="18"/>
          <w:szCs w:val="18"/>
          <w:color w:val="auto"/>
        </w:rPr>
        <w:t>Boston, Charlotte, Chicago, Houston, Los Angeles, Minneapolis and San Francisco Principal office located at 121 Boulevard Haussmann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Principal office located at 50 Stratton Street</w:t>
      </w:r>
    </w:p>
    <w:p>
      <w:pPr>
        <w:spacing w:after="0" w:line="225" w:lineRule="exact"/>
        <w:rPr>
          <w:sz w:val="20"/>
          <w:szCs w:val="20"/>
          <w:color w:val="auto"/>
        </w:rPr>
      </w:pPr>
    </w:p>
    <w:p>
      <w:pPr>
        <w:ind w:left="200" w:right="540" w:hanging="215"/>
        <w:spacing w:after="0" w:line="268" w:lineRule="auto"/>
        <w:rPr>
          <w:sz w:val="20"/>
          <w:szCs w:val="20"/>
          <w:color w:val="auto"/>
        </w:rPr>
      </w:pPr>
      <w:r>
        <w:rPr>
          <w:rFonts w:ascii="Arial" w:cs="Arial" w:eastAsia="Arial" w:hAnsi="Arial"/>
          <w:sz w:val="18"/>
          <w:szCs w:val="18"/>
          <w:color w:val="auto"/>
        </w:rPr>
        <w:t>Amsterdam, Bordeaux, Brussels, Frankfurt, Hamburg, Lyon, Madrid, Milan, Nantes, Stockholm and Zurich</w:t>
      </w:r>
    </w:p>
    <w:p>
      <w:pPr>
        <w:spacing w:after="0" w:line="321" w:lineRule="exact"/>
        <w:rPr>
          <w:sz w:val="20"/>
          <w:szCs w:val="20"/>
          <w:color w:val="auto"/>
        </w:rPr>
      </w:pPr>
    </w:p>
    <w:p>
      <w:pPr>
        <w:ind w:left="200" w:right="400" w:hanging="215"/>
        <w:spacing w:after="0" w:line="268" w:lineRule="auto"/>
        <w:rPr>
          <w:sz w:val="20"/>
          <w:szCs w:val="20"/>
          <w:color w:val="auto"/>
        </w:rPr>
      </w:pPr>
      <w:r>
        <w:rPr>
          <w:rFonts w:ascii="Arial" w:cs="Arial" w:eastAsia="Arial" w:hAnsi="Arial"/>
          <w:sz w:val="18"/>
          <w:szCs w:val="18"/>
          <w:color w:val="auto"/>
        </w:rPr>
        <w:t>Beijing, Dubai, Hong Kong, Manama, Melbourne, Mumbai, Perth, Riyadh, So Paulo, Seoul, Singapore, Sydney and Tokyo</w:t>
      </w:r>
    </w:p>
    <w:p>
      <w:pPr>
        <w:spacing w:after="0" w:line="564" w:lineRule="exact"/>
        <w:rPr>
          <w:sz w:val="20"/>
          <w:szCs w:val="20"/>
          <w:color w:val="auto"/>
        </w:rPr>
      </w:pPr>
    </w:p>
    <w:p>
      <w:pPr>
        <w:sectPr>
          <w:pgSz w:w="11900" w:h="16838" w:orient="portrait"/>
          <w:cols w:equalWidth="0" w:num="2">
            <w:col w:w="5280" w:space="220"/>
            <w:col w:w="5900"/>
          </w:cols>
          <w:pgMar w:left="240" w:top="459" w:right="25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2015, all of our common membership interests were held by whollyowned subsidiaries of Lazard Ltd. Our co-managing member interests were held by two indirect wholly-owned subsidiaries of Lazard Ltd and our profit participation interests were held by various managing directors. There are no public trading markets for any of these interests.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provisions of its Amended and Restated Operating Agreement, Lazard Group allocates and distributes to its members a substantial portion of its distributable profits in installments, as soon as practicable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after the end of each fiscal year. Such installment distributions usually begin in February.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 During the years ended December 31, 2015, 2014 and 2013, Lazard Group distributed approximately $129.8 million, $146.2 million and $121.6 million, respectively, to the subsidiaries of Lazard Ltd. Also, during the years ended December 31, 2014 and 2013, Lazard Group distributed approximately $0.2 million and $0.9 million, respectively, to LAZ-MD Holdings. In addition, during the years ended December 31, 2014 and 2013, Lazard Group made tax distributions of approximately $175.9 million and $3.0 million, respectively, including approximately $174.3 million and $2.9 million, respectively, paid to subsidiaries of Lazard Ltd, and approximately $1.6 million and $0.1 million, respectively, paid to LAZ-MD Holdings.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17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consolidated statements of financial condition and operations data as of and for each of the years in the five-year period ended December 31, 2015 have been derived from Lazard Group’s consolidated financial statements. The audited consolidated statements of financial condition as of December 31, 2015 and 2014 and audited consolidated statements of operations for each of the years in the three year period ended December 31, 2015 are included in this Form 10-K. The audited consolidated statements of financial condition as of December 31, 2013, 2012 and 2011, and the audited consolidated statements of operations for the years ended December 31, 2012 and 2011, are not included in this Form 10-K. Historical results are not necessarily indicative of results for any future period.</w:t>
      </w:r>
    </w:p>
    <w:p>
      <w:pPr>
        <w:spacing w:after="0" w:line="10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gridSpan w:val="5"/>
          </w:tcPr>
          <w:p>
            <w:pPr>
              <w:jc w:val="center"/>
              <w:ind w:right="9"/>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1,279,628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980,577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1,049,090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992,107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1,111,105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1,134,595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1,039,130</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896,260</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897,401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(40,457)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(40,593)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(35,633)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(37,220)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(55,947)</w:t>
            </w:r>
          </w:p>
        </w:tc>
        <w:tc>
          <w:tcPr>
            <w:tcW w:w="0" w:type="dxa"/>
            <w:vAlign w:val="bottom"/>
          </w:tcPr>
          <w:p>
            <w:pPr>
              <w:spacing w:after="0"/>
              <w:rPr>
                <w:sz w:val="1"/>
                <w:szCs w:val="1"/>
                <w:color w:val="auto"/>
              </w:rPr>
            </w:pPr>
          </w:p>
        </w:tc>
      </w:tr>
      <w:tr>
        <w:trPr>
          <w:trHeight w:val="163"/>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2,350,276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2,300,736</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1,984,074</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1,908,130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1,833,561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1,319,620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1,278,479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1,351,076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1,168,909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499,811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446,211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486,586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435,461</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422,861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1,819,431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1,759,761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1,765,065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1,786,537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1,591,770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530,845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540,975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219,009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121,593</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241,791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449,297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463,160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186,767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90,971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214,383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Net Income Attributable to Lazard Group</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gridSpan w:val="3"/>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442,738</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457,004</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183,063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87,609</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210,705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3,398,046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3,170,680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3,093,988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3,048,380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1,007,378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1,060,365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1,064,184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1,094,713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Group Members’ Equity</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649,759</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431,546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469,472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453,179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614,344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Members’ Equity</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702,900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494,139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536,126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529,087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718,267</w:t>
            </w: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186,380,000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197,103,000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186,924,000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167,060,000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141,039,000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195,987,000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196,037,000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173,702,000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155,549,000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152,072,000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2,610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2,513</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gridSpan w:val="2"/>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3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1,104,146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1,010,830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768,790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Strategic Advisory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1,173,777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1,091,973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847,706</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866,331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794,364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Restructuring</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105,851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114,761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132,871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182,759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Advisory Net Revenue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1,279,628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980,577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1,049,090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992,107</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1,000,018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1,018,772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903,956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51,866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78,342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43,661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86,012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63,957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56,832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ind w:left="260"/>
              <w:spacing w:after="0" w:line="155" w:lineRule="exact"/>
              <w:rPr>
                <w:sz w:val="20"/>
                <w:szCs w:val="20"/>
                <w:color w:val="auto"/>
              </w:rPr>
            </w:pPr>
            <w:r>
              <w:rPr>
                <w:rFonts w:ascii="Arial" w:cs="Arial" w:eastAsia="Arial" w:hAnsi="Arial"/>
                <w:sz w:val="14"/>
                <w:szCs w:val="14"/>
                <w:color w:val="auto"/>
              </w:rPr>
              <w:t>Asset Management Net Revenue</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1,111,105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1,134,595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1,039,130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896,260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897,401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“Corporate” includes interest expense (net of interest income), investment income (losses) from certain investments and net revenue earned by LFB through its commercial banking operations.</w:t>
      </w:r>
    </w:p>
    <w:p>
      <w:pPr>
        <w:spacing w:after="0" w:line="22" w:lineRule="exact"/>
        <w:rPr>
          <w:rFonts w:ascii="Arial" w:cs="Arial" w:eastAsia="Arial" w:hAnsi="Arial"/>
          <w:sz w:val="12"/>
          <w:szCs w:val="12"/>
          <w:color w:val="auto"/>
        </w:rPr>
      </w:pPr>
    </w:p>
    <w:p>
      <w:pPr>
        <w:ind w:left="34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and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w:t>
      </w:r>
    </w:p>
    <w:p>
      <w:pPr>
        <w:spacing w:after="0" w:line="1" w:lineRule="exact"/>
        <w:rPr>
          <w:rFonts w:ascii="Arial" w:cs="Arial" w:eastAsia="Arial" w:hAnsi="Arial"/>
          <w:sz w:val="12"/>
          <w:szCs w:val="12"/>
          <w:color w:val="auto"/>
        </w:rPr>
      </w:pPr>
    </w:p>
    <w:p>
      <w:pPr>
        <w:jc w:val="both"/>
        <w:ind w:left="340" w:right="10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(i) in 2015, $60,219 relating to the redemption of a significant portion of the Company’s 6.85% senior notes maturing on June 15, 2017, (ii) in 2013, $13,304 relating to the cost saving initiatives announced by the Company in October 2012 and $54,087 related to the refinancing of the 7.125% senior notes maturing on May 15, 2015; and (iii) in 2012, non-compensation costs of $2,905 recorded in the first quarter associated with staff reductions and $2,589 recorded in the fourth quarter relating to the cost saving initiatives announced by the Company in October 2012.</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aggregate amount reflected in the Company’s consolidated statements of financial condition relating to senior debt and capital lease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12 of Notes to Consolidated Financial Statements),</w:t>
      </w:r>
    </w:p>
    <w:p>
      <w:pPr>
        <w:spacing w:after="0" w:line="1" w:lineRule="exact"/>
        <w:rPr>
          <w:sz w:val="20"/>
          <w:szCs w:val="20"/>
          <w:color w:val="auto"/>
        </w:rPr>
      </w:pPr>
    </w:p>
    <w:p>
      <w:pPr>
        <w:ind w:right="280" w:firstLine="8"/>
        <w:spacing w:after="0" w:line="323" w:lineRule="auto"/>
        <w:tabs>
          <w:tab w:leader="none" w:pos="2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Equity market indices for developed markets at December 31, 2015 were mixed, with European indices generally increasing and U.S. indices generally decreasing, as compared to such indices at December 31, 2014. Emerging markets equity indices at December 31, 2015 decreased as compared to</w:t>
      </w:r>
    </w:p>
    <w:p>
      <w:pPr>
        <w:ind w:right="40"/>
        <w:spacing w:after="0" w:line="252" w:lineRule="auto"/>
        <w:rPr>
          <w:sz w:val="20"/>
          <w:szCs w:val="20"/>
          <w:color w:val="auto"/>
        </w:rPr>
      </w:pPr>
      <w:r>
        <w:rPr>
          <w:rFonts w:ascii="Arial" w:cs="Arial" w:eastAsia="Arial" w:hAnsi="Arial"/>
          <w:sz w:val="18"/>
          <w:szCs w:val="18"/>
          <w:color w:val="auto"/>
        </w:rPr>
        <w:t>December 31, 2014. In the global M&amp;A markets during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completed and announced transactions (excluding the subset of completed and announced transactions involving values greater than $500 million) decreased. During 2015, global restructuring activity remained low, consistent with the last several years.</w:t>
      </w:r>
    </w:p>
    <w:p>
      <w:pPr>
        <w:spacing w:after="0" w:line="14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Entering 2016, volatile market conditions continue.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55"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The fundamentals for continued M&amp;A activity appear to remain in place. Demand continues for expert, independent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other economies.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hanging="345"/>
        <w:spacing w:after="0" w:line="288"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In the short to intermediate term, we expect most investor demand will come from defined benefit and defined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U.S. Long/Short Equity, European Long/Short Equity, Quantitative Equity and Middle East North African Equities.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completed transactions with values greater than $500 million, increased in 2015 as compared to 2014, while the number of all completed transactions, excluding completed transactions with values greater than $500 million, decreased over the same period. With respect to announced M&amp;A transactions, the value of all transactions including announced transactions with values greater than $500 million, increased in 2015 as compared to 2014, while the number of all announced transactions decreased over the same period.</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2014</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3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3,917</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3,042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3720" w:type="dxa"/>
            <w:vAlign w:val="bottom"/>
          </w:tcPr>
          <w:p>
            <w:pPr>
              <w:ind w:left="880"/>
              <w:spacing w:after="0"/>
              <w:rPr>
                <w:sz w:val="20"/>
                <w:szCs w:val="20"/>
                <w:color w:val="auto"/>
              </w:rPr>
            </w:pPr>
            <w:r>
              <w:rPr>
                <w:rFonts w:ascii="Arial" w:cs="Arial" w:eastAsia="Arial" w:hAnsi="Arial"/>
                <w:sz w:val="18"/>
                <w:szCs w:val="18"/>
                <w:color w:val="auto"/>
              </w:rPr>
              <w:t>Number</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37,182</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40,663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20" w:type="dxa"/>
            <w:vAlign w:val="bottom"/>
          </w:tcPr>
          <w:p>
            <w:pPr>
              <w:ind w:left="880"/>
              <w:spacing w:after="0"/>
              <w:rPr>
                <w:sz w:val="20"/>
                <w:szCs w:val="20"/>
                <w:color w:val="auto"/>
              </w:rPr>
            </w:pPr>
            <w:r>
              <w:rPr>
                <w:rFonts w:ascii="Arial" w:cs="Arial" w:eastAsia="Arial" w:hAnsi="Arial"/>
                <w:sz w:val="18"/>
                <w:szCs w:val="18"/>
                <w:color w:val="auto"/>
              </w:rPr>
              <w:t>Value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3,053</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2,165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1,174</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1,094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20" w:type="dxa"/>
            <w:vAlign w:val="bottom"/>
          </w:tcPr>
          <w:p>
            <w:pPr>
              <w:ind w:left="880"/>
              <w:spacing w:after="0"/>
              <w:rPr>
                <w:sz w:val="20"/>
                <w:szCs w:val="20"/>
                <w:color w:val="auto"/>
              </w:rPr>
            </w:pPr>
            <w:r>
              <w:rPr>
                <w:rFonts w:ascii="Arial" w:cs="Arial" w:eastAsia="Arial" w:hAnsi="Arial"/>
                <w:sz w:val="18"/>
                <w:szCs w:val="18"/>
                <w:color w:val="auto"/>
              </w:rPr>
              <w:t>Value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5,045</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3,666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39,465</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41,246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4,057</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2,750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22"/>
        </w:trPr>
        <w:tc>
          <w:tcPr>
            <w:tcW w:w="3720" w:type="dxa"/>
            <w:vAlign w:val="bottom"/>
          </w:tcPr>
          <w:p>
            <w:pPr>
              <w:ind w:left="880"/>
              <w:spacing w:after="0"/>
              <w:rPr>
                <w:sz w:val="20"/>
                <w:szCs w:val="20"/>
                <w:color w:val="auto"/>
              </w:rPr>
            </w:pPr>
            <w:r>
              <w:rPr>
                <w:rFonts w:ascii="Arial" w:cs="Arial" w:eastAsia="Arial" w:hAnsi="Arial"/>
                <w:sz w:val="18"/>
                <w:szCs w:val="18"/>
                <w:color w:val="auto"/>
              </w:rPr>
              <w:t>Number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1,344</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1,185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356"/>
        </w:trPr>
        <w:tc>
          <w:tcPr>
            <w:tcW w:w="3720" w:type="dxa"/>
            <w:vAlign w:val="bottom"/>
          </w:tcPr>
          <w:p>
            <w:pPr>
              <w:spacing w:after="0"/>
              <w:rPr>
                <w:sz w:val="24"/>
                <w:szCs w:val="24"/>
                <w:color w:val="auto"/>
              </w:rPr>
            </w:pPr>
          </w:p>
        </w:tc>
        <w:tc>
          <w:tcPr>
            <w:tcW w:w="2060" w:type="dxa"/>
            <w:vAlign w:val="bottom"/>
          </w:tcPr>
          <w:p>
            <w:pPr>
              <w:jc w:val="right"/>
              <w:ind w:right="8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8, 2016.</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Global restructuring activity during 2015, as measured by the number of corporate defaults, increased as compared to 2014. However, the aggregate value of debt defaults remained low, consistent with the last several years. The number of defaulting issuers increased to 108 in 2015, according to Moody’s Investors Service, Inc., as compared to 54 in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percentage change in major equity market indices at December 31, 2015, as compared to such indices at December 31, 2014, and at December 31, 2014, as compared to such indices at December 31,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2014 vs. 2013</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2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Euro Stoxx</w:t>
            </w:r>
          </w:p>
        </w:tc>
        <w:tc>
          <w:tcPr>
            <w:tcW w:w="2020" w:type="dxa"/>
            <w:vAlign w:val="bottom"/>
            <w:gridSpan w:val="2"/>
          </w:tcPr>
          <w:p>
            <w:pPr>
              <w:jc w:val="right"/>
              <w:ind w:right="1032"/>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2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S&amp;P 500</w:t>
            </w:r>
          </w:p>
        </w:tc>
        <w:tc>
          <w:tcPr>
            <w:tcW w:w="2020" w:type="dxa"/>
            <w:vAlign w:val="bottom"/>
            <w:gridSpan w:val="2"/>
          </w:tcPr>
          <w:p>
            <w:pPr>
              <w:jc w:val="right"/>
              <w:ind w:right="972"/>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December 31, 2015 decreased 5% versus AUM at December 31, 2014, primarily due to adverse foreign exchange movements, partially offset by net inflows and market appreciation. Average AUM for 2015 was substantially unchanged as compared to average AUM in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2012, we announced certain cost saving initiatives in order to reduce our compensation and non-compensation cost base. Expenses associated with implementation of the cost saving initiatives were completed in the second quarter of 2013 and were reflected in our financial results. These implementation expenses were approximately $64 million in 2013.</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cost saving initiatives were intended to improve our profitability with minimal impact on revenue growth, while allowing us to continue to invest in our business. The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 The full impact of the savings resulting from the cost saving initiatives was reflected in our 2014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Corporate segment net revenue during 2015 represented (1)% of Lazard’s net revenue, total assets in the Corporate segment represented 59% of Lazard’s consolidated total assets as of December 31, 2015, which are attributable to cash and cash equivalents, investments in debt and equity securities, interests in alternative investment, debt, equity and private equity funds, deferred tax assets and certain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9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2016 related to the 2015 year-end compensation process), including PRSU awards (based on the target payout level);</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370" w:lineRule="auto"/>
        <w:rPr>
          <w:sz w:val="20"/>
          <w:szCs w:val="20"/>
          <w:color w:val="auto"/>
        </w:rPr>
      </w:pPr>
      <w:r>
        <w:rPr>
          <w:rFonts w:ascii="Arial" w:cs="Arial" w:eastAsia="Arial" w:hAnsi="Arial"/>
          <w:sz w:val="15"/>
          <w:szCs w:val="15"/>
          <w:color w:val="auto"/>
        </w:rPr>
        <w:t>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55.8%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11 of Notes to Consolidated Financial Statements). In 2013, non-compensation expense also included the implementation of the cost saving initiatives and expenses related to the refinancing of the 7.125% senior notes due 2015 (the “2015 Notes”) and the issuance of $500 million of 4.25% senior notes maturing in 2020 (the “2020 Notes”) (see Notes 11 and 16 of Notes to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expenses also include the “amortization of intangible assets related to acquisitions”. For all periods, the amortization of intangible assets related to acquisitions pertains primarily to the acquisition of Edgewater.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13 of Notes to Consolidated Financial Statements for information regarding the Company’s noncontrolling interests.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year ended December 31, 2015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2,350,276</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2,300,736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1,984,074</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1,319,620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1,313,550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1,278,479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493,990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439,824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1,819,431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1,759,761</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1,765,065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540,975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449,297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463,160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442,738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457,004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0" w:type="dxa"/>
            <w:vAlign w:val="bottom"/>
            <w:vMerge w:val="restart"/>
          </w:tcPr>
          <w:p>
            <w:pPr>
              <w:jc w:val="right"/>
              <w:ind w:right="1692"/>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1"/>
              <w:spacing w:after="0" w:line="142"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$2,350,276</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$ 2,300,736</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$ 1,984,074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54,218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67,687</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(15,592)</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(14,956)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(15,115)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(12,203)</w:t>
            </w:r>
          </w:p>
        </w:tc>
        <w:tc>
          <w:tcPr>
            <w:tcW w:w="3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2,380,526</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2,346,141</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2,040,666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0" w:hanging="452"/>
        <w:spacing w:after="0" w:line="30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1" w:lineRule="exact"/>
        <w:rPr>
          <w:rFonts w:ascii="Arial" w:cs="Arial" w:eastAsia="Arial" w:hAnsi="Arial"/>
          <w:sz w:val="15"/>
          <w:szCs w:val="15"/>
          <w:color w:val="auto"/>
        </w:rPr>
      </w:pPr>
    </w:p>
    <w:p>
      <w:pPr>
        <w:ind w:left="460" w:right="64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left="378"/>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$1,319,620</w:t>
            </w:r>
          </w:p>
        </w:tc>
        <w:tc>
          <w:tcPr>
            <w:tcW w:w="160" w:type="dxa"/>
            <w:vAlign w:val="bottom"/>
          </w:tcPr>
          <w:p>
            <w:pPr>
              <w:spacing w:after="0"/>
              <w:rPr>
                <w:sz w:val="18"/>
                <w:szCs w:val="18"/>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$1,313,550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$1,278,479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Cost saving initiatives (a)</w:t>
            </w:r>
          </w:p>
        </w:tc>
        <w:tc>
          <w:tcPr>
            <w:tcW w:w="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 (b)</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(4,776)</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(4,567)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Private equity incentive compensation (c)</w:t>
            </w:r>
          </w:p>
        </w:tc>
        <w:tc>
          <w:tcPr>
            <w:tcW w:w="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(7,326)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21"/>
        </w:trPr>
        <w:tc>
          <w:tcPr>
            <w:tcW w:w="7580" w:type="dxa"/>
            <w:vAlign w:val="bottom"/>
          </w:tcPr>
          <w:p>
            <w:pPr>
              <w:spacing w:after="0"/>
              <w:rPr>
                <w:sz w:val="20"/>
                <w:szCs w:val="20"/>
                <w:color w:val="auto"/>
              </w:rPr>
            </w:pPr>
            <w:r>
              <w:rPr>
                <w:rFonts w:ascii="Arial" w:cs="Arial" w:eastAsia="Arial" w:hAnsi="Arial"/>
                <w:sz w:val="18"/>
                <w:szCs w:val="18"/>
                <w:color w:val="auto"/>
              </w:rPr>
              <w:t>Adjusted compensation and benefits expense</w:t>
            </w: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1,318,671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1,301,657</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1,196,546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Deduct – amortization of deferred incentive compensation awards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(320,751)</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(299,230)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(297,607)</w:t>
            </w:r>
          </w:p>
        </w:tc>
        <w:tc>
          <w:tcPr>
            <w:tcW w:w="0" w:type="dxa"/>
            <w:vAlign w:val="bottom"/>
          </w:tcPr>
          <w:p>
            <w:pPr>
              <w:spacing w:after="0"/>
              <w:rPr>
                <w:sz w:val="1"/>
                <w:szCs w:val="1"/>
                <w:color w:val="auto"/>
              </w:rPr>
            </w:pPr>
          </w:p>
        </w:tc>
      </w:tr>
      <w:tr>
        <w:trPr>
          <w:trHeight w:val="221"/>
        </w:trPr>
        <w:tc>
          <w:tcPr>
            <w:tcW w:w="7580" w:type="dxa"/>
            <w:vAlign w:val="bottom"/>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997,920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1,002,427</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Year-end deferred incentive compensation awards (f)</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336,086</w:t>
            </w:r>
          </w:p>
        </w:tc>
        <w:tc>
          <w:tcPr>
            <w:tcW w:w="160" w:type="dxa"/>
            <w:vAlign w:val="bottom"/>
          </w:tcPr>
          <w:p>
            <w:pPr>
              <w:spacing w:after="0"/>
              <w:rPr>
                <w:sz w:val="18"/>
                <w:szCs w:val="18"/>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325,210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291,007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Sign-on and other special incentive awards (g)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14,248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Deduct – adjustment for estimated forfeitures (h)</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(27,186)</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(25,459)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(i)</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(11,172)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Awarded compensation and benefits expense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1,328,986</w:t>
            </w:r>
          </w:p>
        </w:tc>
        <w:tc>
          <w:tcPr>
            <w:tcW w:w="160" w:type="dxa"/>
            <w:vAlign w:val="bottom"/>
          </w:tcPr>
          <w:p>
            <w:pPr>
              <w:spacing w:after="0"/>
              <w:rPr>
                <w:sz w:val="19"/>
                <w:szCs w:val="19"/>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1,305,254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1,186,691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 of operating revenue</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55.4%</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Awarded compensation and benefits expense,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as a % of operating revenue</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55.8%</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55.6%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(i) severance costs and benefit payments; (ii) the acceleration of unrecognized amortization expense of deferred incentive compensation previously granted to individuals whose employment with Lazard has been terminated; and (iii) the settlement of certain contractual obligations.</w:t>
      </w: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460" w:right="6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base salaries and benefits of $583,951, $569,540 and $530,399 for 2015, 2014 and 2013, respectively, and cash incentive compensation of $413,948, $432,887 and $368,540 for the respective years.</w:t>
      </w:r>
    </w:p>
    <w:p>
      <w:pPr>
        <w:ind w:left="460" w:right="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2016, 2015 and 2014 related to the 2015, 2014 and 2013 year-end compensation processes, respectively).</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grants to new hires, retention awards and performance units earned under PRSU grants.</w:t>
      </w: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18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40"/>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2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$493,990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$439,824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$476,472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(1,913)</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(60,219)</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(54,087)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Other charges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$437,911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$407,088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Charges pertaining to (i) the redemption of a significant portion of the Company’s 2017 Notes in 2015 and (ii) the refinancing of the 2015 Notes and the issuance of the 2020 Notes in 2013 are excluded because of the non-operating nature of such transactions. See “—Liquidity and Capital Resources— Financing Activities.”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7"/>
          </w:tcPr>
          <w:p>
            <w:pPr>
              <w:jc w:val="center"/>
              <w:ind w:right="1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2,380,526</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$ 2,346,141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2,040,666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(1,318,671)</w:t>
            </w:r>
          </w:p>
        </w:tc>
        <w:tc>
          <w:tcPr>
            <w:tcW w:w="1440" w:type="dxa"/>
            <w:vAlign w:val="bottom"/>
            <w:gridSpan w:val="7"/>
          </w:tcPr>
          <w:p>
            <w:pPr>
              <w:jc w:val="right"/>
              <w:ind w:right="220"/>
              <w:spacing w:after="0"/>
              <w:rPr>
                <w:sz w:val="20"/>
                <w:szCs w:val="20"/>
                <w:color w:val="auto"/>
              </w:rPr>
            </w:pPr>
            <w:r>
              <w:rPr>
                <w:rFonts w:ascii="Arial" w:cs="Arial" w:eastAsia="Arial" w:hAnsi="Arial"/>
                <w:sz w:val="18"/>
                <w:szCs w:val="18"/>
                <w:color w:val="auto"/>
              </w:rPr>
              <w:t>(1,301,657)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(1,196,546)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(431,926)</w:t>
            </w:r>
          </w:p>
        </w:tc>
        <w:tc>
          <w:tcPr>
            <w:tcW w:w="144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(437,911)</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(407,088)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629,929</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606,573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437,032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4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9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1,139</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1,148</w:t>
            </w:r>
          </w:p>
        </w:tc>
        <w:tc>
          <w:tcPr>
            <w:tcW w:w="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2,523</w:t>
            </w:r>
          </w:p>
        </w:tc>
        <w:tc>
          <w:tcPr>
            <w:tcW w:w="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80" w:type="dxa"/>
            <w:vAlign w:val="bottom"/>
            <w:vMerge w:val="restart"/>
          </w:tcPr>
          <w:p>
            <w:pPr>
              <w:jc w:val="right"/>
              <w:ind w:right="14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$443 million, as compared to net income of $457 million in 2014. The changes in the Company’s operating results during these years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increased $50 million, or 2%, with operating revenue increasing $34 million, or 1%, as compared to 2014. Fee revenue from investment banking and other advisory activities increased $75 million, or 6%, primarily due to increases in M&amp;A and Other Advisory fees. The increase in M&amp;A and Other Advisory fee revenue was primarily due to an increase in the average transaction fee with respect to completed transactions involving fees greater than $1 million as compared to 2014. Asset management fees, including incentive fees, decreased $44 million, or 4%, as compared to 2014, due to a decrease in management fees from slightly lower average AUM, a slight change in the mix of assets and a decrease in incentive fees relating to traditional investment products. In the aggregate, interest income, other revenue and interest expense increased $19 million as compared to 2014, primarily due to a $24 million gain on the disposal of the Company’s Australian private equity business (which primarily related to the realization of carried interest at fair value), partially offset by lower investment gains from LFI. Interest expense was lower due to the refinancing of the 2017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and benefits expense increased $6 million as compared to 2014, primarily driven by an increase in operating revenue.</w:t>
      </w:r>
    </w:p>
    <w:p>
      <w:pPr>
        <w:spacing w:after="0" w:line="171"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$1.319 billion, an increase of $17 million, or 1%, as compared to $1.302 billion in 2014. The ratio of adjusted compensation and benefits expense to operating revenue was 55.4% for the 2015 period, as compared to 55.5% for the 2014 period. Awarded compensation and benefits expense in 2015 was $1.329 billion, an increase of $24 million, or 2%, when compared to $1.305 billion in 2014. The ratio of awarded compensation and benefits expense to operating revenue was 55.8% for 2015 as compared to 55.6 for the 2014 period. The year-end deferred incentive compensation awarded for 2015 was $336 million, representing an $11 million, or 3%, increase compared to 2014.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Non-compensation expense increased $54 million, or 12%, as compared to 2014, primarily due to a charge of $60 million related to the redemption of a significant portion of the Company’s 2017 Notes. Adjusted non-compensation expense, which excludes such charge, as well as non-compensation costs relating to noncontrolling interests, decreased $6 million, or 1%, as compared to 2014. The ratio of adjusted non-compensation expense to operating revenue was 18.1%, as compared to 18.7% in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2014.</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Operating income, which included the charge relating to the redemption of a significant portion of the Company’s 2017 Notes decreased $10 million, or 2%, as compared to 2014.</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Earnings from operations, which exclude the charge related to the redemption of a significant portion of the Company’s 2017 Notes increased $23 million, or 4%, as compared to 2014, and, as a percentage of operating revenue, was 26.5%, as compared to 25.9% in 2014.</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provision for income taxes reflects an effective tax rate of 15.4%, as compared to 14.4% for 2014. The increase in the effective tax rate in 2015 as compared to 2014 primarily reflects the change in the geographic mix of earnings. See Note 17 of Notes to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$457 million, as compared to net income of $183 million in 2013. The changes in the Company’s operating results during these years are described below.</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revenue increased $317 million, or 16%, with operating revenue increasing $305 million, or 15%, as compared to 2013. Fee revenue from investment banking and other advisory activities increased $229 million, or 24%,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2013. Asset management fees, including incentive fees, increased $86 million, or 9%, principally reflecting a $22 billion, or 13%, increase in average AUM as compared to 2013. In the aggregate, interest income, other revenue and interest expense increased $2 million, or 10%, as compared to 2013.</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Compensation and benefits expense increased $35 million, or 3%, as compared to 2013 (which included a $51 million charge related to the cost saving initiatives and a $12 million charge related to private equity incentive compensation), primarily driven by an increase in discretionary compensation associated with increased operating revenue.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$1.302 billion, an increase of $105 million, or 9%, as compared to $1.197 billion in 2013, primarily driven by an increase in discretionary compensation associated with increased operating revenue. The ratio of adjusted compensation and benefits expense to operating revenue was 55.5% for 2014, as compared to 58.6% for 2013. Awarded compensation and benefits expense in 2014 was $1.305 billion, an increase of $119 million, or 10%, when compared to $1.187 billion in 2013. The ratio of awarded compensation and benefits expense to operating revenue was 55.6% for 2014, as compared to 58.2% for 2013. The year-end deferred incentive compensation awarded for 2014 was $325 million, representing a $34 million, or 12%, increase compared to 2013.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480" w:firstLine="456"/>
        <w:spacing w:after="0" w:line="294" w:lineRule="auto"/>
        <w:rPr>
          <w:sz w:val="20"/>
          <w:szCs w:val="20"/>
          <w:color w:val="auto"/>
        </w:rPr>
      </w:pPr>
      <w:r>
        <w:rPr>
          <w:rFonts w:ascii="Arial" w:cs="Arial" w:eastAsia="Arial" w:hAnsi="Arial"/>
          <w:sz w:val="16"/>
          <w:szCs w:val="16"/>
          <w:color w:val="auto"/>
        </w:rPr>
        <w:t>Non-compensation expense decreased $37 million, or 8%, as compared to 2013 (which included a charge of $13 million related to the cost saving initiatives and $54 million related to the financing of the 2015 Notes and the issuance of the 2020 Notes). When excluding such charges, as well as non-compensation costs relating to noncontrolling interests, adjusted non-compensation expense increased $31 million, or 8%, as compared to 2013, primarily reflecting increased business activity, investment in our businesses and the net impact of various one-time items recorded in 2014 and in 2013. The ratio of adjusted non-compensation expense to operating revenue was 18.7%, as compared to 19.9% in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as compared to 2013.</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Operating income increased $321 million as compared to 2013 (which included charges relating to the cost saving initiatives, private equity incentive compensation and the refinancing of the 2015 Notes of $64 million, $12 million and $54 million, respectively).</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Earnings from operations increased $170 million, or 39%, as compared to 2013, and, as a percentage of operating revenue, was 25.9%, as compared to 21.4% in 2013.</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provision for income taxes reflects an effective tax rate of 14.4%, as compared to 14.7% for 2013. The decrease in the effective tax rate primarily reflects the change in the geographic mix of earnings (see Note 17 of Notes to Consolidated Financial Statements for additional information).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ind w:right="62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1,104,146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$1,010,830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768,790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1,173,777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1,091,973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847,706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105,851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114,761</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2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1,279,628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1,206,734</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980,577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1,005,837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959,668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273,791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229,053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3"/>
            <w:vMerge w:val="continue"/>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2013, includes $47,779 associated with the implementation of the cost saving initiatives.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7% in 2015 as compared to 2014. In contrast, the industry statistics for global M&amp;A transactions described above reflect a 29% increase in the value, and a 9% decrease in the number, of all completed transactions in 2015 as compared to 2014. For M&amp;A deals with values greater than $500 million, the value and number of completed transactions in 2015 increased 41% and 7%, respectively, as compared to 2014.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(b)</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7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2015, 2014 or 2013.</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Dealogic as of January 8, 2016.</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Europe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Financial Advisory net revenue increased $73 million, or 6%, as compared to 2014. Total Strategic Advisory net revenue, representing fees from our M&amp;A and Other Advisory and Capital Raising businesses, increased $82 million, or 7%, and Restructuring revenue decreased $9 million, or 8%, as compared to 2014.</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M&amp;A and Other Advisory revenue increased $93 million, or 9%, while Capital Raising revenue decreased $12 million, or 14%, as compared to 2014. The increase in M&amp;A and Other Advisory revenue was primarily due to an increase in the average transaction fee with respect to completed transactions involving fees greater than $1 million as compared to 2014. Our major clients, which in the aggregate represented a significant portion of our M&amp;A and Other Advisory revenue in 2015, included AT&amp;T, D.E. Master Blenders 1753, General Electric Company, GlaxoSmithKline, Heinz, Pfizer, Reynolds American, RockTenn, Rockwood, Toll Holdings, UCB and Ukraine Ministry of Finance.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Restructuring revenue in 2015 was generally in line with the continued industry-wide low level of corporate restructuring activity. Our major clients, which in the aggregate represented a significant portion of our Restructuring revenue in 2015, included Chassix, Dendreon, Hercules Offshore, Millennium Health and RadioShack.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$28 million, or 3%, as compared to 2014, primarily due to an increase in compensation and benefits expense.</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Financial Advisory operating income was $274 million, an increase of $45 million, or 20%, as compared to operating income of $229 million in 2014 and, as a percentage of net revenue, was 21.4%, as compared to 19.0%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$244 million, or 29%, and Restructuring revenue decreased $18 million, or 14%, as compared to 2013.</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M&amp;A and Other Advisory revenue increased $242 million, or 31%, while Capital Raising revenue increased by $2 million, or 3%, as compared to 2013. The increase in M&amp;A and Other Advisory revenue was primarily due to an increase in the number of, and average transaction fee with respect to, completed transactions involving fees greater than $1 million as compared to 2013. Our major clients, which in the aggregate represented a significant portion of our M&amp;A and Other Advisory revenue in 2014, included Alliance Bank, Burger King, Cadence Pharmaceuticals, Google, Leap Wireless International, L’Oreal, Rockwood, Shire, TIAA-CREF and Vivendi.</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decrease in Restructuring revenue in 2014 was generally in line with the continued industry-wide low level of corporate restructuring activity. Our major clients, which in the aggregate represented a significant portion of our Restructuring revenue for the 2014 period, included Associated Wholesalers, Cengage Learning, Official Committee of Retirees of the City of Detroit, USEC and Vivarte.</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Operating expenses increased $18 million, or 2%, as compared to 2013 (which included a $47 million charge related to the cost saving initiatives). Excluding such charge, operating expenses increased $65 million, or 7%, primarily due to an increase in (i) compensation and benefits expense related to an increase in discretionary compensation associated with increased operating revenue and (ii) an increase in non-compensation expense reflecting increased business activity.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Financial Advisory operating income was $229 million, an increase of $208 million as compared to operating income of $21 million in 2013 (which included the impact of the $47 million charge related to the cost saving initiatives) and, as a percentage of net revenue, was 19.0%, as compared to 2.1% in 2013, or 7% of net revenue in 2013 excluding such charges.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47,450</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35,521</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31,232</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160,912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154,062</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186,380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197,103</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186,924</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Total AUM at December 31, 2015 was $186 billion, a decrease of $11 billion, or 5%, as compared to total AUM of $197 billion at December 31, 2014, primarily due to adverse foreign exchange movements, partially offset by net inflows and market appreciation. Average AUM for the year ended December 31, 2015 was substantially unchanged as compared to 2014.</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2015,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90% as of December 31, 2014, and, as of December 31, 2015, approximately 11% of our AUM was managed on behalf of individual client relationships, which are principally with family offices and individuals, compared to approximately 10% at December 31,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2015, AUM with foreign currency exposure represented approximately 72% of our total AUM, as compared to 73%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2014. AUM with foreign currency exposure generally declines in value with the strengthening of the U.S. Dollar and increases in value as the U.S. Dollar weakens, with all other factors held constant.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2015, 2014 and 2013: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Year Ended December 31, 2015</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Inflows</w:t>
            </w:r>
          </w:p>
        </w:tc>
        <w:tc>
          <w:tcPr>
            <w:tcW w:w="4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$160,912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$30,261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(31,660)</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$(1,399)</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$151,495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31,110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(2,907)</w:t>
            </w:r>
          </w:p>
        </w:tc>
        <w:tc>
          <w:tcPr>
            <w:tcW w:w="660" w:type="dxa"/>
            <w:vAlign w:val="bottom"/>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197,103</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40,670</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(39,764)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906</w:t>
            </w:r>
          </w:p>
        </w:tc>
        <w:tc>
          <w:tcPr>
            <w:tcW w:w="440" w:type="dxa"/>
            <w:vAlign w:val="bottom"/>
          </w:tcPr>
          <w:p>
            <w:pPr>
              <w:spacing w:after="0"/>
              <w:rPr>
                <w:sz w:val="19"/>
                <w:szCs w:val="19"/>
                <w:color w:val="auto"/>
              </w:rPr>
            </w:pPr>
          </w:p>
        </w:tc>
        <w:tc>
          <w:tcPr>
            <w:tcW w:w="440" w:type="dxa"/>
            <w:vAlign w:val="bottom"/>
          </w:tcPr>
          <w:p>
            <w:pPr>
              <w:jc w:val="right"/>
              <w:ind w:right="26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(12,103)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Inflows in the Equity asset class were primarily attributable to the Multi-Regional and Global equity platforms, and inflows in the Fixed Income asset class were primarily attributable to the Emerging Markets and Multi-Regional platforms. Outflows in the Equity asset class were primarily attributable to the Emerging Markets and Global equity platforms, and outflows in the Fixed Income asset class were primarily attributable to the Emerging Markets and Multi-Regional platforms.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4"/>
                <w:szCs w:val="14"/>
                <w:b w:val="1"/>
                <w:bCs w:val="1"/>
                <w:color w:val="auto"/>
              </w:rPr>
              <w:t>Year Ended December 31, 2014</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AUM</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9"/>
              </w:rPr>
              <w:t>Inflows</w:t>
            </w:r>
          </w:p>
        </w:tc>
        <w:tc>
          <w:tcPr>
            <w:tcW w:w="3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Outflows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Flows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(Depreciation)</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52"/>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$ 154,062</w:t>
            </w: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$ 31,067</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(25,419)</w:t>
            </w: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5,648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$ 160,912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26,874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10,535</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(4,184)</w:t>
            </w: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6,351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(2,939)</w:t>
            </w:r>
          </w:p>
        </w:tc>
        <w:tc>
          <w:tcPr>
            <w:tcW w:w="660" w:type="dxa"/>
            <w:vAlign w:val="bottom"/>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1,126</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$ 186,924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$ 42,728</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 (31,453)</w:t>
            </w: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$ 11,275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11,346</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(12,442)</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$ 197,103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center"/>
              <w:ind w:right="560"/>
              <w:spacing w:after="0"/>
              <w:rPr>
                <w:sz w:val="20"/>
                <w:szCs w:val="20"/>
                <w:color w:val="auto"/>
              </w:rPr>
            </w:pPr>
            <w:r>
              <w:rPr>
                <w:rFonts w:ascii="Arial" w:cs="Arial" w:eastAsia="Arial" w:hAnsi="Arial"/>
                <w:sz w:val="14"/>
                <w:szCs w:val="14"/>
                <w:b w:val="1"/>
                <w:bCs w:val="1"/>
                <w:color w:val="auto"/>
                <w:w w:val="86"/>
              </w:rPr>
              <w:t>Year Ended December 31, 2013</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93"/>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1"/>
              </w:rPr>
              <w:t>Exchange</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26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600" w:type="dxa"/>
            <w:vAlign w:val="bottom"/>
            <w:gridSpan w:val="5"/>
          </w:tcPr>
          <w:p>
            <w:pPr>
              <w:ind w:left="60"/>
              <w:spacing w:after="0"/>
              <w:rPr>
                <w:sz w:val="20"/>
                <w:szCs w:val="20"/>
                <w:color w:val="auto"/>
              </w:rPr>
            </w:pPr>
            <w:r>
              <w:rPr>
                <w:rFonts w:ascii="Arial" w:cs="Arial" w:eastAsia="Arial" w:hAnsi="Arial"/>
                <w:sz w:val="14"/>
                <w:szCs w:val="14"/>
                <w:b w:val="1"/>
                <w:bCs w:val="1"/>
                <w:color w:val="auto"/>
              </w:rPr>
              <w:t>Inflows</w:t>
            </w:r>
          </w:p>
        </w:tc>
        <w:tc>
          <w:tcPr>
            <w:tcW w:w="440" w:type="dxa"/>
            <w:vAlign w:val="bottom"/>
          </w:tcPr>
          <w:p>
            <w:pPr>
              <w:spacing w:after="0"/>
              <w:rPr>
                <w:sz w:val="14"/>
                <w:szCs w:val="14"/>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0"/>
              </w:rPr>
              <w:t>Outflows</w:t>
            </w:r>
          </w:p>
        </w:tc>
        <w:tc>
          <w:tcPr>
            <w:tcW w:w="20" w:type="dxa"/>
            <w:vAlign w:val="bottom"/>
          </w:tcPr>
          <w:p>
            <w:pPr>
              <w:spacing w:after="0"/>
              <w:rPr>
                <w:sz w:val="14"/>
                <w:szCs w:val="14"/>
                <w:color w:val="auto"/>
              </w:rPr>
            </w:pPr>
          </w:p>
        </w:tc>
        <w:tc>
          <w:tcPr>
            <w:tcW w:w="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26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$138,171</w:t>
            </w:r>
          </w:p>
        </w:tc>
        <w:tc>
          <w:tcPr>
            <w:tcW w:w="10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$26,518</w:t>
            </w:r>
          </w:p>
        </w:tc>
        <w:tc>
          <w:tcPr>
            <w:tcW w:w="140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 (31,597)</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$(5,079)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25,495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(4,525)</w:t>
            </w:r>
          </w:p>
        </w:tc>
        <w:tc>
          <w:tcPr>
            <w:tcW w:w="3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6,725</w:t>
            </w:r>
          </w:p>
        </w:tc>
        <w:tc>
          <w:tcPr>
            <w:tcW w:w="44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Arial" w:cs="Arial" w:eastAsia="Arial" w:hAnsi="Arial"/>
                <w:sz w:val="18"/>
                <w:szCs w:val="18"/>
                <w:color w:val="auto"/>
              </w:rPr>
              <w:t>(3,318)</w:t>
            </w:r>
          </w:p>
        </w:tc>
        <w:tc>
          <w:tcPr>
            <w:tcW w:w="8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1,063</w:t>
            </w: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3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104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34,306</w:t>
            </w:r>
          </w:p>
        </w:tc>
        <w:tc>
          <w:tcPr>
            <w:tcW w:w="1400" w:type="dxa"/>
            <w:vAlign w:val="bottom"/>
            <w:gridSpan w:val="4"/>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(36,240)</w:t>
            </w:r>
          </w:p>
        </w:tc>
        <w:tc>
          <w:tcPr>
            <w:tcW w:w="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(1,934)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26,154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February 17, 2016, AUM was $177.4 billion, a $9.0 billion decrease since December 31, 2015. The decrease in AUM was due to market depreciation of $10.2 billion, partially offset by net inflows of $0.7 billion and foreign exchange appreciation of $0.5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Average AUM for the years ended December 31, 2015, 2014 and 2013 for each significant asset class is set forth below. Average AUM generally represents the average of the monthly ending AUM balances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gridSpan w:val="3"/>
          </w:tcPr>
          <w:p>
            <w:pPr>
              <w:jc w:val="center"/>
              <w:ind w:left="58"/>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$ 159,216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$ 160,455</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$ 143,923</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23,850</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3,547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4,408</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4,569</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$ 195,987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$ 196,037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$ 173,702</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1,000,018</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1,018,772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51,866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1,111,105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1,134,595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1,039,130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385,250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21%, 24% and 24% of our total AUM at December 31, 2015, 2014 and 2013, respectively, and no individual client constituted more than 10% of our Asset Management segment net revenue during any of the respective years.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50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740" w:type="dxa"/>
            <w:vAlign w:val="bottom"/>
            <w:vMerge w:val="restart"/>
          </w:tcPr>
          <w:p>
            <w:pPr>
              <w:jc w:val="right"/>
              <w:ind w:right="2152"/>
              <w:spacing w:after="0"/>
              <w:rPr>
                <w:sz w:val="20"/>
                <w:szCs w:val="20"/>
                <w:color w:val="auto"/>
              </w:rPr>
            </w:pPr>
            <w:r>
              <w:rPr>
                <w:rFonts w:ascii="Arial" w:cs="Arial" w:eastAsia="Arial" w:hAnsi="Arial"/>
                <w:sz w:val="18"/>
                <w:szCs w:val="18"/>
                <w:color w:val="auto"/>
              </w:rPr>
              <w:t>51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Asset Management net revenue decreased $23 million, or 2%, as compared to 2014. Management fees decreased $19 million, or 2%, as compared to 2014, primarily due to slightly lower average AUM and a slight change in the mix of assets. Incentive fees decreased $27 million, or 52%, as compared to 2014, primarily due to incentive fees related to traditional investment products. Other revenue increased $22 million, or 34%, as compared to 2014, primarily due to a $24 million gain on disposal of the Company’s Australian private equity business (which related primarily to the realization of carried interest at fair value).</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Operating expenses decreased $13 million, or 2%, as compared to 2014, primarily due to decreases in (i) compensation and benefits expense related to a decrease in discretionary compensation and (ii) non-compensation expense related to fund administration and outsourced services.</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Asset Management operating income was $374 million, a decrease of $11 million as compared to operating income of $385 million in 2014 and, as a percentage of net revenue, was 33.7%, as compared to 34.0%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 Management net revenue increased $95 million, or 9%, as compared to 2013. Management fees increased $115 million, or 13%, as compared to 2013, reflecting a $22 billion, or 13%, increase in average AUM. Incentive fees decreased $26 million, or 34%, as compared to 2013, primarily due to fees related to alternative investment products. Other revenue increased $7 million, or 13%, as compared to 2013, primarily due to higher transaction-based commission revenue as a result of increased market activity and custody fees and transaction fees related to our private equity business.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Operating expenses increased $45 million, or 6%, as compared to 2013, primarily due to increases in (i) compensation and benefits expense related to an increase in discretionary compensation associated with increased operating revenue and (ii) non-compensation expense related to increased business activity and AUM.</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Asset Management operating income was $385 million, an increase of $50 million, or 15%, as compared to operating income of $335 million in 2013 (which included the impact of the $0.2 million charge related to the cost saving initiatives and the $12 million charge pertaining to private equity compensation) and, as a percentage of net revenue, was 34.0%, as compared to 32.2% in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(54,695)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(68,200)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(87,031)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(58,498)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10,708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(40,593)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76,796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101,352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(117,253)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(73,328)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(i) in 2015, (a) $60,219 relating to the redemption of a significant portion of the Company’s 2017 Notes and (ii) in 2013, (a) $16,689 associated with the implementation of the cost saving initiatives and (b) $54,087 relating to the refinancing of the 2015 Notes and the issuance of the 2020 Notes.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Net interest expense decreased $7 million, or 13%, as compared to 2014, primarily due to the redemption of $450 million of the 2017 Notes and the issuance of $400 million aggregate principal amount of 3.75% senior notes due 2025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$7 million, or 40%, as compared to 2014, primarily due to investment losses recorded in connection with LFI.</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increased $44 million as compared to 2014, including in 2015, a charge of $60 million related to the redemption of a significant portion of the Company’s 2017 Notes. Excluding the impact of such charges, operating expenses decreased $16 million, or 49%, compared to 2014, primarily due to decreased compensation and benefits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$19 million, or 25%, as compared to 2013, primarily due to the refinancing of the 2015 Notes.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revenue decreased $24 million, or 57%, as compared to 2013, primarily due to lower investment gains recorded in connection with LFI and other investments.</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Operating expenses decreased $69 million, or 68%, as compared to 2013 (which included charges of $17 million associated with the cost saving initiatives and $54 million related to the refinancing of the 2015 Notes). Excluding the impact of such charges, operating expenses increased $2 million compared to 2013. The increase was primarily related to the net impact of various one-time items recorded in 2014 and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also were affected in 2015, by the redemption of $450 million of the 2017 Notes and the issuance of the 2025 Notes and,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16 of Notes to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Adjustments to reconcile net income to net cash provided by operating activities (a)</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operating activities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Financing activities (c)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right="2480"/>
        <w:spacing w:after="0" w:line="257" w:lineRule="auto"/>
        <w:rPr>
          <w:sz w:val="20"/>
          <w:szCs w:val="20"/>
          <w:color w:val="auto"/>
        </w:rPr>
      </w:pPr>
      <w:r>
        <w:rPr>
          <w:rFonts w:ascii="Arial" w:cs="Arial" w:eastAsia="Arial" w:hAnsi="Arial"/>
          <w:sz w:val="18"/>
          <w:szCs w:val="18"/>
          <w:b w:val="1"/>
          <w:bCs w:val="1"/>
          <w:color w:val="auto"/>
        </w:rPr>
        <w:t>Net Increase (Decrease) in Cash and Cash Equivalents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Beginning of Year</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160" w:type="dxa"/>
        <w:tblCellMar>
          <w:top w:w="0" w:type="dxa"/>
          <w:left w:w="0" w:type="dxa"/>
          <w:bottom w:w="0" w:type="dxa"/>
          <w:right w:w="0" w:type="dxa"/>
        </w:tblCellMar>
      </w:tblP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168"/>
        </w:trPr>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28"/>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449.3</w:t>
            </w:r>
          </w:p>
        </w:tc>
        <w:tc>
          <w:tcPr>
            <w:tcW w:w="7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463.2</w:t>
            </w:r>
          </w:p>
        </w:tc>
        <w:tc>
          <w:tcPr>
            <w:tcW w:w="4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186.8</w:t>
            </w:r>
          </w:p>
        </w:tc>
      </w:tr>
      <w:tr>
        <w:trPr>
          <w:trHeight w:val="216"/>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401.6</w:t>
            </w:r>
          </w:p>
        </w:tc>
      </w:tr>
      <w:tr>
        <w:trPr>
          <w:trHeight w:val="223"/>
        </w:trPr>
        <w:tc>
          <w:tcPr>
            <w:tcW w:w="1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(89.4)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(585.3)</w:t>
            </w: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(561.9)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(492.6)</w:t>
            </w:r>
          </w:p>
        </w:tc>
      </w:tr>
      <w:tr>
        <w:trPr>
          <w:trHeight w:val="223"/>
        </w:trPr>
        <w:tc>
          <w:tcPr>
            <w:tcW w:w="1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433"/>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60" w:type="dxa"/>
            <w:vAlign w:val="bottom"/>
          </w:tcPr>
          <w:p>
            <w:pPr>
              <w:spacing w:after="0"/>
              <w:rPr>
                <w:sz w:val="24"/>
                <w:szCs w:val="24"/>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1,025.8</w:t>
            </w:r>
          </w:p>
        </w:tc>
        <w:tc>
          <w:tcPr>
            <w:tcW w:w="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917.2</w:t>
            </w:r>
          </w:p>
        </w:tc>
        <w:tc>
          <w:tcPr>
            <w:tcW w:w="4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832.3</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2015</w:t>
            </w:r>
          </w:p>
        </w:tc>
        <w:tc>
          <w:tcPr>
            <w:tcW w:w="188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r>
      <w:tr>
        <w:trPr>
          <w:trHeight w:val="168"/>
        </w:trPr>
        <w:tc>
          <w:tcPr>
            <w:tcW w:w="10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 in millions)</w:t>
            </w:r>
          </w:p>
        </w:tc>
        <w:tc>
          <w:tcPr>
            <w:tcW w:w="1080" w:type="dxa"/>
            <w:vAlign w:val="bottom"/>
          </w:tcPr>
          <w:p>
            <w:pPr>
              <w:spacing w:after="0"/>
              <w:rPr>
                <w:sz w:val="14"/>
                <w:szCs w:val="14"/>
                <w:color w:val="auto"/>
              </w:rPr>
            </w:pPr>
          </w:p>
        </w:tc>
      </w:tr>
    </w:tbl>
    <w:p>
      <w:pPr>
        <w:spacing w:after="0" w:line="96" w:lineRule="exact"/>
        <w:rPr>
          <w:sz w:val="20"/>
          <w:szCs w:val="20"/>
          <w:color w:val="auto"/>
        </w:rPr>
      </w:pPr>
    </w:p>
    <w:p>
      <w:pPr>
        <w:sectPr>
          <w:pgSz w:w="11900" w:h="16838" w:orient="portrait"/>
          <w:cols w:equalWidth="0" w:num="2">
            <w:col w:w="6560" w:space="720"/>
            <w:col w:w="41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08"/>
        </w:trPr>
        <w:tc>
          <w:tcPr>
            <w:tcW w:w="7280" w:type="dxa"/>
            <w:vAlign w:val="bottom"/>
          </w:tcPr>
          <w:p>
            <w:pPr>
              <w:ind w:left="440"/>
              <w:spacing w:after="0"/>
              <w:rPr>
                <w:sz w:val="20"/>
                <w:szCs w:val="20"/>
                <w:color w:val="auto"/>
              </w:rPr>
            </w:pPr>
            <w:r>
              <w:rPr>
                <w:rFonts w:ascii="Arial" w:cs="Arial" w:eastAsia="Arial" w:hAnsi="Arial"/>
                <w:sz w:val="18"/>
                <w:szCs w:val="18"/>
                <w:color w:val="auto"/>
              </w:rPr>
              <w:t>Amortization of deferred expenses, stock units and interest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280" w:type="dxa"/>
            <w:vAlign w:val="bottom"/>
          </w:tcPr>
          <w:p>
            <w:pPr>
              <w:ind w:left="660"/>
              <w:spacing w:after="0"/>
              <w:rPr>
                <w:sz w:val="20"/>
                <w:szCs w:val="20"/>
                <w:color w:val="auto"/>
              </w:rPr>
            </w:pPr>
            <w:r>
              <w:rPr>
                <w:rFonts w:ascii="Arial" w:cs="Arial" w:eastAsia="Arial" w:hAnsi="Arial"/>
                <w:sz w:val="18"/>
                <w:szCs w:val="18"/>
                <w:color w:val="auto"/>
              </w:rPr>
              <w:t>rate hedge</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295.0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r>
      <w:tr>
        <w:trPr>
          <w:trHeight w:val="217"/>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Gain on disposal of subsidiaries</w:t>
            </w:r>
          </w:p>
        </w:tc>
        <w:tc>
          <w:tcPr>
            <w:tcW w:w="2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w:t>
            </w:r>
          </w:p>
        </w:tc>
      </w:tr>
      <w:tr>
        <w:trPr>
          <w:trHeight w:val="20"/>
        </w:trPr>
        <w:tc>
          <w:tcPr>
            <w:tcW w:w="7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performance-based restricted stock units (“PRSUs”), and distributions to members and noncontrolling interest holders, activity relating to borrowings, including, in 2015, the redemption of a majority of the Company’s 2017 Notes and issuance of the 2025 Notes and, in 2013, the refinancing of the 2015 Notes and issuance of the 2020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purchases of shares of Lazard Ltd Class A common stock and matters relating to liquidity and to compliance with regulatory net capital requirements. At December 31, 2015, Lazard Group had approximately $1.0 billion of cash, with such amount including approximately $512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maintain lines of credit in excess of anticipated liquidity requirements. As of December 31, 2015, Lazard had approximately $235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$27 million (at December 31, 2015 exchange rates) and Edgewater of $55 million. In addition, LFB has access to the Eurosystem Covered Bond Purchase Program of the Banque de France.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2015 and 2014. The agreements with respect to this indebtedness are discussed in more detail in our consolidated financial statements and related notes included elsewhere in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Maturity</w:t>
            </w:r>
          </w:p>
        </w:tc>
        <w:tc>
          <w:tcPr>
            <w:tcW w:w="740" w:type="dxa"/>
            <w:vAlign w:val="bottom"/>
          </w:tcPr>
          <w:p>
            <w:pPr>
              <w:spacing w:after="0"/>
              <w:rPr>
                <w:sz w:val="14"/>
                <w:szCs w:val="14"/>
                <w:color w:val="auto"/>
              </w:rPr>
            </w:pPr>
          </w:p>
        </w:tc>
        <w:tc>
          <w:tcPr>
            <w:tcW w:w="26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4"/>
              </w:rPr>
              <w:t>As of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432"/>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85"/>
              </w:rPr>
              <w:t>Senior Debt:</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6.85%</w:t>
            </w:r>
          </w:p>
        </w:tc>
        <w:tc>
          <w:tcPr>
            <w:tcW w:w="3920" w:type="dxa"/>
            <w:vAlign w:val="bottom"/>
            <w:gridSpan w:val="2"/>
          </w:tcPr>
          <w:p>
            <w:pPr>
              <w:ind w:left="3500"/>
              <w:spacing w:after="0"/>
              <w:rPr>
                <w:sz w:val="20"/>
                <w:szCs w:val="20"/>
                <w:color w:val="auto"/>
              </w:rPr>
            </w:pPr>
            <w:r>
              <w:rPr>
                <w:rFonts w:ascii="Arial" w:cs="Arial" w:eastAsia="Arial" w:hAnsi="Arial"/>
                <w:sz w:val="18"/>
                <w:szCs w:val="18"/>
                <w:color w:val="auto"/>
                <w:w w:val="99"/>
              </w:rPr>
              <w:t>2017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$ 98.4</w:t>
            </w:r>
          </w:p>
        </w:tc>
        <w:tc>
          <w:tcPr>
            <w:tcW w:w="2080" w:type="dxa"/>
            <w:vAlign w:val="bottom"/>
            <w:gridSpan w:val="3"/>
          </w:tcPr>
          <w:p>
            <w:pPr>
              <w:jc w:val="right"/>
              <w:ind w:right="740"/>
              <w:spacing w:after="0"/>
              <w:rPr>
                <w:sz w:val="20"/>
                <w:szCs w:val="20"/>
                <w:color w:val="auto"/>
              </w:rPr>
            </w:pPr>
            <w:r>
              <w:rPr>
                <w:rFonts w:ascii="Arial" w:cs="Arial" w:eastAsia="Arial" w:hAnsi="Arial"/>
                <w:sz w:val="18"/>
                <w:szCs w:val="18"/>
                <w:color w:val="auto"/>
              </w:rPr>
              <w:t>$  548.4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rPr>
              <w:t>4.25%</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3.75%</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7"/>
              </w:rPr>
              <w:t>Total Senior Debt</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998.4</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380" w:type="dxa"/>
            <w:vAlign w:val="bottom"/>
            <w:vMerge w:val="restart"/>
          </w:tcPr>
          <w:p>
            <w:pPr>
              <w:jc w:val="right"/>
              <w:ind w:right="932"/>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12-month period ending on the last day of any fiscal quarter to be less than 3.00 to 1.00. For the 12-month period ended December 31, 2015, Lazard Group was in compliance with such ratios, with its Consolidated Leverage Ratio being 1.10 to 1.00 and its Consolidated Interest Coverage Ratio being 21.03 to 1.00. In any event, no amounts were outstanding under the Amended and Restated Credit Agreement as of December 31, 2015.</w:t>
      </w:r>
    </w:p>
    <w:p>
      <w:pPr>
        <w:spacing w:after="0" w:line="10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December 31, 2015, total members’ equity was $703 million, as compared to $494 million and $536 million at December 31, 2014 and 2013, respectively, including $650 million, $432 million and $469 million attributable to Lazard Group on the respective dates. The net activity in members’ equity during the years ended December 31, 2015 and 2014 is reflected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2015</w:t>
            </w: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156"/>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millions)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83"/>
        </w:trPr>
        <w:tc>
          <w:tcPr>
            <w:tcW w:w="8680" w:type="dxa"/>
            <w:vAlign w:val="bottom"/>
            <w:gridSpan w:val="3"/>
          </w:tcPr>
          <w:p>
            <w:pPr>
              <w:ind w:left="460"/>
              <w:spacing w:after="0"/>
              <w:rPr>
                <w:sz w:val="20"/>
                <w:szCs w:val="20"/>
                <w:color w:val="auto"/>
              </w:rPr>
            </w:pPr>
            <w:r>
              <w:rPr>
                <w:rFonts w:ascii="Arial" w:cs="Arial" w:eastAsia="Arial" w:hAnsi="Arial"/>
                <w:sz w:val="18"/>
                <w:szCs w:val="18"/>
                <w:color w:val="auto"/>
              </w:rPr>
              <w:t>Increase (decrease) due to:</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460" w:type="dxa"/>
            <w:vAlign w:val="bottom"/>
          </w:tcPr>
          <w:p>
            <w:pPr>
              <w:spacing w:after="0"/>
              <w:rPr>
                <w:sz w:val="18"/>
                <w:szCs w:val="18"/>
                <w:color w:val="auto"/>
              </w:rPr>
            </w:pP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460" w:type="dxa"/>
            <w:vAlign w:val="bottom"/>
          </w:tcPr>
          <w:p>
            <w:pPr>
              <w:spacing w:after="0"/>
              <w:rPr>
                <w:sz w:val="18"/>
                <w:szCs w:val="18"/>
                <w:color w:val="auto"/>
              </w:rPr>
            </w:pP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Purchase of Lazard Ltd Class A common stock</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08"/>
        </w:trPr>
        <w:tc>
          <w:tcPr>
            <w:tcW w:w="460" w:type="dxa"/>
            <w:vAlign w:val="bottom"/>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Settlement of share-based incentive compensation, net of related tax benefit of $13 million and $5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8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million for the years ended December 31, 2015 and 2014, respectively(a)</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460" w:type="dxa"/>
            <w:vAlign w:val="bottom"/>
          </w:tcPr>
          <w:p>
            <w:pPr>
              <w:spacing w:after="0"/>
              <w:rPr>
                <w:sz w:val="18"/>
                <w:szCs w:val="18"/>
                <w:color w:val="auto"/>
              </w:rPr>
            </w:pP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Contribution from member</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Other—net</w:t>
            </w:r>
          </w:p>
        </w:tc>
        <w:tc>
          <w:tcPr>
            <w:tcW w:w="140" w:type="dxa"/>
            <w:vAlign w:val="bottom"/>
          </w:tcPr>
          <w:p>
            <w:pPr>
              <w:spacing w:after="0"/>
              <w:rPr>
                <w:sz w:val="19"/>
                <w:szCs w:val="19"/>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7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Years Ended December 31:</w:t>
            </w:r>
          </w:p>
        </w:tc>
        <w:tc>
          <w:tcPr>
            <w:tcW w:w="79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9100" w:type="dxa"/>
            <w:vAlign w:val="bottom"/>
            <w:gridSpan w:val="3"/>
          </w:tcPr>
          <w:p>
            <w:pPr>
              <w:ind w:left="7980"/>
              <w:spacing w:after="0"/>
              <w:rPr>
                <w:sz w:val="20"/>
                <w:szCs w:val="20"/>
                <w:color w:val="auto"/>
              </w:rPr>
            </w:pPr>
            <w:r>
              <w:rPr>
                <w:rFonts w:ascii="Arial" w:cs="Arial" w:eastAsia="Arial" w:hAnsi="Arial"/>
                <w:sz w:val="18"/>
                <w:szCs w:val="18"/>
                <w:color w:val="auto"/>
              </w:rPr>
              <w:t>3,488,101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100" w:type="dxa"/>
            <w:vAlign w:val="bottom"/>
            <w:gridSpan w:val="3"/>
            <w:shd w:val="clear" w:color="auto" w:fill="CCEEFF"/>
          </w:tcPr>
          <w:p>
            <w:pPr>
              <w:ind w:left="7980"/>
              <w:spacing w:after="0"/>
              <w:rPr>
                <w:sz w:val="20"/>
                <w:szCs w:val="20"/>
                <w:color w:val="auto"/>
              </w:rPr>
            </w:pPr>
            <w:r>
              <w:rPr>
                <w:rFonts w:ascii="Arial" w:cs="Arial" w:eastAsia="Arial" w:hAnsi="Arial"/>
                <w:sz w:val="18"/>
                <w:szCs w:val="18"/>
                <w:color w:val="auto"/>
              </w:rPr>
              <w:t>4,114,206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2015</w:t>
            </w:r>
          </w:p>
        </w:tc>
        <w:tc>
          <w:tcPr>
            <w:tcW w:w="9100" w:type="dxa"/>
            <w:vAlign w:val="bottom"/>
            <w:gridSpan w:val="3"/>
          </w:tcPr>
          <w:p>
            <w:pPr>
              <w:ind w:left="7980"/>
              <w:spacing w:after="0"/>
              <w:rPr>
                <w:sz w:val="20"/>
                <w:szCs w:val="20"/>
                <w:color w:val="auto"/>
              </w:rPr>
            </w:pPr>
            <w:r>
              <w:rPr>
                <w:rFonts w:ascii="Arial" w:cs="Arial" w:eastAsia="Arial" w:hAnsi="Arial"/>
                <w:sz w:val="18"/>
                <w:szCs w:val="18"/>
                <w:color w:val="auto"/>
              </w:rPr>
              <w:t>3,438,789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December 31, 2015, a total of $106 million of share repurchase authorization remained available under Lazard Ltd’s share repurchase program, which will expire on December 31, 2016.</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on January 27, 2016, the Board of Directors of Lazard authorized the repurchase of up to $200 million of additional shares of Lazard Ltd’s Class A common stock, which authorization will expire on December 31, 2017.</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year ended December 31,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See Notes 13 and 14 of Notes to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this Form 10-K and Note 19 of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$ 1,256,497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$ 174,218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$ 572,500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$ 466,792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Operating Leases (exclusive of $63,843 of committed sublease income)</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869,908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77,651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141,002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123,257</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527,998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9,632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9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10,242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10,242</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$ 2,146,279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$ 132,940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$ 322,766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$ 695,783</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$ 994,790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12, 14, 15 and 17 of Notes to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$170 million with such amount partially offset by a valuation allowance of approximately $89 million.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$89 million as of December 31, 2015.</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any significant valuation allowance reduction were to occur, for subsequent annual periods, we expect that, our effective tax rate, with all other factors being held constant, would increase and could be significantly higher than our effective tax rate in the period preceding the period of the reduction in the valuation allowance. In such a situation, with all other factors being held constant, an increase in our effective tax rate as a result of the reduction in the valuation allowance would not impact the amount of cash income taxes we would pay to taxing authorities.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17 of Notes to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right"/>
              <w:ind w:right="452"/>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27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6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160,486</w:t>
            </w:r>
          </w:p>
        </w:tc>
        <w:tc>
          <w:tcPr>
            <w:tcW w:w="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306,630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2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198,675</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530,712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$ 609,226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2072"/>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December 31, 2015 and 2014, seed investments in directly owned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8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$30 million and $25 million as of December 31, 2015 and 2014, respectively.</w:t>
      </w:r>
    </w:p>
    <w:p>
      <w:pPr>
        <w:spacing w:after="0" w:line="4"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4"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2015 and 2014, total investments with a fair value of $467 million and $517 million, respectively, included $1 million and $1 million, respectively, or less than 1%, respectively, of investments that were classified as Level 3 investments and $123 million and $149 million, respectively, or 26% and 29%, respectively, of investments that were classified using NAV or its equivalent as a practical expedient. See Notes 5 and 6 of Notes to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December 31, 2015 and 2014, the Company held seed investments of approximately $146 million and $164 million, respectively. Seed investments held in entities in which the Company maintained a controlling interest were $49 million in eleven entities as of December 31, 2015, as compared to $42 million in seven entities as of December 31, 2014.</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year ended December 31, 2015, the Company did not consolidate or deconsolidate any seed investment entities. As such, 100% of the recorded balance of seed investments as of December 31, 2015 represented the Company’s economic interest in the seed investments. See “—Consolidation of Variable Interest Entities” below for more information on the Company’s policy regarding the consolidation of seed investment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98"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Market Price Risk—At December 31, 2015 and 2014, the Company’s exposure to equity market price risk in its investment portfolio, which primarily relates to investments in equity securities, equity funds and hedge funds, was approximately $129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$1.8 million and $2.0 million in the carrying value of such investments as of December 31, 2015 and 2014, respectively, including the effect of the hedging transactions.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Rate/Credit Spread Risk—At December 31, 2015 and 2014, the Company’s exposure to interest rate and credit spread risk in its investment portfolio related to investments in debt securities or funds which invest primarily in debt securities was $38 million and $43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$0.1 million and $0.2 million in the carrying value of such investments as of December 31, 2015 and 2014, respectively, including the effect of the hedging transactions.</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Foreign Exchange Rate Risk—At December 31, 2015 and 2014, the Company’s exposure to foreign exchange rate risk in its investment portfolio, which primarily relates to investments in foreign currency denominated equity and debt securities, was $64 million and $68 million, respectively. A significant portion of the Company’s foreign currency exposure related to our equity and debt investment portfolios is hedged through the aforementioned total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return swaps. The Company estimates that a 10% adverse change in foreign exchange rates versus the U.S. dollar would result in a decrease of approximately $1.0 million and $0.6 million in the carrying value of such investments as of December 31, 2015 and 2014, respectively, including the effect of the hedging transactions.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December 31, 2015 and 2014, the Company’s exposure to changes in fair value of such investments was approximately $84 million and $108 million, respectively. The Company estimates that a hypothetical 10% adverse change in fair value would result in a decrease of approximately $8.4 million and $10.8 million in the carrying value of such investments as of December 31, 2015 and 2014,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2015, total receivables amounted to $606 million, net of an allowance for doubtful accounts of</w:t>
      </w:r>
    </w:p>
    <w:p>
      <w:pPr>
        <w:spacing w:after="0" w:line="1"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$13 million. As of that date, Financial Advisory and Asset Management fees, Lazard Ltd subsidaries and customers and other receivables comprised 70%, 18% and 12% of total receivables, respectively. At December 31, 2014, total receivables amounted to $558 million, net of an allowance for doubtful accounts of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$24 million. As of that date, Financial Advisory and Asset Management fees, and customer receivables comprised 87% and 13% of total receivables, respectively. At December 31, 2015 and 2014, the Company had receivables past due or deemed uncollectible of approximately $20 million and $25 million, respectively. See also “Critical Accounting Policies and Estimates—Revenue Recognition” above and Note 4 of Notes to Consolidated Financial Statements for additional information regarding receivables.</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2015 and 2014, customer receivables included $38 million and $35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$2 million at December 31, 2015 and 2014, respectively, and derivative liabilities, excluding the derivative liability arising from the Company’s obligation pertaining to LFI and other similar deferred compensation arrangements, amounted to $2 million and $0.8 million at such respective dates.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$194 million and $207 million at December 31, 2015 and 2014,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2015,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December 31, 2015, the Company’s cash and cash equivalents totaled approximately $1.0 billion.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6"/>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Arial" w:cs="Arial" w:eastAsia="Arial" w:hAnsi="Arial"/>
                <w:sz w:val="15"/>
                <w:szCs w:val="15"/>
                <w:color w:val="0000EE"/>
              </w:rPr>
            </w:pPr>
            <w:hyperlink w:anchor="page70">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Financial Condition as of December 31, 2015 and 2014</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Operations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Comprehensive Income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2015, 2014 and 2013</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Members’ Equity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Notes to Consolidated Financial Statements</w:t>
              </w:r>
            </w:hyperlink>
          </w:p>
        </w:tc>
        <w:tc>
          <w:tcPr>
            <w:tcW w:w="4940" w:type="dxa"/>
            <w:vAlign w:val="bottom"/>
            <w:tcBorders>
              <w:top w:val="single" w:sz="8" w:color="0000EE"/>
            </w:tcBorders>
            <w:gridSpan w:val="11"/>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64"/>
        </w:trPr>
        <w:tc>
          <w:tcPr>
            <w:tcW w:w="10820" w:type="dxa"/>
            <w:vAlign w:val="bottom"/>
            <w:gridSpan w:val="18"/>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26">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302"/>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Condensed Statements of Financial Condition as of December 31, 2015 and 2014</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Condensed Statements of Operations for the years ended December 31, 2015, 2014 and 2013</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Condensed Statements of Comprehensive Income for the years ended December 31, 2015,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Condensed Statements of Cash Flows for the years ended December 31, 2015, 2014 and 2013</w:t>
              </w:r>
            </w:hyperlink>
          </w:p>
        </w:tc>
        <w:tc>
          <w:tcPr>
            <w:tcW w:w="8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Based on management’s assessment and those criteria, management concluded that the Company maintained effective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of December 31, 2015.</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2015, as stated in their report which appears under “Report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2015 of the Company, and our report dated February 25, 2016,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2015 and 2014, and the related consolidated statements of operations, comprehensive income, cash flows, and changes in members’ equity for each of the three years in the period ended December 31, 2015.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25, 2016,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$ 1,025,844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389,861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34,948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$12,882 and $23,540 at</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2015 and 2014, respectively):</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423,817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Lazard Ltd subsidiaries</w:t>
            </w: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606,030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530,712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Property (net of accumulated amortization and depreciation of $265,505 and $256,285 at December 31, 2015 and 2014,</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207,165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222,569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4"/>
              </w:rPr>
              <w:t>Goodwill and other intangible assets (net of accumulated amortization of $57,561 and $51,754 at December 31, 2015 and</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respectively)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326,976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347,438</w:t>
            </w: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52,695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59,041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223,815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3,398,046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506,665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Lazard Ltd subsidiaries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2,695,146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2,676,541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1"/>
              </w:rPr>
              <w:t>Members’ equity (net of 3,322,385 and 5,663,243 shares of Lazard Ltd Class A common stock, at a cost of $161,288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and $246,032 at December 31, 2015 and 2014,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839,517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(189,758)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3,398,046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3,170,680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1,276,096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1,201,424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1,036,821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1,080,842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2,405,161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2,368,941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2,071,113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68,205</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2,350,276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2,300,736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1,984,074</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1,319,620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1,313,550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1,278,479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111,522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91,119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44,495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65,457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39,202</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1,819,431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1,759,761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530,845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540,975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219,009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449,297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463,160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186,767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442,738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457,004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$ 449,297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$ 463,160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$ 186,767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(43,861)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(3,421)</w:t>
            </w: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w w:val="94"/>
              </w:rPr>
              <w:t>Actuarial gain (loss) (net of tax expense (benefit) of $5,644, $(9,045) and $(6,388) for the years ended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06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11,283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(21,983)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(13,500)</w:t>
            </w: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Adjustment for items reclassified to earnings (net of tax expense of $1,507, $1,923 and $1,929 for the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2015, 2014 and 2013, respectively)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9"/>
                <w:szCs w:val="19"/>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(26,470)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(61,095)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(9,814)</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$ 416,268</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$ 395,912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$ 173,328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449,297</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463,160</w:t>
            </w:r>
          </w:p>
        </w:tc>
        <w:tc>
          <w:tcPr>
            <w:tcW w:w="120" w:type="dxa"/>
            <w:vAlign w:val="bottom"/>
          </w:tcPr>
          <w:p>
            <w:pPr>
              <w:spacing w:after="0"/>
              <w:rPr>
                <w:sz w:val="12"/>
                <w:szCs w:val="12"/>
                <w:color w:val="auto"/>
              </w:rPr>
            </w:pPr>
          </w:p>
        </w:tc>
        <w:tc>
          <w:tcPr>
            <w:tcW w:w="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32,785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34,463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309,229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60,219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disposal of subsidiary</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(24,388)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(207,373)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15,656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(75,340)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64,232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(159,544)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(109,321)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(113,622)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44,327</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184,704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768,900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722,364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527,651</w:t>
            </w:r>
          </w:p>
        </w:tc>
        <w:tc>
          <w:tcPr>
            <w:tcW w:w="0" w:type="dxa"/>
            <w:vAlign w:val="bottom"/>
          </w:tcPr>
          <w:p>
            <w:pPr>
              <w:spacing w:after="0"/>
              <w:rPr>
                <w:sz w:val="1"/>
                <w:szCs w:val="1"/>
                <w:color w:val="auto"/>
              </w:rPr>
            </w:pPr>
          </w:p>
        </w:tc>
      </w:tr>
      <w:tr>
        <w:trPr>
          <w:trHeight w:val="156"/>
        </w:trPr>
        <w:tc>
          <w:tcPr>
            <w:tcW w:w="8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(26,629)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(22,184)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(60,964)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677</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(25,952)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(54,553)</w:t>
            </w:r>
          </w:p>
        </w:tc>
        <w:tc>
          <w:tcPr>
            <w:tcW w:w="0" w:type="dxa"/>
            <w:vAlign w:val="bottom"/>
          </w:tcPr>
          <w:p>
            <w:pPr>
              <w:spacing w:after="0"/>
              <w:rPr>
                <w:sz w:val="1"/>
                <w:szCs w:val="1"/>
                <w:color w:val="auto"/>
              </w:rPr>
            </w:pPr>
          </w:p>
        </w:tc>
      </w:tr>
      <w:tr>
        <w:trPr>
          <w:trHeight w:val="156"/>
        </w:trPr>
        <w:tc>
          <w:tcPr>
            <w:tcW w:w="8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40" w:type="dxa"/>
            <w:vAlign w:val="bottom"/>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396,272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13,300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(509,098)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(578,464)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(1,826)</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(16,286)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(215,642)</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(141,192)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(132,477)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 to members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(129,787)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(322,369)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(125,516)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(120,116)</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(85,442)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(132,533)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(585,279)</w:t>
            </w:r>
          </w:p>
        </w:tc>
        <w:tc>
          <w:tcPr>
            <w:tcW w:w="16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(561,879)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6"/>
              </w:rPr>
              <w:t>(492,544)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(49,037)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(55,451)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6,220</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108,632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84,935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917,212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832,277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EQUIVALENTS—December 31</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1,025,844</w:t>
            </w:r>
          </w:p>
        </w:tc>
        <w:tc>
          <w:tcPr>
            <w:tcW w:w="20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917,212</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832,277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66,049</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4"/>
                <w:szCs w:val="14"/>
                <w:color w:val="auto"/>
              </w:rPr>
              <w:t>Income taxes, net of refunds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40" w:type="dxa"/>
            <w:vAlign w:val="bottom"/>
            <w:vMerge w:val="continue"/>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56,564</w:t>
            </w:r>
          </w:p>
        </w:tc>
        <w:tc>
          <w:tcPr>
            <w:tcW w:w="200" w:type="dxa"/>
            <w:vAlign w:val="bottom"/>
          </w:tcPr>
          <w:p>
            <w:pPr>
              <w:spacing w:after="0"/>
              <w:rPr>
                <w:sz w:val="12"/>
                <w:szCs w:val="12"/>
                <w:color w:val="auto"/>
              </w:rPr>
            </w:pPr>
          </w:p>
        </w:tc>
        <w:tc>
          <w:tcPr>
            <w:tcW w:w="160" w:type="dxa"/>
            <w:vAlign w:val="bottom"/>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48,722</w:t>
            </w:r>
          </w:p>
        </w:tc>
        <w:tc>
          <w:tcPr>
            <w:tcW w:w="120" w:type="dxa"/>
            <w:vAlign w:val="bottom"/>
          </w:tcPr>
          <w:p>
            <w:pPr>
              <w:spacing w:after="0"/>
              <w:rPr>
                <w:sz w:val="12"/>
                <w:szCs w:val="12"/>
                <w:color w:val="auto"/>
              </w:rPr>
            </w:pPr>
          </w:p>
        </w:tc>
        <w:tc>
          <w:tcPr>
            <w:tcW w:w="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18"/>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58"/>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3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220" w:type="dxa"/>
            <w:vAlign w:val="bottom"/>
          </w:tcPr>
          <w:p>
            <w:pPr>
              <w:spacing w:after="0"/>
              <w:rPr>
                <w:sz w:val="12"/>
                <w:szCs w:val="12"/>
                <w:color w:val="auto"/>
              </w:rPr>
            </w:pPr>
          </w:p>
        </w:tc>
        <w:tc>
          <w:tcPr>
            <w:tcW w:w="1420" w:type="dxa"/>
            <w:vAlign w:val="bottom"/>
            <w:gridSpan w:val="3"/>
          </w:tcPr>
          <w:p>
            <w:pPr>
              <w:jc w:val="center"/>
              <w:ind w:right="41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$ 545,572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(92,393)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453,179</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75,908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183,063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186,767</w:t>
            </w:r>
          </w:p>
        </w:tc>
      </w:tr>
      <w:tr>
        <w:trPr>
          <w:trHeight w:val="216"/>
        </w:trPr>
        <w:tc>
          <w:tcPr>
            <w:tcW w:w="518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78"/>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(9,814)</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235,898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235,898</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(125,516)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(125,516)</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(12,535)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(138,051)</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(132,477)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(132,477)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(132,477)</w:t>
            </w:r>
          </w:p>
        </w:tc>
      </w:tr>
      <w:tr>
        <w:trPr>
          <w:trHeight w:val="208"/>
        </w:trPr>
        <w:tc>
          <w:tcPr>
            <w:tcW w:w="518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gridSpan w:val="2"/>
          </w:tcPr>
          <w:p>
            <w:pPr>
              <w:ind w:left="220"/>
              <w:spacing w:after="0"/>
              <w:rPr>
                <w:sz w:val="20"/>
                <w:szCs w:val="20"/>
                <w:color w:val="auto"/>
              </w:rPr>
            </w:pPr>
            <w:r>
              <w:rPr>
                <w:rFonts w:ascii="Arial" w:cs="Arial" w:eastAsia="Arial" w:hAnsi="Arial"/>
                <w:sz w:val="18"/>
                <w:szCs w:val="18"/>
                <w:color w:val="auto"/>
                <w:w w:val="99"/>
              </w:rPr>
              <w:t>share-based incentive compensation and related tax benefit of</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160" w:type="dxa"/>
            <w:vAlign w:val="bottom"/>
          </w:tcPr>
          <w:p>
            <w:pPr>
              <w:ind w:left="220"/>
              <w:spacing w:after="0"/>
              <w:rPr>
                <w:sz w:val="20"/>
                <w:szCs w:val="20"/>
                <w:color w:val="auto"/>
              </w:rPr>
            </w:pPr>
            <w:r>
              <w:rPr>
                <w:rFonts w:ascii="Arial" w:cs="Arial" w:eastAsia="Arial" w:hAnsi="Arial"/>
                <w:sz w:val="18"/>
                <w:szCs w:val="18"/>
                <w:color w:val="auto"/>
              </w:rPr>
              <w:t>$40</w:t>
            </w:r>
          </w:p>
        </w:tc>
        <w:tc>
          <w:tcPr>
            <w:tcW w:w="40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(132,493)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(132,493)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(132,493)</w:t>
            </w: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440"/>
              <w:spacing w:after="0"/>
              <w:rPr>
                <w:sz w:val="20"/>
                <w:szCs w:val="20"/>
                <w:color w:val="auto"/>
              </w:rPr>
            </w:pPr>
            <w:r>
              <w:rPr>
                <w:rFonts w:ascii="Arial" w:cs="Arial" w:eastAsia="Arial" w:hAnsi="Arial"/>
                <w:sz w:val="18"/>
                <w:szCs w:val="18"/>
                <w:color w:val="auto"/>
              </w:rPr>
              <w:t>Delivery of Lazard Ltd Class A common stock</w:t>
            </w: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r>
      <w:tr>
        <w:trPr>
          <w:trHeight w:val="208"/>
        </w:trPr>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Ltd Class A common stock issuable (including</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Adjustment related to noncontrolling interests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78"/>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(2,866)</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2013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$ 571,668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(102,196</w:t>
            </w:r>
          </w:p>
        </w:tc>
        <w:tc>
          <w:tcPr>
            <w:tcW w:w="520" w:type="dxa"/>
            <w:vAlign w:val="bottom"/>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469,472</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December 31, 2013. Also includes profit participation interests and two managing member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 of 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$ 571,668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(102,196)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469,472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457,004</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457,004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Other comprehensive loss – net of tax</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(61,092)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(61,092)</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206,195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(322,369)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(322,369)</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(10,214)</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(332,583)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(232,220)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(232,220)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(232,220)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shared-based incentive compensation awards and related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benefit of $4,783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(80,659)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(80,659)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(80,659)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Delivery of Lazard Ltd Class A common stock</w:t>
            </w: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Lazard Ltd Class A common stock issuable (including</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2014 (*)</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$ 594,834</w:t>
            </w:r>
          </w:p>
        </w:tc>
        <w:tc>
          <w:tcPr>
            <w:tcW w:w="3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(163,288)</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431,546</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300" w:type="dxa"/>
            <w:vAlign w:val="bottom"/>
            <w:shd w:val="clear" w:color="auto" w:fill="CCEEFF"/>
          </w:tcPr>
          <w:p>
            <w:pPr>
              <w:spacing w:after="0"/>
              <w:rPr>
                <w:sz w:val="19"/>
                <w:szCs w:val="19"/>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$ 494,139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December 31, 2014. Also includes profit participation interests and two managing member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 of 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$ 594,834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(163,288)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431,546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$ 494,139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442,738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comprehensive loss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(26,470)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(26,470)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226,723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Contribution from member</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(129,787)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(129,787)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(215,642)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(215,642)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(215,642)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incentive compensation awards and related tax</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of $13,138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(106,978)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(106,978)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2015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$ 839,517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(189,758)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649,759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53,141</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$ 702,900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December 31, 2015,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Amended and Restated Operating Agreement dated as of October 26, 2015 (the “Operating Agreement”).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Lazard Ltd indirectly held 100% of all outstanding Lazard Group common membership interests as of December 31, 2015 and 2014.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prior period amounts have been reclassified to conform to the current period presentation, primarily by separately presenting deferred tax assets and deferred tax liabilities in the consolidated statements of financial condition.</w:t>
      </w:r>
    </w:p>
    <w:p>
      <w:pPr>
        <w:spacing w:after="0" w:line="25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amounted to $1,467, $296 and $(2,564), respectively, for the years ended December 31, 2015, 2014 and 2013, and are included in “revenue-other” on the respective consolidated statements of operations.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consolidated financial statements in conformity with U.S. GAAP requires the use of management’s estimates.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preparing the consolidated financial statements, management makes estimates and assumptions regarding:</w:t>
      </w:r>
    </w:p>
    <w:p>
      <w:pPr>
        <w:spacing w:after="0" w:line="51" w:lineRule="exact"/>
        <w:rPr>
          <w:sz w:val="20"/>
          <w:szCs w:val="20"/>
          <w:color w:val="auto"/>
        </w:rPr>
      </w:pPr>
    </w:p>
    <w:p>
      <w:pPr>
        <w:ind w:left="900" w:right="6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additional information regarding receivables.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Such amounts are reflected in “revenue-other” in the consolidated statements of operations.</w:t>
      </w:r>
    </w:p>
    <w:p>
      <w:pPr>
        <w:spacing w:after="0" w:line="13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8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for additional information regarding the Company’s investments.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$32,785, $34,463 and $34,750 for the years ended December 31, 2015, 2014 and 2013,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completed its annual goodwill review as of November 1, 2015, and determined that no impairment existed.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with respect to goodwill and other intangible assets.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demand deposits, both interest-bearing and non-interest bearing.</w:t>
      </w:r>
    </w:p>
    <w:p>
      <w:pPr>
        <w:spacing w:after="0" w:line="20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Investment Banking and Other Advisory Fees—</w:t>
      </w:r>
      <w:r>
        <w:rPr>
          <w:rFonts w:ascii="Arial" w:cs="Arial" w:eastAsia="Arial" w:hAnsi="Arial"/>
          <w:sz w:val="15"/>
          <w:szCs w:val="15"/>
          <w:color w:val="auto"/>
        </w:rPr>
        <w:t>Fees for M&amp;A and Other Advisory services and Restructuring advisory services are recorded when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there is persuasive evidence of an arrangement with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client, (ii) fees are fixed or determinable, (iii) the agreed-upon services have been completed and delivered to the client or the transaction or events contemplated in the engagement letter are determined to be substantially completed, which is generally the date the related transactions are consummated and (iv) collection is reasonably assured.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2015, 2014 and 2013 are $19,358, $20,407 and $18,327, respectively.</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Asset Management Fees—</w:t>
      </w:r>
      <w:r>
        <w:rPr>
          <w:rFonts w:ascii="Arial" w:cs="Arial" w:eastAsia="Arial" w:hAnsi="Arial"/>
          <w:sz w:val="15"/>
          <w:szCs w:val="15"/>
          <w:color w:val="auto"/>
        </w:rPr>
        <w:t>Asset management fees are derived from fees for investment management and advisory services provided to clients. Revenue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19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$534,752, $532,415 and $499,272 for the years ended December 31, 2015, 2014 and 2013, respectively, of which $42,002 and $42,291 remained as a receivable at December 31, 2015 and 2014, respectively, and is included in “fees receivable” on the consolidated statements of financial condition.</w:t>
      </w:r>
    </w:p>
    <w:p>
      <w:pPr>
        <w:spacing w:after="0" w:line="107"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does not incur any liability and does not accrue any expenses in connection with any research or other services obtained by the Asset Management business pursuant to such soft dollar arrangements. For the year ended December 31, 2015, the Company obtained research and other services through soft dollar arrangements valued at approximately $24,000. If the use of soft dollars is limited or prohibited in the future by regulation, we may have to bear the costs of such research and other services.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 immediately.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Equity-based compensation awards that require future service are amortized over the applicable vesting period, or requisite service period, based on the fair value of Lazard Ltd’s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1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b w:val="1"/>
          <w:bCs w:val="1"/>
          <w:color w:val="auto"/>
        </w:rPr>
        <w:t>—</w:t>
      </w:r>
      <w:r>
        <w:rPr>
          <w:rFonts w:ascii="Arial" w:cs="Arial" w:eastAsia="Arial" w:hAnsi="Arial"/>
          <w:sz w:val="16"/>
          <w:szCs w:val="16"/>
          <w:color w:val="auto"/>
        </w:rPr>
        <w:t>Charges associated with management-approved cost saving plans or staff reductions can include severance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Although a portion of Lazard Group’s income is subject to U.S. federal income taxes, Lazard Group primarily operates in the U.S.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for additional information).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assessment regarding whether a valuation allowance is required or should be adjusted also considers all available information, including the following:</w:t>
      </w:r>
    </w:p>
    <w:p>
      <w:pPr>
        <w:spacing w:after="0" w:line="125"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8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“provision for income taxes”. See Note 17 for additional information relating to income taxes.</w:t>
      </w:r>
    </w:p>
    <w:p>
      <w:pPr>
        <w:spacing w:after="0" w:line="25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2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—In February 2015, the FASB issued updated guidance for the consolidation of certain legal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w:t>
      </w:r>
      <w:r>
        <w:rPr>
          <w:rFonts w:ascii="Arial" w:cs="Arial" w:eastAsia="Arial" w:hAnsi="Arial"/>
          <w:sz w:val="18"/>
          <w:szCs w:val="18"/>
          <w:i w:val="1"/>
          <w:iCs w:val="1"/>
          <w:color w:val="auto"/>
        </w:rPr>
        <w:t xml:space="preserve"> Customers Accounting for Fees Paid in a Cloud Computing Arrangement</w:t>
      </w:r>
      <w:r>
        <w:rPr>
          <w:rFonts w:ascii="Arial" w:cs="Arial" w:eastAsia="Arial" w:hAnsi="Arial"/>
          <w:sz w:val="18"/>
          <w:szCs w:val="18"/>
          <w:color w:val="auto"/>
        </w:rPr>
        <w:t>—In April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updated guidance providing clarification on whether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cloud computing arrangement that contains a software license should be accounted for as internal-use software. The new guidance is effective for annual and interim periods beginning after December 15, 2015, with early adoption permitted. The Company does not expect that the adoption of this guidance will have a material impact on our consolidated financial statements.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24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The Company’s receivables represent fee receivables, amounts due from customers and other receivables, and amounts due from Lazard Ltd subsidiaries.</w:t>
      </w:r>
    </w:p>
    <w:p>
      <w:pPr>
        <w:spacing w:after="0" w:line="20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2015, 2014 and 2013 was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1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$ 23,540</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$ 28,777</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40" w:type="dxa"/>
            <w:vAlign w:val="bottom"/>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12,246</w:t>
            </w:r>
          </w:p>
        </w:tc>
        <w:tc>
          <w:tcPr>
            <w:tcW w:w="580" w:type="dxa"/>
            <w:vAlign w:val="bottom"/>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(13,783)</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(17,483)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$ 12,882</w:t>
            </w:r>
          </w:p>
        </w:tc>
        <w:tc>
          <w:tcPr>
            <w:tcW w:w="8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$ 23,540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and 2014, the Company had receivables past due or deemed uncollectible of $19,923 and $24,578, respectively.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Of the Company’s fee receivables at December 31, 2015 and 2014, $81,774 and $86,221, respectively, represented interest-bearing financing receivables. In addition, at December 31, 2015, the Company had interest- bearing receivables from Lazard Ltd subsidiaries of $106,567. Based upon our historical loss experience, the credit quality of the counterparties, and the lack of past due or uncollectible amounts, there was no allowance for doubtful accounts required at those dates related to such receivables.</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$417,689 and $471,707 at December 31, 2015 and 2014, respectively, approximates fair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197,787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228,209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100,219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421,541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530,712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609,226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466,910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516,875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Interests in alternative investment funds, debt funds and equity funds include investments with fair values of $10,996, $31,598 and $156,081, respectively, at December 31, 2015 and $8,321, $42,070 and $162,798, respectively, at December 31, 2014,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consolidated statements of operations for the year ended December 31, 2015.</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years ended December 31, 2015, 2014 and 2013, the Company reported in “revenue-other” on its consolidated statements of operations net unrealized investment gains and losses pertaining to “trading” securities still held as of the reporting date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(19,784)</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$(8,946)</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$16,877</w:t>
            </w:r>
          </w:p>
        </w:tc>
        <w:tc>
          <w:tcPr>
            <w:tcW w:w="100" w:type="dxa"/>
            <w:vAlign w:val="bottom"/>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14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44"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as of December 31, 2015 and 2014, the classification of (i) investments and certain other assets and liabilities measured at fair value on a recurring basis within the fair value hierarchy and (ii) investments measured at NAV or its equivalent as a practical expedient: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197,787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100,219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467,958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195,689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195,689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198,928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49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2014 (b)</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92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NAV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55,987</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228,166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228,209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114,470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114,470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361,452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149,222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519,230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208,093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208,093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208,093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217,383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table as of December 31, 2014 reflects the retrospective application of new disclosure guidance adopted by the Company for investments using NAV or its equivalent as a practical expedient when measuring fair value. See Note 3.</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tables provide a summary of changes in fair value of the Company’s Level 3 assets for the years ended December 31, 2015,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Year Ended December 31, 2015 (a)</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Included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2"/>
              </w:rPr>
              <w:t>Beginning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96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Other (b)</w:t>
            </w:r>
          </w:p>
        </w:tc>
        <w:tc>
          <w:tcPr>
            <w:tcW w:w="9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1,315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99"/>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1,276</w:t>
            </w:r>
          </w:p>
        </w:tc>
        <w:tc>
          <w:tcPr>
            <w:tcW w:w="100" w:type="dxa"/>
            <w:vAlign w:val="bottom"/>
          </w:tcPr>
          <w:p>
            <w:pPr>
              <w:spacing w:after="0"/>
              <w:rPr>
                <w:sz w:val="18"/>
                <w:szCs w:val="18"/>
                <w:color w:val="auto"/>
              </w:rPr>
            </w:pP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00" w:type="dxa"/>
            <w:vAlign w:val="bottom"/>
            <w:tcBorders>
              <w:left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1,276</w:t>
            </w:r>
          </w:p>
        </w:tc>
        <w:tc>
          <w:tcPr>
            <w:tcW w:w="100" w:type="dxa"/>
            <w:vAlign w:val="bottom"/>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Year Ended December 31, 2014 (a)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Realized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Included</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2"/>
              </w:rPr>
              <w:t>Beginning</w:t>
            </w: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9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Other (b)</w:t>
            </w:r>
          </w:p>
        </w:tc>
        <w:tc>
          <w:tcPr>
            <w:tcW w:w="9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59"/>
              <w:spacing w:after="0"/>
              <w:rPr>
                <w:sz w:val="20"/>
                <w:szCs w:val="20"/>
                <w:color w:val="auto"/>
              </w:rPr>
            </w:pPr>
            <w:r>
              <w:rPr>
                <w:rFonts w:ascii="Arial" w:cs="Arial" w:eastAsia="Arial" w:hAnsi="Arial"/>
                <w:sz w:val="18"/>
                <w:szCs w:val="18"/>
                <w:color w:val="auto"/>
                <w:w w:val="90"/>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1,315</w:t>
            </w:r>
          </w:p>
        </w:tc>
        <w:tc>
          <w:tcPr>
            <w:tcW w:w="100" w:type="dxa"/>
            <w:vAlign w:val="bottom"/>
          </w:tcPr>
          <w:p>
            <w:pPr>
              <w:spacing w:after="0"/>
              <w:rPr>
                <w:sz w:val="18"/>
                <w:szCs w:val="18"/>
                <w:color w:val="auto"/>
              </w:rPr>
            </w:pPr>
          </w:p>
        </w:tc>
      </w:tr>
      <w:tr>
        <w:trPr>
          <w:trHeight w:val="27"/>
        </w:trPr>
        <w:tc>
          <w:tcPr>
            <w:tcW w:w="304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00" w:type="dxa"/>
            <w:vAlign w:val="bottom"/>
            <w:tcBorders>
              <w:left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0"/>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1,315</w:t>
            </w:r>
          </w:p>
        </w:tc>
        <w:tc>
          <w:tcPr>
            <w:tcW w:w="100" w:type="dxa"/>
            <w:vAlign w:val="bottom"/>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91</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87"/>
              </w:rPr>
              <w:t>Year Ended December 31, 2013 (a)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Realized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Foreign</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Included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Currency</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Beginning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600" w:type="dxa"/>
            <w:vAlign w:val="bottom"/>
          </w:tcPr>
          <w:p>
            <w:pPr>
              <w:spacing w:after="0"/>
              <w:rPr>
                <w:sz w:val="12"/>
                <w:szCs w:val="12"/>
                <w:color w:val="auto"/>
              </w:rPr>
            </w:pPr>
          </w:p>
        </w:tc>
        <w:tc>
          <w:tcPr>
            <w:tcW w:w="6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w w:val="98"/>
              </w:rPr>
              <w:t>Sales/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Translation</w:t>
            </w:r>
          </w:p>
        </w:tc>
        <w:tc>
          <w:tcPr>
            <w:tcW w:w="5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4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Other (b)</w:t>
            </w:r>
          </w:p>
        </w:tc>
        <w:tc>
          <w:tcPr>
            <w:tcW w:w="9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Acquisitions</w:t>
            </w:r>
          </w:p>
        </w:tc>
        <w:tc>
          <w:tcPr>
            <w:tcW w:w="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5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center"/>
              <w:ind w:lef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1,340</w:t>
            </w:r>
          </w:p>
        </w:tc>
        <w:tc>
          <w:tcPr>
            <w:tcW w:w="10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1,340</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tables for the years ended December 31, 2015, 2014 and 2013 reflect the retrospective application of new disclosure guidance adopted by the Company for investments using NAV or its equivalent as a practical expedient when measuring fair value. See Note 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for the years ended December 31, 2015, 2014 and 2013 include net unrealized gains of $14, $19 and $11, respectively.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2015 and 2014.</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2015 and 2014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5"/>
              </w:rPr>
              <w:t>December 31, 2015</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Quoted</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Prices</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 Active</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60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Identical</w:t>
            </w:r>
          </w:p>
        </w:tc>
        <w:tc>
          <w:tcPr>
            <w:tcW w:w="60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2"/>
                <w:szCs w:val="12"/>
                <w:color w:val="auto"/>
              </w:rPr>
            </w:pPr>
          </w:p>
        </w:tc>
        <w:tc>
          <w:tcPr>
            <w:tcW w:w="6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1,025,844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1,025,844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1,025,844</w:t>
            </w:r>
          </w:p>
        </w:tc>
        <w:tc>
          <w:tcPr>
            <w:tcW w:w="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389,861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389,861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14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34,948</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34,948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34,948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81,774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Interest-bearing deposits (included within investments)</w:t>
            </w:r>
          </w:p>
        </w:tc>
        <w:tc>
          <w:tcPr>
            <w:tcW w:w="14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54,885</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54,885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54,885</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506,665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506,665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506,665</w:t>
            </w:r>
          </w:p>
        </w:tc>
        <w:tc>
          <w:tcPr>
            <w:tcW w:w="4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998,350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993,999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993,999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Active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Identical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Assets (Level 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917,212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917,212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917,212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207,760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Cash deposited with clearing organizations and 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43,290</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43,290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43,290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86,221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88,499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84,575</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84,575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84,575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316,602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316,602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316,602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1,048,350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1,134,834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1,134,834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171"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tables present, at December 31, 2015 and 2014,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10,242(f)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122,732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10,242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18,676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2015,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primarily arose from commitments to EGCP III, which amounted to $9,672,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3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14) on the accompanying consolidated statements of financial condition as of December 31, 2015 and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23"/>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193,574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207,306</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195,689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208,093</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6"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$460 and $958 as of December 31, 2015, respectively, and $1,123 and $1,786 as of December 31, 2014, respectively, for contracts with the same counterparty under legally enforceable master netting agreements. Such amounts are recorded “net” in “other assets”, with receivables for net cash collateral under such contracts of $9,636 and $12,364 as of December 31, 2015 and 2014,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2015, 2014 and 2013,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$15,773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$22,959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(14,099)</w:t>
            </w: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(11,853)</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23,699</w:t>
            </w:r>
          </w:p>
        </w:tc>
        <w:tc>
          <w:tcPr>
            <w:tcW w:w="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(29,114)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2015 and 2014,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$137,181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$152,982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167,838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160,552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472,670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265,505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207,165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2015 and 2014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$320,761</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$335,402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326,976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December 31, 2015 and 2014, goodwill of $256,220 and $270,861,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2015, 2014 and 2013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$335,402</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Business acquisitions</w:t>
            </w:r>
          </w:p>
        </w:tc>
        <w:tc>
          <w:tcPr>
            <w:tcW w:w="2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(13,283)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2"/>
            <w:vMerge w:val="continue"/>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320,761</w:t>
            </w: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335,402</w:t>
            </w:r>
          </w:p>
        </w:tc>
        <w:tc>
          <w:tcPr>
            <w:tcW w:w="4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345,453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80" w:type="dxa"/>
            <w:vAlign w:val="bottom"/>
            <w:vMerge w:val="restart"/>
          </w:tcPr>
          <w:p>
            <w:pPr>
              <w:jc w:val="right"/>
              <w:ind w:right="1312"/>
              <w:spacing w:after="0"/>
              <w:rPr>
                <w:sz w:val="20"/>
                <w:szCs w:val="20"/>
                <w:color w:val="auto"/>
              </w:rPr>
            </w:pPr>
            <w:r>
              <w:rPr>
                <w:rFonts w:ascii="Arial" w:cs="Arial" w:eastAsia="Arial" w:hAnsi="Arial"/>
                <w:sz w:val="18"/>
                <w:szCs w:val="18"/>
                <w:color w:val="auto"/>
              </w:rPr>
              <w:t>96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All changes in the carrying amount of goodwill for the years ended December 31, 2015, 2014 and 2013 are attributable to the Company’s Financial Advisory segment.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2015, 2014 and 2013, the Company determined that no impairment existed.</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2015 and 2014,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December 31, 2015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9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$ 5,548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32,369</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r>
      <w:tr>
        <w:trPr>
          <w:trHeight w:val="27"/>
        </w:trPr>
        <w:tc>
          <w:tcPr>
            <w:tcW w:w="5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$ 6,215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63,790</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100" w:type="dxa"/>
            <w:vAlign w:val="bottom"/>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2015, 2014 and 2013 was $5,821, $6,387 and $10,114,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2015 and 2014:</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other taxes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223,815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540" w:type="dxa"/>
            <w:vAlign w:val="bottom"/>
            <w:vMerge w:val="restart"/>
          </w:tcPr>
          <w:p>
            <w:pPr>
              <w:jc w:val="right"/>
              <w:ind w:right="3132"/>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2015 and 2014:</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$128,022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104,734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94,893</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110,838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83,566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83,209</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100" w:type="dxa"/>
            <w:vAlign w:val="bottom"/>
            <w:shd w:val="clear" w:color="auto" w:fill="CCEEFF"/>
          </w:tcPr>
          <w:p>
            <w:pPr>
              <w:spacing w:after="0"/>
              <w:rPr>
                <w:sz w:val="18"/>
                <w:szCs w:val="18"/>
                <w:color w:val="auto"/>
              </w:rPr>
            </w:pP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494,697</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522,462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2015 and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Outstanding As Of</w:t>
            </w:r>
          </w:p>
        </w:tc>
      </w:t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1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Lazard Group 6.85%</w:t>
            </w:r>
          </w:p>
        </w:tc>
        <w:tc>
          <w:tcPr>
            <w:tcW w:w="4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4.25%</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Notes (b)</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11/14/20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3.75%</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5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consolidated statement of operations for the year ended December 31, 2015.</w:t>
      </w:r>
    </w:p>
    <w:p>
      <w:pPr>
        <w:spacing w:after="0" w:line="1"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November 2013, the Company launched a tender offer for all of Lazard Group’s outstanding 7.125% senior notes maturing on May 15, 2015 (the “2015 Notes”) and simultaneously announced a notice of intent to redeem any 2015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67"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In connection with the redemption of the 2015 Notes, Lazard Group issued $500,000 aggregate principal amount of 4.25% senior notes maturing on November 14, 2020 (the “2020 Notes”). Interest on the 2020 Notes is payable semi-annually on May 14 and November 14 of each year. In connection with the issuance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of the 2020 Notes, the Company entered into and settled an interest rate forward agreement and recognized a related loss of $ 1,767. The loss was recorded in “operating expenses—other” in the consolidated statements of operations.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2015 and 2014, no amounts were outstanding under the Amended and Restated Credit Agreement or the prior revolving credit facility, respectively.</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2015, the Company was in compliance with such provisions. All of the Company’s senior debt obligations are unsecured.</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2015 for each of the five years in the period ending December 31, 2020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98,350</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2018-2019</w:t>
            </w: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6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100" w:type="dxa"/>
            <w:vAlign w:val="bottom"/>
          </w:tcPr>
          <w:p>
            <w:pPr>
              <w:spacing w:after="0"/>
              <w:rPr>
                <w:sz w:val="19"/>
                <w:szCs w:val="19"/>
                <w:color w:val="auto"/>
              </w:rPr>
            </w:pPr>
          </w:p>
        </w:tc>
      </w:tr>
      <w:tr>
        <w:trPr>
          <w:trHeight w:val="217"/>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100" w:type="dxa"/>
            <w:vAlign w:val="bottom"/>
            <w:shd w:val="clear" w:color="auto" w:fill="CCEEFF"/>
          </w:tcPr>
          <w:p>
            <w:pPr>
              <w:spacing w:after="0"/>
              <w:rPr>
                <w:sz w:val="18"/>
                <w:szCs w:val="18"/>
                <w:color w:val="auto"/>
              </w:rPr>
            </w:pP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Total</w:t>
            </w:r>
          </w:p>
        </w:tc>
        <w:tc>
          <w:tcPr>
            <w:tcW w:w="6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senior debt at December 31, 2015 and 2014 is carried at historical amounts. See Note 6 for information regarding the fair value and fair value hierarchy category of the Company’s senior debt.</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December 31, 2015, the Company had approximately $235,000 in unused lines of credit available to it, including the credit facility provided under the Amended and Restated Credit Agreement, and unused lines of credit available to LFB of approximately $27,000 (at December 31, 2015 exchange rates) and Edgewater of $55,000. In addition, LFB has access to the Eurosystem Covered Bond Purchase Program of the Banque de France.</w:t>
      </w:r>
    </w:p>
    <w:p>
      <w:pPr>
        <w:spacing w:after="0" w:line="22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2015, 2014 and 2013, aggregate rental expense relating to operating leases amounted to $79,523, $80,745 and $86,476, respectively, and is included in “occupancy and equipment” or “technology and information services” on the consolidated statements of operations, depending on the nature of the underlying asset. The Company subleases office space under agreements, which expire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various dates through 2022. Sublease income from such agreements was $9,587, $11,751 and $11,404 for the years ended December 31, 2015, 2014 and 2013, respectively, which includes sublease income of $1,281, $3,097 and $4,136, respectively, from an affiliate of LMDC Holdings LLC (“LMDC Holdings”).</w:t>
      </w:r>
    </w:p>
    <w:p>
      <w:pPr>
        <w:spacing w:after="0" w:line="85"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6.1%. Such obligations are collateralized primarily by certain buildings with a net book value of approximately $15,121 and $16,863 at December 31, 2015 and 2014, respectively. The net book value of all assets recorded under capital leases aggregated $15,273 and $17,326 at December 31, 2015 and 2014,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2015,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ind w:left="34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29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2,060</w:t>
            </w: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77,651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7,514</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63,843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2015 and 2014, the Company has recognized liabilities of $6,155 and $8,516,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2015, LFB had $4,660 of such indemnifications and held $4,317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stock (the “Initial Shares”) and (iii) up to 1,142,857 additional shares of Class A common stock (the “Earnout Shares”) that are subject to earnout criteria and payable over time. The Earnout Shares will be issued only if certain performance thresholds are met. As of December 31, 2015 and 2014, 913,722 shares are issuable on a contingent basis, and 1,371,992 have been earned because applicable performance thresholds have been satisfied. As of December 31, 2015 and 2014, 1,371,992 of the earned shares have been settled.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December 31, 2015, LFB and LFNY had no such underwriting commitments.</w:t>
      </w:r>
    </w:p>
    <w:p>
      <w:pPr>
        <w:spacing w:after="0" w:line="14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Distributions in respect of Lazard Group’s common membership interests are allocated to the holders of such interests in accordance with the provisions of the Operating Agreement.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2015, 2014 and 2013,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$ 174,266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LAZ-MD Holdings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$ 175,915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129,787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$ 146,241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121,620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LAZ-MD Holdings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129,787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$ 146,454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122,540</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During the year ended December 31, 2015, Lazard Group received a capital contribution of $30,000 from a subsidiary of Lazard Ltd in a non-cash transaction through a reduction of an interest-bearing loan. See Note 18.</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years ended December 31, 2014 and 2013, Lazard Ltd issued 710,009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839,658 shares of Class A common stock, respectively, in connection with the exchanges of a like number of Lazard Group common membership interests (received from members of LAZ-MD Holdings in exchange for a like number of LAZ-MD Holdings exchangeable interests). (See Note 1 for a discussion of the Final Exchange of LAZ-MD Interests).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2015, 2014, and 2013, the Board of Directors of Lazard authorized the repurchase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4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1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35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Years Ended December 31:</w:t>
            </w:r>
          </w:p>
        </w:tc>
        <w:tc>
          <w:tcPr>
            <w:tcW w:w="60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2000" w:type="dxa"/>
            <w:vAlign w:val="bottom"/>
            <w:tcBorders>
              <w:top w:val="single" w:sz="8" w:color="CCEEFF"/>
            </w:tcBorders>
          </w:tcPr>
          <w:p>
            <w:pPr>
              <w:spacing w:after="0"/>
              <w:rPr>
                <w:sz w:val="24"/>
                <w:szCs w:val="24"/>
                <w:color w:val="auto"/>
              </w:rPr>
            </w:pPr>
          </w:p>
        </w:tc>
        <w:tc>
          <w:tcPr>
            <w:tcW w:w="7240" w:type="dxa"/>
            <w:vAlign w:val="bottom"/>
            <w:tcBorders>
              <w:top w:val="single" w:sz="8" w:color="CCEEFF"/>
            </w:tcBorders>
            <w:gridSpan w:val="3"/>
          </w:tcPr>
          <w:p>
            <w:pPr>
              <w:ind w:left="6120"/>
              <w:spacing w:after="0"/>
              <w:rPr>
                <w:sz w:val="20"/>
                <w:szCs w:val="20"/>
                <w:color w:val="auto"/>
              </w:rPr>
            </w:pPr>
            <w:r>
              <w:rPr>
                <w:rFonts w:ascii="Arial" w:cs="Arial" w:eastAsia="Arial" w:hAnsi="Arial"/>
                <w:sz w:val="18"/>
                <w:szCs w:val="18"/>
                <w:color w:val="auto"/>
              </w:rPr>
              <w:t>3,488,101</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tcBorders>
              <w:top w:val="single" w:sz="8" w:color="CCEEFF"/>
            </w:tcBorders>
          </w:tcPr>
          <w:p>
            <w:pPr>
              <w:spacing w:after="0"/>
              <w:rPr>
                <w:sz w:val="24"/>
                <w:szCs w:val="24"/>
                <w:color w:val="auto"/>
              </w:rPr>
            </w:pPr>
          </w:p>
        </w:tc>
      </w:tr>
      <w:tr>
        <w:trPr>
          <w:trHeight w:val="218"/>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0" w:type="dxa"/>
            <w:vAlign w:val="bottom"/>
            <w:shd w:val="clear" w:color="auto" w:fill="CCEEFF"/>
          </w:tcPr>
          <w:p>
            <w:pPr>
              <w:spacing w:after="0"/>
              <w:rPr>
                <w:sz w:val="18"/>
                <w:szCs w:val="18"/>
                <w:color w:val="auto"/>
              </w:rPr>
            </w:pPr>
          </w:p>
        </w:tc>
        <w:tc>
          <w:tcPr>
            <w:tcW w:w="7240" w:type="dxa"/>
            <w:vAlign w:val="bottom"/>
            <w:gridSpan w:val="3"/>
            <w:shd w:val="clear" w:color="auto" w:fill="CCEEFF"/>
          </w:tcPr>
          <w:p>
            <w:pPr>
              <w:ind w:left="6120"/>
              <w:spacing w:after="0"/>
              <w:rPr>
                <w:sz w:val="20"/>
                <w:szCs w:val="20"/>
                <w:color w:val="auto"/>
              </w:rPr>
            </w:pPr>
            <w:r>
              <w:rPr>
                <w:rFonts w:ascii="Arial" w:cs="Arial" w:eastAsia="Arial" w:hAnsi="Arial"/>
                <w:sz w:val="18"/>
                <w:szCs w:val="18"/>
                <w:color w:val="auto"/>
              </w:rPr>
              <w:t>4,114,206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shd w:val="clear" w:color="auto" w:fill="CCEEFF"/>
          </w:tcPr>
          <w:p>
            <w:pPr>
              <w:spacing w:after="0"/>
              <w:rPr>
                <w:sz w:val="18"/>
                <w:szCs w:val="18"/>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2000" w:type="dxa"/>
            <w:vAlign w:val="bottom"/>
          </w:tcPr>
          <w:p>
            <w:pPr>
              <w:spacing w:after="0"/>
              <w:rPr>
                <w:sz w:val="19"/>
                <w:szCs w:val="19"/>
                <w:color w:val="auto"/>
              </w:rPr>
            </w:pPr>
          </w:p>
        </w:tc>
        <w:tc>
          <w:tcPr>
            <w:tcW w:w="7240" w:type="dxa"/>
            <w:vAlign w:val="bottom"/>
            <w:gridSpan w:val="3"/>
          </w:tcPr>
          <w:p>
            <w:pPr>
              <w:ind w:left="6120"/>
              <w:spacing w:after="0"/>
              <w:rPr>
                <w:sz w:val="20"/>
                <w:szCs w:val="20"/>
                <w:color w:val="auto"/>
              </w:rPr>
            </w:pPr>
            <w:r>
              <w:rPr>
                <w:rFonts w:ascii="Arial" w:cs="Arial" w:eastAsia="Arial" w:hAnsi="Arial"/>
                <w:sz w:val="18"/>
                <w:szCs w:val="18"/>
                <w:color w:val="auto"/>
              </w:rPr>
              <w:t>3,438,789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$50.24</w:t>
            </w:r>
          </w:p>
        </w:tc>
        <w:tc>
          <w:tcPr>
            <w:tcW w:w="100" w:type="dxa"/>
            <w:vAlign w:val="bottom"/>
          </w:tcPr>
          <w:p>
            <w:pPr>
              <w:spacing w:after="0"/>
              <w:rPr>
                <w:sz w:val="19"/>
                <w:szCs w:val="19"/>
                <w:color w:val="auto"/>
              </w:rPr>
            </w:pPr>
          </w:p>
        </w:tc>
      </w:tr>
      <w:tr>
        <w:trPr>
          <w:trHeight w:val="356"/>
        </w:trPr>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60" w:type="dxa"/>
            <w:vAlign w:val="bottom"/>
          </w:tcPr>
          <w:p>
            <w:pPr>
              <w:jc w:val="right"/>
              <w:ind w:right="3712"/>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through December 31, 2015, relating to (i) the settlement of vested restricted stock units (“RSUs”), (ii) the settlement of vested performance-based restricted stock units (“PRSUs”), (iii) the incentive plan awards of shares of restricted Class A common stock, and (iv) the delivery of shares of Class A common stock in connection with business acquisitions, there were 3,322,385 and 5,663,243 shares of Class A common stock held by Lazard Group at December 31, 2015 and 2014, respectively. Such shares of Class A common stock are reported, at cost, as a reduction of members’ equity within the accompanying consolidated statements of financial condition.</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2015, 2014 and 2013,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the estimated amount of such tax. The aggregate value of such purchases in 2015, 2014 and 2013 was approximately $17,700, $4,800 and $4,700, respectively. In addition, on May 12, 2014, the Company repurchased shares of Lazard Ltd Class A common stock from an executive officer under its publicly announced share repurchase program for approximately $2,000.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purchased by Lazard Ltd in the year ended December 31, 2014 included 1,000,000 shares purchased from Natixis S.A. on June 26, 2014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$50,340 in connection with the sale by Natixis S.A. of its entire investment in the Lazard Ltd’s Class A common stock. The purchase transaction closed on July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2015, a total of $106,161 of share repurchase authorization remained available under the Lazard Ltd’s share repurchase program, which will expire on December 31, 2016.</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on January 27, 2016, the Board of Directors of Lazard authorized the repurchase of up to $200,000 of additional shares of Lazard Ltd’s Class A common stock, which authorization will expire on December 31, 2017.</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year ended December 31,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and activity during the years then 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38"/>
              <w:spacing w:after="0" w:line="149" w:lineRule="exact"/>
              <w:rPr>
                <w:sz w:val="20"/>
                <w:szCs w:val="20"/>
                <w:color w:val="auto"/>
              </w:rPr>
            </w:pPr>
            <w:r>
              <w:rPr>
                <w:rFonts w:ascii="Arial" w:cs="Arial" w:eastAsia="Arial" w:hAnsi="Arial"/>
                <w:sz w:val="14"/>
                <w:szCs w:val="14"/>
                <w:b w:val="1"/>
                <w:bCs w:val="1"/>
                <w:color w:val="auto"/>
                <w:w w:val="87"/>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right"/>
              <w:ind w:right="29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3"/>
          </w:tcPr>
          <w:p>
            <w:pPr>
              <w:jc w:val="right"/>
              <w:ind w:right="17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right"/>
              <w:ind w:right="518"/>
              <w:spacing w:after="0" w:line="149" w:lineRule="exact"/>
              <w:rPr>
                <w:sz w:val="20"/>
                <w:szCs w:val="20"/>
                <w:color w:val="auto"/>
              </w:rPr>
            </w:pPr>
            <w:r>
              <w:rPr>
                <w:rFonts w:ascii="Arial" w:cs="Arial" w:eastAsia="Arial" w:hAnsi="Arial"/>
                <w:sz w:val="14"/>
                <w:szCs w:val="14"/>
                <w:b w:val="1"/>
                <w:bCs w:val="1"/>
                <w:color w:val="auto"/>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Activity January 1 to December 31, 2015:</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(44,062)</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11,283</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(32,779)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(32,779)</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(44,062)</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17,592</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(26,470)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Balance, December 31, 2015</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(52,687)</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(137,073)</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(189,760)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(189,758)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7"/>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Currency</w:t>
            </w:r>
          </w:p>
        </w:tc>
        <w:tc>
          <w:tcPr>
            <w:tcW w:w="112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7"/>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12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60" w:type="dxa"/>
            <w:vAlign w:val="bottom"/>
          </w:tcPr>
          <w:p>
            <w:pPr>
              <w:spacing w:after="0"/>
              <w:rPr>
                <w:sz w:val="12"/>
                <w:szCs w:val="12"/>
                <w:color w:val="auto"/>
              </w:rPr>
            </w:pPr>
          </w:p>
        </w:tc>
        <w:tc>
          <w:tcPr>
            <w:tcW w:w="960" w:type="dxa"/>
            <w:vAlign w:val="bottom"/>
            <w:gridSpan w:val="3"/>
          </w:tcPr>
          <w:p>
            <w:pPr>
              <w:jc w:val="right"/>
              <w:ind w:right="518"/>
              <w:spacing w:after="0" w:line="149" w:lineRule="exact"/>
              <w:rPr>
                <w:sz w:val="20"/>
                <w:szCs w:val="20"/>
                <w:color w:val="auto"/>
              </w:rPr>
            </w:pPr>
            <w:r>
              <w:rPr>
                <w:rFonts w:ascii="Arial" w:cs="Arial" w:eastAsia="Arial" w:hAnsi="Arial"/>
                <w:sz w:val="14"/>
                <w:szCs w:val="14"/>
                <w:b w:val="1"/>
                <w:bCs w:val="1"/>
                <w:color w:val="auto"/>
              </w:rPr>
              <w:t>Total</w:t>
            </w: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7"/>
          </w:tcPr>
          <w:p>
            <w:pPr>
              <w:ind w:left="20"/>
              <w:spacing w:after="0"/>
              <w:rPr>
                <w:sz w:val="20"/>
                <w:szCs w:val="20"/>
                <w:color w:val="auto"/>
              </w:rPr>
            </w:pPr>
            <w:r>
              <w:rPr>
                <w:rFonts w:ascii="Arial" w:cs="Arial" w:eastAsia="Arial" w:hAnsi="Arial"/>
                <w:sz w:val="14"/>
                <w:szCs w:val="14"/>
                <w:b w:val="1"/>
                <w:bCs w:val="1"/>
                <w:color w:val="auto"/>
              </w:rPr>
              <w:t>Adjustments</w:t>
            </w:r>
          </w:p>
        </w:tc>
        <w:tc>
          <w:tcPr>
            <w:tcW w:w="1120" w:type="dxa"/>
            <w:vAlign w:val="bottom"/>
            <w:gridSpan w:val="4"/>
          </w:tcPr>
          <w:p>
            <w:pPr>
              <w:jc w:val="center"/>
              <w:ind w:right="298"/>
              <w:spacing w:after="0"/>
              <w:rPr>
                <w:sz w:val="20"/>
                <w:szCs w:val="20"/>
                <w:color w:val="auto"/>
              </w:rPr>
            </w:pPr>
            <w:r>
              <w:rPr>
                <w:rFonts w:ascii="Arial" w:cs="Arial" w:eastAsia="Arial" w:hAnsi="Arial"/>
                <w:sz w:val="14"/>
                <w:szCs w:val="14"/>
                <w:b w:val="1"/>
                <w:bCs w:val="1"/>
                <w:color w:val="auto"/>
                <w:w w:val="80"/>
              </w:rPr>
              <w:t>Plans</w:t>
            </w:r>
          </w:p>
        </w:tc>
        <w:tc>
          <w:tcPr>
            <w:tcW w:w="160" w:type="dxa"/>
            <w:vAlign w:val="bottom"/>
          </w:tcPr>
          <w:p>
            <w:pPr>
              <w:spacing w:after="0"/>
              <w:rPr>
                <w:sz w:val="14"/>
                <w:szCs w:val="14"/>
                <w:color w:val="auto"/>
              </w:rPr>
            </w:pPr>
          </w:p>
        </w:tc>
        <w:tc>
          <w:tcPr>
            <w:tcW w:w="96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35,236</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(137,431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(102,195</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center"/>
              <w:ind w:left="538"/>
              <w:spacing w:after="0"/>
              <w:rPr>
                <w:sz w:val="20"/>
                <w:szCs w:val="20"/>
                <w:color w:val="auto"/>
              </w:rPr>
            </w:pPr>
            <w:r>
              <w:rPr>
                <w:rFonts w:ascii="Arial" w:cs="Arial" w:eastAsia="Arial" w:hAnsi="Arial"/>
                <w:sz w:val="18"/>
                <w:szCs w:val="18"/>
                <w:color w:val="auto"/>
                <w:w w:val="79"/>
              </w:rPr>
              <w:t>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w w:val="86"/>
              </w:rPr>
              <w:t>(43,861)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(21,983)</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(65,844)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458"/>
              <w:spacing w:after="0"/>
              <w:rPr>
                <w:sz w:val="20"/>
                <w:szCs w:val="20"/>
                <w:color w:val="auto"/>
              </w:rPr>
            </w:pPr>
            <w:r>
              <w:rPr>
                <w:rFonts w:ascii="Arial" w:cs="Arial" w:eastAsia="Arial" w:hAnsi="Arial"/>
                <w:sz w:val="18"/>
                <w:szCs w:val="18"/>
                <w:color w:val="auto"/>
                <w:w w:val="90"/>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(65,841)</w:t>
            </w: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left="13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w w:val="86"/>
              </w:rPr>
              <w:t>(43,861)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(17,234)</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(61,095)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458"/>
              <w:spacing w:after="0"/>
              <w:rPr>
                <w:sz w:val="20"/>
                <w:szCs w:val="20"/>
                <w:color w:val="auto"/>
              </w:rPr>
            </w:pPr>
            <w:r>
              <w:rPr>
                <w:rFonts w:ascii="Arial" w:cs="Arial" w:eastAsia="Arial" w:hAnsi="Arial"/>
                <w:sz w:val="18"/>
                <w:szCs w:val="18"/>
                <w:color w:val="auto"/>
                <w:w w:val="90"/>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(61,092)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172"/>
              <w:spacing w:after="0"/>
              <w:rPr>
                <w:sz w:val="20"/>
                <w:szCs w:val="20"/>
                <w:color w:val="auto"/>
              </w:rPr>
            </w:pPr>
            <w:r>
              <w:rPr>
                <w:rFonts w:ascii="Arial" w:cs="Arial" w:eastAsia="Arial" w:hAnsi="Arial"/>
                <w:sz w:val="18"/>
                <w:szCs w:val="18"/>
                <w:color w:val="auto"/>
              </w:rPr>
              <w:t>(8,625)</w:t>
            </w:r>
          </w:p>
        </w:tc>
        <w:tc>
          <w:tcPr>
            <w:tcW w:w="60" w:type="dxa"/>
            <w:vAlign w:val="bottom"/>
          </w:tcPr>
          <w:p>
            <w:pPr>
              <w:spacing w:after="0"/>
              <w:rPr>
                <w:sz w:val="19"/>
                <w:szCs w:val="19"/>
                <w:color w:val="auto"/>
              </w:rPr>
            </w:pPr>
          </w:p>
        </w:tc>
        <w:tc>
          <w:tcPr>
            <w:tcW w:w="980" w:type="dxa"/>
            <w:vAlign w:val="bottom"/>
            <w:gridSpan w:val="3"/>
          </w:tcPr>
          <w:p>
            <w:pPr>
              <w:jc w:val="right"/>
              <w:ind w:right="9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(154,665)</w:t>
            </w:r>
          </w:p>
        </w:tc>
        <w:tc>
          <w:tcPr>
            <w:tcW w:w="140" w:type="dxa"/>
            <w:vAlign w:val="bottom"/>
          </w:tcPr>
          <w:p>
            <w:pPr>
              <w:spacing w:after="0"/>
              <w:rPr>
                <w:sz w:val="19"/>
                <w:szCs w:val="19"/>
                <w:color w:val="auto"/>
              </w:rPr>
            </w:pPr>
          </w:p>
        </w:tc>
        <w:tc>
          <w:tcPr>
            <w:tcW w:w="900" w:type="dxa"/>
            <w:vAlign w:val="bottom"/>
            <w:gridSpan w:val="3"/>
          </w:tcPr>
          <w:p>
            <w:pPr>
              <w:jc w:val="right"/>
              <w:ind w:right="1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(163,290)</w:t>
            </w:r>
          </w:p>
        </w:tc>
        <w:tc>
          <w:tcPr>
            <w:tcW w:w="2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left="458"/>
              <w:spacing w:after="0"/>
              <w:rPr>
                <w:sz w:val="20"/>
                <w:szCs w:val="20"/>
                <w:color w:val="auto"/>
              </w:rPr>
            </w:pPr>
            <w:r>
              <w:rPr>
                <w:rFonts w:ascii="Arial" w:cs="Arial" w:eastAsia="Arial" w:hAnsi="Arial"/>
                <w:sz w:val="18"/>
                <w:szCs w:val="18"/>
                <w:color w:val="auto"/>
                <w:w w:val="90"/>
              </w:rPr>
              <w:t>(2)</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(163,288)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Currency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24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Benefit</w:t>
            </w:r>
          </w:p>
        </w:tc>
        <w:tc>
          <w:tcPr>
            <w:tcW w:w="160" w:type="dxa"/>
            <w:vAlign w:val="bottom"/>
          </w:tcPr>
          <w:p>
            <w:pPr>
              <w:spacing w:after="0"/>
              <w:rPr>
                <w:sz w:val="12"/>
                <w:szCs w:val="12"/>
                <w:color w:val="auto"/>
              </w:rPr>
            </w:pPr>
          </w:p>
        </w:tc>
        <w:tc>
          <w:tcPr>
            <w:tcW w:w="960" w:type="dxa"/>
            <w:vAlign w:val="bottom"/>
            <w:gridSpan w:val="3"/>
          </w:tcPr>
          <w:p>
            <w:pPr>
              <w:jc w:val="right"/>
              <w:ind w:right="358"/>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center"/>
              <w:ind w:right="78"/>
              <w:spacing w:after="0"/>
              <w:rPr>
                <w:sz w:val="20"/>
                <w:szCs w:val="20"/>
                <w:color w:val="auto"/>
              </w:rPr>
            </w:pPr>
            <w:r>
              <w:rPr>
                <w:rFonts w:ascii="Arial" w:cs="Arial" w:eastAsia="Arial" w:hAnsi="Arial"/>
                <w:sz w:val="14"/>
                <w:szCs w:val="14"/>
                <w:b w:val="1"/>
                <w:bCs w:val="1"/>
                <w:color w:val="auto"/>
                <w:w w:val="84"/>
              </w:rPr>
              <w:t>Hedge</w:t>
            </w:r>
          </w:p>
        </w:tc>
        <w:tc>
          <w:tcPr>
            <w:tcW w:w="240" w:type="dxa"/>
            <w:vAlign w:val="bottom"/>
          </w:tcPr>
          <w:p>
            <w:pPr>
              <w:spacing w:after="0"/>
              <w:rPr>
                <w:sz w:val="14"/>
                <w:szCs w:val="14"/>
                <w:color w:val="auto"/>
              </w:rPr>
            </w:pPr>
          </w:p>
        </w:tc>
        <w:tc>
          <w:tcPr>
            <w:tcW w:w="880" w:type="dxa"/>
            <w:vAlign w:val="bottom"/>
            <w:gridSpan w:val="3"/>
          </w:tcPr>
          <w:p>
            <w:pPr>
              <w:jc w:val="center"/>
              <w:ind w:right="58"/>
              <w:spacing w:after="0"/>
              <w:rPr>
                <w:sz w:val="20"/>
                <w:szCs w:val="20"/>
                <w:color w:val="auto"/>
              </w:rPr>
            </w:pPr>
            <w:r>
              <w:rPr>
                <w:rFonts w:ascii="Arial" w:cs="Arial" w:eastAsia="Arial" w:hAnsi="Arial"/>
                <w:sz w:val="14"/>
                <w:szCs w:val="14"/>
                <w:b w:val="1"/>
                <w:bCs w:val="1"/>
                <w:color w:val="auto"/>
                <w:w w:val="80"/>
              </w:rPr>
              <w:t>Plans</w:t>
            </w:r>
          </w:p>
        </w:tc>
        <w:tc>
          <w:tcPr>
            <w:tcW w:w="160" w:type="dxa"/>
            <w:vAlign w:val="bottom"/>
          </w:tcPr>
          <w:p>
            <w:pPr>
              <w:spacing w:after="0"/>
              <w:rPr>
                <w:sz w:val="14"/>
                <w:szCs w:val="14"/>
                <w:color w:val="auto"/>
              </w:rPr>
            </w:pPr>
          </w:p>
        </w:tc>
        <w:tc>
          <w:tcPr>
            <w:tcW w:w="960" w:type="dxa"/>
            <w:vAlign w:val="bottom"/>
            <w:gridSpan w:val="3"/>
          </w:tcPr>
          <w:p>
            <w:pPr>
              <w:jc w:val="right"/>
              <w:ind w:right="33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(2,502</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(128,536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(92,381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120" w:type="dxa"/>
            <w:vAlign w:val="bottom"/>
            <w:gridSpan w:val="4"/>
            <w:shd w:val="clear" w:color="auto" w:fill="CCEEFF"/>
          </w:tcPr>
          <w:p>
            <w:pPr>
              <w:jc w:val="right"/>
              <w:ind w:right="78"/>
              <w:spacing w:after="0"/>
              <w:rPr>
                <w:sz w:val="20"/>
                <w:szCs w:val="20"/>
                <w:color w:val="auto"/>
              </w:rPr>
            </w:pPr>
            <w:r>
              <w:rPr>
                <w:rFonts w:ascii="Arial" w:cs="Arial" w:eastAsia="Arial" w:hAnsi="Arial"/>
                <w:sz w:val="18"/>
                <w:szCs w:val="18"/>
                <w:color w:val="auto"/>
              </w:rPr>
              <w:t>(16,921)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2,502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2,502</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120" w:type="dxa"/>
            <w:vAlign w:val="bottom"/>
            <w:gridSpan w:val="4"/>
            <w:shd w:val="clear" w:color="auto" w:fill="CCEEFF"/>
          </w:tcPr>
          <w:p>
            <w:pPr>
              <w:jc w:val="right"/>
              <w:ind w:right="78"/>
              <w:spacing w:after="0"/>
              <w:rPr>
                <w:sz w:val="20"/>
                <w:szCs w:val="20"/>
                <w:color w:val="auto"/>
              </w:rPr>
            </w:pPr>
            <w:r>
              <w:rPr>
                <w:rFonts w:ascii="Arial" w:cs="Arial" w:eastAsia="Arial" w:hAnsi="Arial"/>
                <w:sz w:val="18"/>
                <w:szCs w:val="18"/>
                <w:color w:val="auto"/>
              </w:rPr>
              <w:t>(9,814)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35,236</w:t>
            </w:r>
          </w:p>
        </w:tc>
        <w:tc>
          <w:tcPr>
            <w:tcW w:w="3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(137,431)</w:t>
            </w:r>
          </w:p>
        </w:tc>
        <w:tc>
          <w:tcPr>
            <w:tcW w:w="1120" w:type="dxa"/>
            <w:vAlign w:val="bottom"/>
            <w:gridSpan w:val="4"/>
          </w:tcPr>
          <w:p>
            <w:pPr>
              <w:jc w:val="right"/>
              <w:ind w:right="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(102,195)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(102,196)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2015,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2015</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7,816</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6,672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6,309</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4,749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6,309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4,749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operations.</w:t>
      </w:r>
    </w:p>
    <w:p>
      <w:pPr>
        <w:spacing w:after="0" w:line="15"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“compensation and benefits” expense on the consolidated statements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2015, 2014 and 2013 and noncontrolling interests as of December 31, 2015 and 2014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Net 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gridSpan w:val="1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Attributable to 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6,153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6,156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3,704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8"/>
          </w:tcPr>
          <w:p>
            <w:pPr>
              <w:ind w:left="20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8"/>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$ 53,132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62,584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5"/>
              </w:rPr>
              <w:t>$ 53,141</w:t>
            </w: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62,593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years ended December 31, 2015,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awards granted under the 2005 Plan remain outstanding and continue to be subject to its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$ 166,395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$ 169,916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$ 209,974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12,934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22,342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11,374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$ 225,995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$ 205,325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$ 235,090</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 ended December 31, 2013 of $9,099 (see Note 16).</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2015, 2014 and 2013 dividend participation rights required the issuance of 693,714, 375,954 and 454,059 RSUs, respectively.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23,961, 26,360 and 39,315 DSUs granted in connection with annual compensation during the years ended December 31, 2015,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2015, 2014 and 2013, 2,482, 8,433 and 7,623 DSUs, respectively, had been granted pursuant to such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2015:</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7"/>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21,481,131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454,059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5,186,627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(9,768,849)</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34.65</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16,630,009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375,954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3,825,737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(344,345)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(6,582,285)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13,529,116</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693,714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4,296,386</w:t>
            </w:r>
          </w:p>
        </w:tc>
        <w:tc>
          <w:tcPr>
            <w:tcW w:w="2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(469,776)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(7,756,068)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31.12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9,599,658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312,670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RSUs that vested during the years ended December 31, 2015, 2014 and 2013, the Company satisfied its minimum statutory tax withholding requirements in lieu of delivering 2,249,935, 1,896,930 and 3,651,050 shares of Class A common stock during such respective years. Accordingly, 5,506,133, 4,685,355 and 6,117,799 shares of Class A common stock held by the Company were delivered during the years ended December 31, 2015, 2014 and 2013, respectively.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2015, estimated unrecognized RSU compensation expense was approximately $128,081, with such expense expected to be recognized over a weighted average period of approximately 0.8 years subsequent to December 31, 2015.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2015:</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(1,728,509)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(281,802)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576,886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(45,851)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(547,124)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2015, 2014 and 2013, the Company satisfied its minimum statutory tax withholding requirements in lieu of delivering 108,833, 43,905 and 18,599 shares of Class A common stock during such respective years. Accordingly, 438,291, 237,897 and 1,709,910 shares of Class A common stock held by the Company were delivered during the years ended December 31, 2015, 2014 and 2013, respectively.</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December 31, 2015, estimated unrecognized restricted stock expense was approximately $15,230, with such expense to be recognized over a weighted average period of approximately 0.9 years subsequent to December 31, 2015.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360,783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units earned (b)</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538,237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2014</w:t>
            </w: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vMerge w:val="continue"/>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1,347,148</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(a)</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368,389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1,019,038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38"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In connection with PRSUs that vested during the year ended December 31, 2015, the Company satisfied its minimum statutory tax withholding requirements in lieu of issuing 32,086 shares of Class A common stock in the period. Accordingly, 664,413 shares of Class A common stock held by the Company were delivered during the year ended December 31, 2015.</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2015, the total estimated unrecognized compensation expense was approximately $17,353, and the Company expects to amortize such expense over a weighted-average period of approximately 0.7 years subsequent to December 31, 2015.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2015 and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(96,223)</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(4,099)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(8,052)</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(82,736)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(3,827)</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6,780</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(55,880)</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(5,531)</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2015.</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the impact of LFI and other similar deferred compensation arrangements on “compensation and benefits” expense within the accompanying consolidated statements of operations for the years ended December 31, 2015, 2014 and 2013:</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0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$85,563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$82,359</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89,685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76,296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 ended December 31, 2013 of $2,665 (See Note 16).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2016</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2016, the Company granted approximately $336,000 of deferred incentive compensation awards (including PRSUs valued at the target payout level)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RSUs, restricted Class A common stock and LFI granted each provide for one-third vesting on or around March 1, 2018 and the remaining two-thirds vesting on or around March 1, 2019. The PRSUs granted provide for vesting on or around March 1, 2019,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37"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March 31, 2015, the Company and the Trustees of the U.K. defined benefit pension plans concluded the December 31, 2013 triennial valuations of the plans. In connection with such valuations, the Company and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2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and as of December 31, 2015, contributions totaling an additional 11.2 million British pounds had been paid into the plans. At December 31, 2014, the balance of the account security arrangement was approximately $17,500 and was recorded in “cash deposited with clearing organizations and other segregated cash” on the accompanying consolidated statements of financial condition. Income on the account security arrangement accreted to the Company and was recorded in interest income.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does not expect to make a contribution to the U.S. and U.K. pension plans during the year ending December 31, 2016. The Company expects to contribute approximately $10,343 to the other non-U.S. pension plans during the year ending December 31, 2016.</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Plans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764,169</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709,850</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5,514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97,495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(44,525)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694,187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764,169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4,750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643,844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91,829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(41,868)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672,576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Funded (deficit) at end of year</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(38,103)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2015 and 2014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20,785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(58,888)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(38,103)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(91,593)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$30,416 and $37,567 at December 31, 2015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respectively) 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165,462</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186,637</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167,824</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191,872</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580"/>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$23,195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$26,766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$632,889</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$645,810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$656,084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$672,576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$32,900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$37,035</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$661,287</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$727,134</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$694,187</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$764,169</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$32,900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$661,287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$727,134</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$694,187</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$764,169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the return on the Company’s post-retirement plan assets, benefits paid, contributions and other amounts recognized in AOCI for the years ended December 31, 2015,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3"/>
              </w:rPr>
              <w:t>Pension Plans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Medical Plan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2015</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30,041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(28,301)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(32,607)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5,645</w:t>
            </w:r>
          </w:p>
        </w:tc>
        <w:tc>
          <w:tcPr>
            <w:tcW w:w="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7,615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91,829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39,301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7,648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32,321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28,877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changes in plan assets and benefit obligations recognized in AOCI</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w w:val="97"/>
              </w:rPr>
              <w:t>(excluding tax expense (benefit) of $7,151, $(7,119) and $(4,459) during the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years ended December 31, 2015, 2014 and 2013, respectively):</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41,082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17,251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actuarial gain (loss) to earnings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(11,582)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(10,485)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(24,048)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23,396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(18,403)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29,002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21,616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(489)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2015 that are expected to be recognized as components of net periodic benefit cost (credit) for the year ending December 31, 2016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3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$2,332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4560" w:type="dxa"/>
            <w:vAlign w:val="bottom"/>
            <w:gridSpan w:val="3"/>
          </w:tcPr>
          <w:p>
            <w:pPr>
              <w:jc w:val="center"/>
              <w:ind w:left="3092"/>
              <w:spacing w:after="0"/>
              <w:rPr>
                <w:sz w:val="20"/>
                <w:szCs w:val="20"/>
                <w:color w:val="auto"/>
              </w:rPr>
            </w:pPr>
            <w:r>
              <w:rPr>
                <w:rFonts w:ascii="Arial" w:cs="Arial" w:eastAsia="Arial" w:hAnsi="Arial"/>
                <w:sz w:val="18"/>
                <w:szCs w:val="18"/>
                <w:color w:val="auto"/>
                <w:w w:val="90"/>
              </w:rPr>
              <w:t>$4,010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Pension Plans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68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3.9%</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3.7%</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4.3%</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1% Increase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661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(433)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(580)</w:t>
            </w:r>
          </w:p>
        </w:tc>
      </w:tr>
      <w:tr>
        <w:trPr>
          <w:trHeight w:val="356"/>
        </w:trPr>
        <w:tc>
          <w:tcPr>
            <w:tcW w:w="2880" w:type="dxa"/>
            <w:vAlign w:val="bottom"/>
          </w:tcPr>
          <w:p>
            <w:pPr>
              <w:spacing w:after="0"/>
              <w:rPr>
                <w:sz w:val="24"/>
                <w:szCs w:val="24"/>
                <w:color w:val="auto"/>
              </w:rPr>
            </w:pPr>
          </w:p>
        </w:tc>
        <w:tc>
          <w:tcPr>
            <w:tcW w:w="4360" w:type="dxa"/>
            <w:vAlign w:val="bottom"/>
          </w:tcPr>
          <w:p>
            <w:pPr>
              <w:jc w:val="right"/>
              <w:ind w:right="1892"/>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3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3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$ 23,902</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2017</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24,678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2019</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27,789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2021-2025</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158,469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2015 and 2014,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and investments measured at NAV or its equivalent as a practical expedient in accordance with fair value measurement disclosure requirements: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2015</w:t>
            </w: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325,312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210,897</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217,144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324,584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332,084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Derivatives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54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584</w:t>
            </w:r>
          </w:p>
        </w:tc>
        <w:tc>
          <w:tcPr>
            <w:tcW w:w="6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As of December 31, 2014 (b)</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31,253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359,315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194,898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Derivatives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305,843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6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366,429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table as of December 31, 2014 reflects the retrospective application of new disclosure guidance adopted by the Company for investments using NAV or its equivalent as a practical expedient when measuring fair value. See Note 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Included in equity funds are $70,444 and $70,490 as of December 31, 2015 and 2014, respectively, that are invested in funds managed by LAM.</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Consistent with the plans’ investment strategies, at December 31, 2015 and 2014, the Company’s U.S. pension plan had 50% and 49%, respectively, of the plans’ assets invested in equity funds in Level 1 and measured at NAV or its equivalent as a practical expedient and 50% and 51%, respectively, invested in Level 1 debt funds. The Company’s non-U.S. pension plans at December 31, 2015 and 2014 had 37% and 34%, respectively, of the plans’ assets invested in equities and equity funds that are primarily Level 1 assets; 60% and 64%, respectively of the plans’ assets invested in debt and debt funds that are primarily measured at NAV or its equivalent as a practical expedient, and 3% and 2%, respectively, of the plans’ assets invested in cash, which is a Level 1 asset, or in alternative investment funds that are primarily Level 1 assets.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$12,493, $11,904 and $11,778 for the years ended December 31, 2015, 2014 and 2013,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Financial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Asset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Advisory</w:t>
            </w:r>
          </w:p>
        </w:tc>
        <w:tc>
          <w:tcPr>
            <w:tcW w:w="6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$45,746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5,417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11,272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47,779</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16,689</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the Company’s provision for income taxes for the years ended December 31, 2015, 2014 and 2013, and a reconciliation of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income tax rate to the Company’s effective tax rates for such years, are shown below.</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3,917</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(4,681)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75,718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59,296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84,446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65,082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9,239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(2,898)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12,733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81,548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77,815</w:t>
            </w:r>
          </w:p>
        </w:tc>
        <w:tc>
          <w:tcPr>
            <w:tcW w:w="6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32,242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(35.0)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State and local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regarding operating income (loss) by geographic region.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Basis adjustments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19,353</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26,088</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117,848</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58,549</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170,453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215,620</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(89,100)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(101,531)</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114,089</w:t>
            </w:r>
          </w:p>
        </w:tc>
        <w:tc>
          <w:tcPr>
            <w:tcW w:w="100" w:type="dxa"/>
            <w:vAlign w:val="bottom"/>
            <w:shd w:val="clear" w:color="auto" w:fill="CCEEFF"/>
          </w:tcPr>
          <w:p>
            <w:pPr>
              <w:spacing w:after="0"/>
              <w:rPr>
                <w:sz w:val="18"/>
                <w:szCs w:val="18"/>
                <w:color w:val="auto"/>
              </w:rPr>
            </w:pPr>
          </w:p>
        </w:tc>
      </w:tr>
      <w:tr>
        <w:trPr>
          <w:trHeight w:val="229"/>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28,035</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39,705</w:t>
            </w:r>
          </w:p>
        </w:tc>
        <w:tc>
          <w:tcPr>
            <w:tcW w:w="10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70,128</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ind w:left="880"/>
              <w:spacing w:after="0"/>
              <w:rPr>
                <w:sz w:val="20"/>
                <w:szCs w:val="20"/>
                <w:color w:val="auto"/>
              </w:rPr>
            </w:pPr>
            <w:r>
              <w:rPr>
                <w:rFonts w:ascii="Arial" w:cs="Arial" w:eastAsia="Arial" w:hAnsi="Arial"/>
                <w:sz w:val="18"/>
                <w:szCs w:val="18"/>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41,591</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43,961</w:t>
            </w:r>
          </w:p>
        </w:tc>
      </w:tr>
      <w:tr>
        <w:trPr>
          <w:trHeight w:val="20"/>
        </w:trPr>
        <w:tc>
          <w:tcPr>
            <w:tcW w:w="11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basis adjustments recorded as of December 31, 2015 and 2014 are primarily the result of additional basis from acquisitions of interests.</w:t>
      </w:r>
    </w:p>
    <w:p>
      <w:pPr>
        <w:spacing w:after="0" w:line="19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$89,100 and $101,531 as of December 31, 2015 and December 31, 2014,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deferred tax assets valuation allowance for the years ended December 31, 2015, 2014 and 2013 was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Charged (credited) to provision for income taxes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Charged (credited) to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Ending Balance</w:t>
      </w:r>
    </w:p>
    <w:p>
      <w:pPr>
        <w:spacing w:after="0" w:line="22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r>
      <w:tr>
        <w:trPr>
          <w:trHeight w:val="215"/>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101,531</w:t>
            </w:r>
          </w:p>
        </w:tc>
        <w:tc>
          <w:tcPr>
            <w:tcW w:w="4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$ 116,830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$102,820</w:t>
            </w:r>
          </w:p>
        </w:tc>
      </w:tr>
      <w:tr>
        <w:trPr>
          <w:trHeight w:val="222"/>
        </w:trPr>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(12,016)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(14,165)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13,210</w:t>
            </w:r>
          </w:p>
        </w:tc>
      </w:tr>
      <w:tr>
        <w:trPr>
          <w:trHeight w:val="231"/>
        </w:trPr>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(415)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89,100</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101,531</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$ 116,830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6680" w:space="720"/>
            <w:col w:w="4020"/>
          </w:cols>
          <w:pgMar w:left="240" w:top="45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$44,060 were recorded at December 31, 2015 primarily relating to:</w:t>
      </w:r>
    </w:p>
    <w:p>
      <w:pPr>
        <w:spacing w:after="0" w:line="51" w:lineRule="exact"/>
        <w:rPr>
          <w:sz w:val="20"/>
          <w:szCs w:val="20"/>
          <w:color w:val="auto"/>
        </w:rPr>
      </w:pPr>
    </w:p>
    <w:p>
      <w:pPr>
        <w:ind w:left="900" w:right="1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$24,741, primarily in Germany, Hong Kong, Singapore, Spain and U.K.;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carryforwards of approximately $19,319 in the U.S., China and India which begin expiring in 2016.</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2015 and 2014 of $21,484 and $5,711 are not included in the deferred tax assets and liabilities table above. The impact of such excess tax deductions will be recorded in members’ equity if and when such deferred tax assets are ultimately realized.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2011.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2015, 2014 and 2013 is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82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8"/>
              </w:rPr>
              <w:t>Balance, January 1 (excluding interest and penalties of $13,004, $11,814 and $10,745,</w:t>
            </w:r>
          </w:p>
        </w:tc>
        <w:tc>
          <w:tcPr>
            <w:tcW w:w="5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$42,904</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$39,173</w:t>
            </w: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$36,494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years</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Current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12,456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11,663</w:t>
            </w:r>
          </w:p>
        </w:tc>
        <w:tc>
          <w:tcPr>
            <w:tcW w:w="4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Tax positions taken during prior years</w:t>
            </w:r>
          </w:p>
        </w:tc>
        <w:tc>
          <w:tcPr>
            <w:tcW w:w="1400" w:type="dxa"/>
            <w:vAlign w:val="bottom"/>
            <w:gridSpan w:val="3"/>
          </w:tcPr>
          <w:p>
            <w:pPr>
              <w:jc w:val="right"/>
              <w:ind w:right="172"/>
              <w:spacing w:after="0"/>
              <w:rPr>
                <w:sz w:val="20"/>
                <w:szCs w:val="20"/>
                <w:color w:val="auto"/>
              </w:rPr>
            </w:pPr>
            <w:r>
              <w:rPr>
                <w:rFonts w:ascii="Arial" w:cs="Arial" w:eastAsia="Arial" w:hAnsi="Arial"/>
                <w:sz w:val="18"/>
                <w:szCs w:val="18"/>
                <w:color w:val="auto"/>
              </w:rPr>
              <w:t>(621)</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(3,191)</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with tax authorities</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Lapse of the applicable statute of limitations</w:t>
            </w:r>
          </w:p>
        </w:tc>
        <w:tc>
          <w:tcPr>
            <w:tcW w:w="1400" w:type="dxa"/>
            <w:vAlign w:val="bottom"/>
            <w:gridSpan w:val="3"/>
          </w:tcPr>
          <w:p>
            <w:pPr>
              <w:jc w:val="right"/>
              <w:ind w:right="172"/>
              <w:spacing w:after="0"/>
              <w:rPr>
                <w:sz w:val="20"/>
                <w:szCs w:val="20"/>
                <w:color w:val="auto"/>
              </w:rPr>
            </w:pPr>
            <w:r>
              <w:rPr>
                <w:rFonts w:ascii="Arial" w:cs="Arial" w:eastAsia="Arial" w:hAnsi="Arial"/>
                <w:sz w:val="18"/>
                <w:szCs w:val="18"/>
                <w:color w:val="auto"/>
              </w:rPr>
              <w:t>(7,917)</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(7,192)</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December 31 (excluding interest and penalties of $13,083, $13,004 and $11,814,</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46,822</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42,904</w:t>
            </w: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39,173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1512"/>
              <w:spacing w:after="0"/>
              <w:rPr>
                <w:sz w:val="20"/>
                <w:szCs w:val="20"/>
                <w:color w:val="auto"/>
              </w:rPr>
            </w:pPr>
            <w:r>
              <w:rPr>
                <w:rFonts w:ascii="Arial" w:cs="Arial" w:eastAsia="Arial" w:hAnsi="Arial"/>
                <w:sz w:val="18"/>
                <w:szCs w:val="18"/>
                <w:color w:val="auto"/>
              </w:rPr>
              <w:t>119</w:t>
            </w: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88"/>
        </w:trPr>
        <w:tc>
          <w:tcPr>
            <w:tcW w:w="69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2"/>
              </w:rPr>
              <w:t>Unrecognized tax benefits at the end of the year that, if recognized, would favorably affect the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$13,083, $13,004 and $11,814,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44,327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40,353</w:t>
            </w:r>
          </w:p>
        </w:tc>
        <w:tc>
          <w:tcPr>
            <w:tcW w:w="5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36,272</w:t>
            </w:r>
          </w:p>
        </w:tc>
        <w:tc>
          <w:tcPr>
            <w:tcW w:w="100" w:type="dxa"/>
            <w:vAlign w:val="bottom"/>
            <w:shd w:val="clear" w:color="auto" w:fill="CCEEFF"/>
          </w:tcPr>
          <w:p>
            <w:pPr>
              <w:spacing w:after="0"/>
              <w:rPr>
                <w:sz w:val="19"/>
                <w:szCs w:val="19"/>
                <w:color w:val="auto"/>
              </w:rPr>
            </w:pPr>
          </w:p>
        </w:tc>
      </w:tr>
      <w:tr>
        <w:trPr>
          <w:trHeight w:val="208"/>
        </w:trPr>
        <w:tc>
          <w:tcPr>
            <w:tcW w:w="6920" w:type="dxa"/>
            <w:vAlign w:val="bottom"/>
          </w:tcPr>
          <w:p>
            <w:pPr>
              <w:spacing w:after="0"/>
              <w:rPr>
                <w:sz w:val="20"/>
                <w:szCs w:val="20"/>
                <w:color w:val="auto"/>
              </w:rPr>
            </w:pPr>
            <w:r>
              <w:rPr>
                <w:rFonts w:ascii="Arial" w:cs="Arial" w:eastAsia="Arial" w:hAnsi="Arial"/>
                <w:sz w:val="18"/>
                <w:szCs w:val="18"/>
                <w:color w:val="auto"/>
                <w:w w:val="92"/>
              </w:rPr>
              <w:t>Offset to deferred tax assets for unrecognized tax benefits that, if recognized, would not affect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920" w:type="dxa"/>
            <w:vAlign w:val="bottom"/>
          </w:tcPr>
          <w:p>
            <w:pPr>
              <w:ind w:left="220"/>
              <w:spacing w:after="0"/>
              <w:rPr>
                <w:sz w:val="20"/>
                <w:szCs w:val="20"/>
                <w:color w:val="auto"/>
              </w:rPr>
            </w:pPr>
            <w:r>
              <w:rPr>
                <w:rFonts w:ascii="Arial" w:cs="Arial" w:eastAsia="Arial" w:hAnsi="Arial"/>
                <w:sz w:val="18"/>
                <w:szCs w:val="18"/>
                <w:color w:val="auto"/>
              </w:rPr>
              <w:t>the effective tax rate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15,555</w:t>
            </w:r>
          </w:p>
        </w:tc>
        <w:tc>
          <w:tcPr>
            <w:tcW w:w="5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14,715</w:t>
            </w:r>
          </w:p>
        </w:tc>
        <w:tc>
          <w:tcPr>
            <w:tcW w:w="100" w:type="dxa"/>
            <w:vAlign w:val="bottom"/>
          </w:tcPr>
          <w:p>
            <w:pPr>
              <w:spacing w:after="0"/>
              <w:rPr>
                <w:sz w:val="19"/>
                <w:szCs w:val="19"/>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penalties recognized in current income tax expense (after giving effect to the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$3,865, $2,791 and $3,390, 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5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approximately $10,000 of unrecognized tax benefits, including interest and penalties recorded at December 31, 2015 may be recognized within 12 months as a result of the lapse of the statute of limitations in various tax jurisdictions.</w:t>
      </w:r>
    </w:p>
    <w:p>
      <w:pPr>
        <w:spacing w:after="0" w:line="20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AND PAYABLE TO LAZARD LTD SUBSIDAR1ES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Group’s receivables from subsidiaries of Lazard Ltd at December 31, 2015 included interest-bearing loans of $106,567, including accrued interest thereon. In the fourth quarter of 2014, $91,028 of interest-bearing loans were repaid in a non-cash transaction through a transfer of Class A common stock from a Lazard Ltd subsidiary to Lazard Group. The effect of this transaction is excluded from financing activities on the consolidated statement of cash flows for the year ended December 31, 2014. Interest income relating to interest-bearing loans with subsidiaries of Lazard Ltd amounted to $373, $5,816 and $6,371 for the years ended December 31, 2015, 2014 and 2013, respectively.</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As of December 31, 2015 and 2014, Lazard Group’s payables to subsidiaries of Lazard Ltd included interest-bearing loans, including accrued interest thereon, of approximately $102,000 and $152,600, respectively. In the fourth quarter of 2015, Lazard Group received a capital contribution of $30,000 from a subsidiary of Lazard Ltd in a non-cash transaction through a reduction of an interest-bearing loan. The effect of this transaction is excluded from financing activities on the consolidated statement of cash flows for the year ended December 31, 2015. Interest expense relating to interest-bearing loans with subsidiaries of Lazard Ltd amounted to $3,917, 5,657 and 7,718 for the years ended December 31, 2015, 2014 and 2013, respectively. In addition, as of both December 31, 2015 and 2014, Lazard Group’s payables to subsidiaries of Lazard Ltd included $2,840 in connection with Lazard Group’s prior year business acquisitions.</w:t>
      </w:r>
    </w:p>
    <w:p>
      <w:pPr>
        <w:spacing w:after="0" w:line="22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2015, LFNY’s regulatory net capital was $118,303, which exceeded the minimum requirement by $114,849. LFNY’s aggregate indebtedness to net capital ratio was 0.44:1 as of December 31, 2015.</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2015, the aggregate regulatory net capital of the U.K. Subsidiaries was $118,558, which exceeded the minimum requirement by $101,176.</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2015, the consolidated regulatory net capital of CFLF was $130,151, which exceeded the minimum requirement set for regulatory capital levels by $89,918.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2015, the regulatory net capital of the combined European regulated group was $165,662, which exceeded the minimum requirement set for regulatory capital levels by $91,445.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2015, for those subsidiaries with regulatory capital requirements, their aggregate net capital was $121,713, which exceeded the minimum required capital by $94,750.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Consolidated Financial Statements.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2015, 2014 and 2013 is prepared using the following methodology:</w:t>
      </w:r>
    </w:p>
    <w:p>
      <w:pPr>
        <w:spacing w:after="0" w:line="113" w:lineRule="exact"/>
        <w:rPr>
          <w:sz w:val="20"/>
          <w:szCs w:val="20"/>
          <w:color w:val="auto"/>
        </w:rPr>
      </w:pPr>
    </w:p>
    <w:p>
      <w:pPr>
        <w:ind w:left="5580" w:right="2880" w:hanging="5005"/>
        <w:spacing w:after="0" w:line="440" w:lineRule="auto"/>
        <w:tabs>
          <w:tab w:leader="none" w:pos="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121</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right="22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the years ended December 31, 2015, 2014 and 2013, no individual client constituted more than 10% of the net revenue of any of the Company’s business segments.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2013(b)</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1,279,628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1,206,734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4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1,005,837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977,681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229,053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763,374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785,557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1,111,105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1,134,595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4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736,798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749,345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640,034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588,403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4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32,735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(117,253)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(73,328)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1,994,638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1,796,720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1,767,262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2,350,276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2,300,736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4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1,819,431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1,759,761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1,765,065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540,975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3,398,046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3,170,680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3,093,988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vMerge w:val="restart"/>
          </w:tcPr>
          <w:p>
            <w:pPr>
              <w:ind w:left="2820"/>
              <w:spacing w:after="0"/>
              <w:rPr>
                <w:sz w:val="20"/>
                <w:szCs w:val="20"/>
                <w:color w:val="auto"/>
              </w:rPr>
            </w:pPr>
            <w:r>
              <w:rPr>
                <w:rFonts w:ascii="Arial" w:cs="Arial" w:eastAsia="Arial" w:hAnsi="Arial"/>
                <w:sz w:val="18"/>
                <w:szCs w:val="18"/>
                <w:color w:val="auto"/>
              </w:rPr>
              <w:t>122</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25,416</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27,027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26,938</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32,785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34,463</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34,750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See Note 16 for information regarding the Cost Saving Initiatives and the impact on each of the Company’s business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9"/>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1,307,245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1,308,509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1,215,736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350,841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2,350,276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2,300,736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70,742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22,277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530,845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540,975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1,720,963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1,679,326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1,612,546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992,541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279,640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3,398,046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3,170,680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3,093,988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40" w:type="dxa"/>
            <w:vAlign w:val="bottom"/>
            <w:vMerge w:val="restart"/>
          </w:tcPr>
          <w:p>
            <w:pPr>
              <w:jc w:val="right"/>
              <w:ind w:right="1032"/>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2015 and 2014.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88"/>
              </w:rPr>
              <w:t>2015 Fiscal Quarter</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First(a)</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90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Fourth</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20" w:type="dxa"/>
            <w:vAlign w:val="bottom"/>
            <w:gridSpan w:val="6"/>
          </w:tcPr>
          <w:p>
            <w:pPr>
              <w:jc w:val="center"/>
              <w:ind w:right="8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576,853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607,951</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$ 572,852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$ 592,620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2,350,276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496,242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446,815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422,884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453,490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1,819,431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161,136</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$ 149,968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$ 139,130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530,845</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69,153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146,672</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$ 122,981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$ 110,491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449,297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Lazard Group</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62,460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145,629</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$ 121,713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$ 112,936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442,738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88"/>
              </w:rPr>
              <w:t>2014 Fiscal Quarter</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90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Fourth</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20" w:type="dxa"/>
            <w:vAlign w:val="bottom"/>
            <w:gridSpan w:val="6"/>
          </w:tcPr>
          <w:p>
            <w:pPr>
              <w:jc w:val="center"/>
              <w:ind w:right="8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533,295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566,805</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$ 566,296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$ 634,340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425,907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456,917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452,251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424,686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1,759,761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109,888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$ 114,045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$ 209,654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540,975</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89,531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94,010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91,675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$ 187,944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463,160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Lazard Group</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85,411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93,457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90,615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$ 187,521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See Note 11 for information regarding the debt refinancing.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2015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 Item.</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 Item.</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 Item.</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 Item.</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2015 and 2014, fees for services provided by Deloitte &amp; Touche LLP, the member firms of Deloitte Touche Tohmatsu and their respective affiliates were as follows (in thousands of 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Fees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7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9"/>
              </w:rPr>
              <w:t xml:space="preserve">Audit Fees </w:t>
            </w:r>
            <w:r>
              <w:rPr>
                <w:rFonts w:ascii="Arial" w:cs="Arial" w:eastAsia="Arial" w:hAnsi="Arial"/>
                <w:sz w:val="18"/>
                <w:szCs w:val="18"/>
                <w:color w:val="auto"/>
                <w:w w:val="89"/>
              </w:rPr>
              <w:t>for the audit of the Company’s annual financial statements, the audit of the effectiveness of the Company’s internal controls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over financial reporting and reviews of the financial statements included in the Company’s quarterly reports on Form 10-Q,</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including services in connection with statutory and regulatory filings or engagements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7,494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720" w:type="dxa"/>
            <w:vAlign w:val="bottom"/>
            <w:gridSpan w:val="3"/>
          </w:tcPr>
          <w:p>
            <w:pPr>
              <w:spacing w:after="0"/>
              <w:rPr>
                <w:sz w:val="20"/>
                <w:szCs w:val="20"/>
                <w:color w:val="auto"/>
              </w:rPr>
            </w:pPr>
            <w:r>
              <w:rPr>
                <w:rFonts w:ascii="Arial" w:cs="Arial" w:eastAsia="Arial" w:hAnsi="Arial"/>
                <w:sz w:val="18"/>
                <w:szCs w:val="18"/>
                <w:b w:val="1"/>
                <w:bCs w:val="1"/>
                <w:color w:val="auto"/>
                <w:w w:val="92"/>
              </w:rPr>
              <w:t>Audit-Related Fees</w:t>
            </w:r>
            <w:r>
              <w:rPr>
                <w:rFonts w:ascii="Arial" w:cs="Arial" w:eastAsia="Arial" w:hAnsi="Arial"/>
                <w:sz w:val="18"/>
                <w:szCs w:val="18"/>
                <w:color w:val="auto"/>
                <w:w w:val="92"/>
              </w:rPr>
              <w:t>, including fees for audits of employee benefit plans, computer and control-related attest services, agreed-upon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procedures, regulatory and compliance reviews, fund audits and other accounting research services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advisory and compliance services not related to the audit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All Other Fees (1)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54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fees for certain consulting services and cyber security awareness training that were provided to the Company during 2015 by affiliates of Deloitte &amp; Touche LLP that were unrelated to the audit, audit-related and tax services described above.</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Audit Committee of the Board of Directors of Lazard Ltd (the “Audit Committee”) has adopted a policy regarding pre-approval of audit and non-audit services provided by Deloitte &amp; Touche LLP to the Company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must be presented to the Audit Committee for approval prior to the commencement of the relevant engagement. The Audit Committee chair, or, if he is not available, any other member of the Audit Committee, may grant approval for any such engagement if approval is required prior to the next scheduled meeting of the Audit Committee. All of the fees paid to Deloitte &amp; Touche LLP in 2015 were pre-approved in accordance with these procedures, and there were no services for which the de minimus exception permitted in certain circumstances under SEC rules was utilized.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00"/>
          </w:cols>
          <w:pgMar w:left="24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jc w:val="both"/>
        <w:ind w:left="900" w:right="14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 schedule required in the Annual Report on Form 10-K is listed on page F-1 hereof. The required schedule appears on pages F-2 through F-6 hereof. Ratio of Earnings to Fixed Charges has been included as Exhibit 12.1. All other schedules have been omitted because they are not applicable, not required or the information required is included in the Company’s consolidated financial statements or notes thereto.</w:t>
      </w:r>
    </w:p>
    <w:p>
      <w:pPr>
        <w:spacing w:after="0" w:line="122"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10540" w:type="dxa"/>
            <w:vAlign w:val="bottom"/>
          </w:tcPr>
          <w:p>
            <w:pPr>
              <w:ind w:left="52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540" w:type="dxa"/>
            <w:vAlign w:val="bottom"/>
          </w:tcPr>
          <w:p>
            <w:pPr>
              <w:ind w:left="52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3.3</w:t>
            </w:r>
          </w:p>
        </w:tc>
        <w:tc>
          <w:tcPr>
            <w:tcW w:w="10540" w:type="dxa"/>
            <w:vAlign w:val="bottom"/>
          </w:tcPr>
          <w:p>
            <w:pPr>
              <w:ind w:left="520"/>
              <w:spacing w:after="0"/>
              <w:rPr>
                <w:sz w:val="20"/>
                <w:szCs w:val="20"/>
                <w:color w:val="auto"/>
              </w:rPr>
            </w:pPr>
            <w:r>
              <w:rPr>
                <w:rFonts w:ascii="Arial" w:cs="Arial" w:eastAsia="Arial" w:hAnsi="Arial"/>
                <w:sz w:val="18"/>
                <w:szCs w:val="18"/>
                <w:color w:val="auto"/>
                <w:w w:val="88"/>
              </w:rPr>
              <w:t>Amended and Restated Operating Agreement of Lazard Group LLC, dated as of October 26, 2015 (incorporated by reference to Exhibit 3.3 to</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the Registrant’s Quarterly Report (File No. 333-126751) on Form 10-Q filed on October 27, 2015).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540" w:type="dxa"/>
            <w:vAlign w:val="bottom"/>
          </w:tcPr>
          <w:p>
            <w:pPr>
              <w:ind w:left="52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10540" w:type="dxa"/>
            <w:vAlign w:val="bottom"/>
          </w:tcPr>
          <w:p>
            <w:pPr>
              <w:ind w:left="52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4.3</w:t>
            </w:r>
          </w:p>
        </w:tc>
        <w:tc>
          <w:tcPr>
            <w:tcW w:w="10540" w:type="dxa"/>
            <w:vAlign w:val="bottom"/>
          </w:tcPr>
          <w:p>
            <w:pPr>
              <w:ind w:left="52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4.4</w:t>
            </w:r>
          </w:p>
        </w:tc>
        <w:tc>
          <w:tcPr>
            <w:tcW w:w="10540" w:type="dxa"/>
            <w:vAlign w:val="bottom"/>
          </w:tcPr>
          <w:p>
            <w:pPr>
              <w:ind w:left="52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4.5</w:t>
            </w:r>
          </w:p>
        </w:tc>
        <w:tc>
          <w:tcPr>
            <w:tcW w:w="10540" w:type="dxa"/>
            <w:vAlign w:val="bottom"/>
          </w:tcPr>
          <w:p>
            <w:pPr>
              <w:ind w:left="520"/>
              <w:spacing w:after="0"/>
              <w:rPr>
                <w:sz w:val="20"/>
                <w:szCs w:val="20"/>
                <w:color w:val="auto"/>
              </w:rPr>
            </w:pPr>
            <w:r>
              <w:rPr>
                <w:rFonts w:ascii="Arial" w:cs="Arial" w:eastAsia="Arial" w:hAnsi="Arial"/>
                <w:sz w:val="18"/>
                <w:szCs w:val="18"/>
                <w:color w:val="auto"/>
                <w:w w:val="92"/>
              </w:rPr>
              <w:t>Sixth Supplemental Indenture, dated as of February 13, 2015, between Lazard Group LLC and The Bank of New York Mellon, as trustee</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w w:val="90"/>
              </w:rPr>
              <w:t>(incorporated by reference to Exhibit 4.1 of the Registrant’s Current Report on Form 8-K (File No. 333-126751) filed on February 13, 2015).</w:t>
            </w:r>
          </w:p>
        </w:tc>
      </w:tr>
      <w:tr>
        <w:trPr>
          <w:trHeight w:val="324"/>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4.6</w:t>
            </w:r>
          </w:p>
        </w:tc>
        <w:tc>
          <w:tcPr>
            <w:tcW w:w="10540" w:type="dxa"/>
            <w:vAlign w:val="bottom"/>
          </w:tcPr>
          <w:p>
            <w:pPr>
              <w:ind w:left="520"/>
              <w:spacing w:after="0"/>
              <w:rPr>
                <w:sz w:val="20"/>
                <w:szCs w:val="20"/>
                <w:color w:val="auto"/>
              </w:rPr>
            </w:pPr>
            <w:r>
              <w:rPr>
                <w:rFonts w:ascii="Arial" w:cs="Arial" w:eastAsia="Arial" w:hAnsi="Arial"/>
                <w:sz w:val="18"/>
                <w:szCs w:val="18"/>
                <w:color w:val="auto"/>
              </w:rPr>
              <w:t>Form of Senior Notes (included in Exhibits 4.2, 4.3, 4.4 and 4.5).</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10.1</w:t>
            </w:r>
          </w:p>
        </w:tc>
        <w:tc>
          <w:tcPr>
            <w:tcW w:w="10540" w:type="dxa"/>
            <w:vAlign w:val="bottom"/>
          </w:tcPr>
          <w:p>
            <w:pPr>
              <w:ind w:left="5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8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65"/>
        </w:trPr>
        <w:tc>
          <w:tcPr>
            <w:tcW w:w="860" w:type="dxa"/>
            <w:vAlign w:val="bottom"/>
          </w:tcPr>
          <w:p>
            <w:pPr>
              <w:spacing w:after="0"/>
              <w:rPr>
                <w:sz w:val="24"/>
                <w:szCs w:val="24"/>
                <w:color w:val="auto"/>
              </w:rPr>
            </w:pPr>
          </w:p>
        </w:tc>
        <w:tc>
          <w:tcPr>
            <w:tcW w:w="10540" w:type="dxa"/>
            <w:vAlign w:val="bottom"/>
          </w:tcPr>
          <w:p>
            <w:pPr>
              <w:ind w:left="4720"/>
              <w:spacing w:after="0"/>
              <w:rPr>
                <w:sz w:val="20"/>
                <w:szCs w:val="20"/>
                <w:color w:val="auto"/>
              </w:rPr>
            </w:pPr>
            <w:r>
              <w:rPr>
                <w:rFonts w:ascii="Arial" w:cs="Arial" w:eastAsia="Arial" w:hAnsi="Arial"/>
                <w:sz w:val="18"/>
                <w:szCs w:val="18"/>
                <w:color w:val="auto"/>
              </w:rPr>
              <w:t>128</w:t>
            </w:r>
          </w:p>
        </w:tc>
      </w:tr>
    </w:tbl>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Amendment dated as of February 16, 2011, by and among RCPI Landmark Properties, L.L.C. (as the successor in interest to Rockefeller</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65"/>
        </w:trPr>
        <w:tc>
          <w:tcPr>
            <w:tcW w:w="940" w:type="dxa"/>
            <w:vAlign w:val="bottom"/>
          </w:tcPr>
          <w:p>
            <w:pPr>
              <w:spacing w:after="0"/>
              <w:rPr>
                <w:sz w:val="24"/>
                <w:szCs w:val="24"/>
                <w:color w:val="auto"/>
              </w:rPr>
            </w:pPr>
          </w:p>
        </w:tc>
        <w:tc>
          <w:tcPr>
            <w:tcW w:w="10440" w:type="dxa"/>
            <w:vAlign w:val="bottom"/>
          </w:tcPr>
          <w:p>
            <w:pPr>
              <w:ind w:left="4640"/>
              <w:spacing w:after="0"/>
              <w:rPr>
                <w:sz w:val="20"/>
                <w:szCs w:val="20"/>
                <w:color w:val="auto"/>
              </w:rPr>
            </w:pPr>
            <w:r>
              <w:rPr>
                <w:rFonts w:ascii="Arial" w:cs="Arial" w:eastAsia="Arial" w:hAnsi="Arial"/>
                <w:sz w:val="18"/>
                <w:szCs w:val="18"/>
                <w:color w:val="auto"/>
              </w:rPr>
              <w:t>129</w:t>
            </w:r>
          </w:p>
        </w:tc>
      </w:tr>
    </w:tbl>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Amended and Restated Credit Agreement, dated as of September 25, 2015, among the Registrant, the Banks from time to time parties thereto,</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8"/>
              </w:rPr>
              <w:t>and Citibank, N.A., as Administrative Agent (incorporated by reference to Exhibit 10.25 to the Registrant’s Quarterly Report (File</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No. 333-126751) on Form 10-Q filed on October 27, 2015).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65"/>
        </w:trPr>
        <w:tc>
          <w:tcPr>
            <w:tcW w:w="940" w:type="dxa"/>
            <w:vAlign w:val="bottom"/>
          </w:tcPr>
          <w:p>
            <w:pPr>
              <w:spacing w:after="0"/>
              <w:rPr>
                <w:sz w:val="24"/>
                <w:szCs w:val="24"/>
                <w:color w:val="auto"/>
              </w:rPr>
            </w:pPr>
          </w:p>
        </w:tc>
        <w:tc>
          <w:tcPr>
            <w:tcW w:w="10460" w:type="dxa"/>
            <w:vAlign w:val="bottom"/>
          </w:tcPr>
          <w:p>
            <w:pPr>
              <w:ind w:left="4640"/>
              <w:spacing w:after="0"/>
              <w:rPr>
                <w:sz w:val="20"/>
                <w:szCs w:val="20"/>
                <w:color w:val="auto"/>
              </w:rPr>
            </w:pPr>
            <w:r>
              <w:rPr>
                <w:rFonts w:ascii="Arial" w:cs="Arial" w:eastAsia="Arial" w:hAnsi="Arial"/>
                <w:sz w:val="18"/>
                <w:szCs w:val="18"/>
                <w:color w:val="auto"/>
              </w:rPr>
              <w:t>130</w:t>
            </w:r>
          </w:p>
        </w:tc>
      </w:tr>
    </w:tbl>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10.29*</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of March 15, 2005 and amended on August 2, 2011, among the Registrant, Lazard Ltd and Ashish Bhutani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10.30*</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of October 4, 2004 and amended on April 1, 2011, among the Registrant, Lazard Ltd and Matthieu Bucaille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10.31*</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10.32*</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of October 4, 2004 and amended on March 23, 2010, among the Registrant, Lazard Ltd and Alexander F. Stern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10.33*</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10.34*</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10.35*</w:t>
            </w: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Form of Agreement evidencing a grant of Restricted Stock Units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10.36*</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10.37*</w:t>
            </w:r>
          </w:p>
        </w:tc>
        <w:tc>
          <w:tcPr>
            <w:tcW w:w="10340" w:type="dxa"/>
            <w:vAlign w:val="bottom"/>
          </w:tcPr>
          <w:p>
            <w:pPr>
              <w:ind w:left="360"/>
              <w:spacing w:after="0"/>
              <w:rPr>
                <w:sz w:val="20"/>
                <w:szCs w:val="20"/>
                <w:color w:val="auto"/>
              </w:rPr>
            </w:pPr>
            <w:r>
              <w:rPr>
                <w:rFonts w:ascii="Arial" w:cs="Arial" w:eastAsia="Arial" w:hAnsi="Arial"/>
                <w:sz w:val="18"/>
                <w:szCs w:val="18"/>
                <w:color w:val="auto"/>
                <w:w w:val="87"/>
              </w:rPr>
              <w:t>Agreement between Lazard Ltd and Kenneth M. Jacobs, dated as of February 20, 2014, evidencing a grant of Performance-Based Stock Units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No. 333-126751) on Form 10-Q filed on May 6, 2014).</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1034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10340" w:type="dxa"/>
            <w:vAlign w:val="bottom"/>
          </w:tcPr>
          <w:p>
            <w:pPr>
              <w:ind w:left="360"/>
              <w:spacing w:after="0"/>
              <w:rPr>
                <w:sz w:val="20"/>
                <w:szCs w:val="20"/>
                <w:color w:val="auto"/>
              </w:rPr>
            </w:pPr>
            <w:r>
              <w:rPr>
                <w:rFonts w:ascii="Arial" w:cs="Arial" w:eastAsia="Arial" w:hAnsi="Arial"/>
                <w:sz w:val="18"/>
                <w:szCs w:val="18"/>
                <w:color w:val="auto"/>
              </w:rPr>
              <w:t>Subsidiaries of Registrant.</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034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Financial Condition as of December 31, 2015 and 2014</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Operations for the years ended December 31, 2015, 2014 and 2013</w:t>
              </w:r>
            </w:hyperlink>
          </w:p>
        </w:tc>
        <w:tc>
          <w:tcPr>
            <w:tcW w:w="412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Comprehensive Income for the years ended December 31, 2015, 2014</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and 2013</w:t>
              </w:r>
            </w:hyperlink>
          </w:p>
        </w:tc>
        <w:tc>
          <w:tcPr>
            <w:tcW w:w="6020" w:type="dxa"/>
            <w:vAlign w:val="bottom"/>
            <w:tcBorders>
              <w:top w:val="single" w:sz="8" w:color="0000EE"/>
            </w:tcBorders>
            <w:gridSpan w:val="11"/>
          </w:tcPr>
          <w:p>
            <w:pPr>
              <w:spacing w:after="0"/>
              <w:rPr>
                <w:sz w:val="17"/>
                <w:szCs w:val="17"/>
                <w:color w:val="auto"/>
              </w:rPr>
            </w:pPr>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Members’ Equity for the years ended December 31, 2015, 2014 and 2013</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280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Condensed Statements of Financial Condition as of December 31, 2015 and 2014</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Condensed Statements of Operations for the years ended December 31, 2015, 2014 and 2013</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Condensed Statements of Comprehensive Income for the years ended December 31, 2015,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Condensed Statements of Cash Flows for the years ended December 31, 2015, 2014 and 2013</w:t>
              </w:r>
            </w:hyperlink>
          </w:p>
        </w:tc>
        <w:tc>
          <w:tcPr>
            <w:tcW w:w="840" w:type="dxa"/>
            <w:vAlign w:val="bottom"/>
            <w:tcBorders>
              <w:top w:val="single" w:sz="8" w:color="0000EE"/>
            </w:tcBorders>
          </w:tcPr>
          <w:p>
            <w:pPr>
              <w:spacing w:after="0"/>
              <w:rPr>
                <w:sz w:val="22"/>
                <w:szCs w:val="22"/>
                <w:color w:val="auto"/>
              </w:rPr>
            </w:pPr>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184,482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subsidiaries of Lazard Ltd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 receivables,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subsidiaries, equity method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1,205,240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 investments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175,689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Goodwill and intangible assets-net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2,086,757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1,996,382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600" w:type="dxa"/>
            <w:vAlign w:val="bottom"/>
            <w:gridSpan w:val="2"/>
            <w:vMerge w:val="continue"/>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Due to subsidiaries of Lazard Ltd</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157,353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1,436,998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1,564,836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6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Members’ equity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839,517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(189,758)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2,086,757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1,996,382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$ 670,322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$ 648,152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$ 415,162</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720" w:type="dxa"/>
            <w:vAlign w:val="bottom"/>
          </w:tcPr>
          <w:p>
            <w:pPr>
              <w:jc w:val="right"/>
              <w:spacing w:after="0"/>
              <w:rPr>
                <w:sz w:val="20"/>
                <w:szCs w:val="20"/>
                <w:color w:val="auto"/>
              </w:rPr>
            </w:pPr>
            <w:r>
              <w:rPr>
                <w:rFonts w:ascii="Arial" w:cs="Arial" w:eastAsia="Arial" w:hAnsi="Arial"/>
                <w:sz w:val="18"/>
                <w:szCs w:val="18"/>
                <w:color w:val="auto"/>
              </w:rPr>
              <w:t>7,329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12,059</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671,679</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662,478</w:t>
            </w: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434,285</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51,047</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63,005</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79,302</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620,632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354,983</w:t>
            </w:r>
          </w:p>
        </w:tc>
        <w:tc>
          <w:tcPr>
            <w:tcW w:w="12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108,065</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4,963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60,797</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57,776</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175,803</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138,535</w:t>
            </w: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172,066</w:t>
            </w:r>
          </w:p>
        </w:tc>
        <w:tc>
          <w:tcPr>
            <w:tcW w:w="12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444,829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460,938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182,917</w:t>
            </w:r>
          </w:p>
        </w:tc>
        <w:tc>
          <w:tcPr>
            <w:tcW w:w="12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$ 442,738</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$ 457,004</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$ 183,063</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$ 442,738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$ 457,004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$ 183,063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(43,858)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w w:val="94"/>
              </w:rPr>
              <w:t>Actuarial gain (loss) (net of tax expense (benefit) of $5,644, $(9,045) and $(6,388) for the years ended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06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11,283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(21,983)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Adjustments for items reclassified to earnings (net of tax expense of $1,507, $1,923 and $1,929 for the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2015, 2014 and 2013, respectively)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(26,470)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(61,092)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$ 416,268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$ 395,912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7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1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7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$ 442,738</w:t>
            </w:r>
          </w:p>
        </w:tc>
        <w:tc>
          <w:tcPr>
            <w:tcW w:w="60" w:type="dxa"/>
            <w:vAlign w:val="bottom"/>
          </w:tcPr>
          <w:p>
            <w:pPr>
              <w:spacing w:after="0"/>
              <w:rPr>
                <w:sz w:val="18"/>
                <w:szCs w:val="18"/>
                <w:color w:val="auto"/>
              </w:rPr>
            </w:pP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$ 457,004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$ 183,063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Equity in earnings of subsidiaries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(670,322)</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(648,152)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(415,162)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provision (benefit)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2,441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720" w:type="dxa"/>
            <w:vAlign w:val="bottom"/>
          </w:tcPr>
          <w:p>
            <w:pPr>
              <w:jc w:val="right"/>
              <w:spacing w:after="0"/>
              <w:rPr>
                <w:sz w:val="20"/>
                <w:szCs w:val="20"/>
                <w:color w:val="auto"/>
              </w:rPr>
            </w:pPr>
            <w:r>
              <w:rPr>
                <w:rFonts w:ascii="Arial" w:cs="Arial" w:eastAsia="Arial" w:hAnsi="Arial"/>
                <w:sz w:val="18"/>
                <w:szCs w:val="18"/>
                <w:color w:val="auto"/>
              </w:rPr>
              <w:t>60,219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Amortization of deferred expenses, share-based incentive compensation 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301,164</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277,800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9,869</w:t>
            </w:r>
          </w:p>
        </w:tc>
        <w:tc>
          <w:tcPr>
            <w:tcW w:w="60" w:type="dxa"/>
            <w:vAlign w:val="bottom"/>
          </w:tcPr>
          <w:p>
            <w:pPr>
              <w:spacing w:after="0"/>
              <w:rPr>
                <w:sz w:val="18"/>
                <w:szCs w:val="18"/>
                <w:color w:val="auto"/>
              </w:rPr>
            </w:pP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9,731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Dividends received from subsidiaries</w:t>
            </w:r>
          </w:p>
        </w:tc>
        <w:tc>
          <w:tcPr>
            <w:tcW w:w="720" w:type="dxa"/>
            <w:vAlign w:val="bottom"/>
          </w:tcPr>
          <w:p>
            <w:pPr>
              <w:jc w:val="right"/>
              <w:spacing w:after="0"/>
              <w:rPr>
                <w:sz w:val="20"/>
                <w:szCs w:val="20"/>
                <w:color w:val="auto"/>
              </w:rPr>
            </w:pPr>
            <w:r>
              <w:rPr>
                <w:rFonts w:ascii="Arial" w:cs="Arial" w:eastAsia="Arial" w:hAnsi="Arial"/>
                <w:sz w:val="18"/>
                <w:szCs w:val="18"/>
                <w:color w:val="auto"/>
              </w:rPr>
              <w:t>527,373</w:t>
            </w:r>
          </w:p>
        </w:tc>
        <w:tc>
          <w:tcPr>
            <w:tcW w:w="60" w:type="dxa"/>
            <w:vAlign w:val="bottom"/>
          </w:tcPr>
          <w:p>
            <w:pPr>
              <w:spacing w:after="0"/>
              <w:rPr>
                <w:sz w:val="18"/>
                <w:szCs w:val="18"/>
                <w:color w:val="auto"/>
              </w:rPr>
            </w:pP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563,036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584,792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Due to/from subsidiaries</w:t>
            </w:r>
          </w:p>
        </w:tc>
        <w:tc>
          <w:tcPr>
            <w:tcW w:w="720" w:type="dxa"/>
            <w:vAlign w:val="bottom"/>
          </w:tcPr>
          <w:p>
            <w:pPr>
              <w:jc w:val="right"/>
              <w:spacing w:after="0"/>
              <w:rPr>
                <w:sz w:val="20"/>
                <w:szCs w:val="20"/>
                <w:color w:val="auto"/>
              </w:rPr>
            </w:pPr>
            <w:r>
              <w:rPr>
                <w:rFonts w:ascii="Arial" w:cs="Arial" w:eastAsia="Arial" w:hAnsi="Arial"/>
                <w:sz w:val="18"/>
                <w:szCs w:val="18"/>
                <w:color w:val="auto"/>
              </w:rPr>
              <w:t>4,211</w:t>
            </w:r>
          </w:p>
        </w:tc>
        <w:tc>
          <w:tcPr>
            <w:tcW w:w="60" w:type="dxa"/>
            <w:vAlign w:val="bottom"/>
          </w:tcPr>
          <w:p>
            <w:pPr>
              <w:spacing w:after="0"/>
              <w:rPr>
                <w:sz w:val="18"/>
                <w:szCs w:val="18"/>
                <w:color w:val="auto"/>
              </w:rPr>
            </w:pP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49,983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21,556</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(54,235)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Other operating assets and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(126,537)</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(17,881)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640,127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(7,473)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Proceeds from sale of subsidiary</w:t>
            </w:r>
          </w:p>
        </w:tc>
        <w:tc>
          <w:tcPr>
            <w:tcW w:w="720" w:type="dxa"/>
            <w:vAlign w:val="bottom"/>
          </w:tcPr>
          <w:p>
            <w:pPr>
              <w:jc w:val="right"/>
              <w:spacing w:after="0"/>
              <w:rPr>
                <w:sz w:val="20"/>
                <w:szCs w:val="20"/>
                <w:color w:val="auto"/>
              </w:rPr>
            </w:pPr>
            <w:r>
              <w:rPr>
                <w:rFonts w:ascii="Arial" w:cs="Arial" w:eastAsia="Arial" w:hAnsi="Arial"/>
                <w:sz w:val="18"/>
                <w:szCs w:val="18"/>
                <w:color w:val="auto"/>
              </w:rPr>
              <w:t>1,413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 to subsidiaries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(16,987)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vMerge w:val="continue"/>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(17,404)</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(24,460)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(68,261)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5,149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Issuance of senior debt, net of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396,272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493,398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Payments for:</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(509,098)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(83)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(129,787)</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(322,369)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(120,116)</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(85,442)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(215,642)</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(141,192)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(5,840)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(567,530)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(549,577)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(477,429)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gridSpan w:val="2"/>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(12,178)</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66,090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71,953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196,660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December 31</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$ 184,482</w:t>
            </w:r>
          </w:p>
        </w:tc>
        <w:tc>
          <w:tcPr>
            <w:tcW w:w="60" w:type="dxa"/>
            <w:vAlign w:val="bottom"/>
          </w:tcPr>
          <w:p>
            <w:pPr>
              <w:spacing w:after="0"/>
              <w:rPr>
                <w:sz w:val="19"/>
                <w:szCs w:val="19"/>
                <w:color w:val="auto"/>
              </w:rPr>
            </w:pP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$ 196,660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$ 130,570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2015 and 2014, and for each of the three years in the period ended December 31, 2015,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40" w:name="page141"/>
    <w:bookmarkEnd w:id="14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530,845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540,975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219,009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121,593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78,826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91,691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111,317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116,255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609,671</w:t>
            </w:r>
          </w:p>
        </w:tc>
        <w:tc>
          <w:tcPr>
            <w:tcW w:w="3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632,666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330,326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237,848</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54,885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87,039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23,941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24,278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24,896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78,826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111,317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116,255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7.73(d)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2.97(e)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2.05(f)</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2015 is presented after giving effect to a charge of (i) $60,219 associated with the redemption of $450 million of the 2017 Notes, (ii) $2,655 excess interest expense due to the overlap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62"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International</w:t>
            </w:r>
          </w:p>
        </w:tc>
        <w:tc>
          <w:tcPr>
            <w:tcW w:w="2040" w:type="dxa"/>
            <w:vAlign w:val="bottom"/>
          </w:tcPr>
          <w:p>
            <w:pPr>
              <w:spacing w:after="0" w:line="188" w:lineRule="exact"/>
              <w:rPr>
                <w:sz w:val="20"/>
                <w:szCs w:val="20"/>
                <w:color w:val="auto"/>
              </w:rPr>
            </w:pPr>
            <w:r>
              <w:rPr>
                <w:rFonts w:ascii="Arial" w:cs="Arial" w:eastAsia="Arial" w:hAnsi="Arial"/>
                <w:sz w:val="18"/>
                <w:szCs w:val="18"/>
                <w:color w:val="auto"/>
              </w:rPr>
              <w:t>Holdings, Inc.</w:t>
            </w: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Middle Market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Limited</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Lazard Pty Limited</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bl>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80"/>
        <w:spacing w:after="0" w:line="335" w:lineRule="auto"/>
        <w:rPr>
          <w:sz w:val="20"/>
          <w:szCs w:val="20"/>
          <w:color w:val="auto"/>
        </w:rPr>
      </w:pPr>
      <w:r>
        <w:rPr>
          <w:rFonts w:ascii="Arial" w:cs="Arial" w:eastAsia="Arial" w:hAnsi="Arial"/>
          <w:sz w:val="15"/>
          <w:szCs w:val="15"/>
          <w:color w:val="auto"/>
        </w:rPr>
        <w:t>We consent to the incorporation by reference in Registration Statement No. 333-196350 on Form S-3 of our reports dated February 25, 2016, relating to the consolidated financial statements and financial statement schedule of Lazard Group LLC and subsidiaries (“the Company”), and the effectiveness of the Company’s internal control over financial reporting appearing in this Annual Report on Form 10-K of the Company for the year ended December 31, 2015.</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Letter"/>
      <w:start w:val="3"/>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Roman"/>
      <w:start w:val="2"/>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lvl w:ilvl="1">
      <w:lvlJc w:val="left"/>
      <w:lvlText w:val="(%2)"/>
      <w:numFmt w:val="lowerRoman"/>
      <w:start w:val="1"/>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Letter"/>
      <w:start w:val="2"/>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2"/>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2"/>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3"/>
    </w:lvl>
  </w:abstractNum>
  <w:abstractNum w:abstractNumId="53">
    <w:nsid w:val="51D9C564"/>
    <w:multiLevelType w:val="hybridMultilevel"/>
    <w:lvl w:ilvl="0">
      <w:lvlJc w:val="left"/>
      <w:lvlText w:val="%1."/>
      <w:numFmt w:val="decimal"/>
      <w:start w:val="4"/>
    </w:lvl>
  </w:abstractNum>
  <w:abstractNum w:abstractNumId="54">
    <w:nsid w:val="613EFDC5"/>
    <w:multiLevelType w:val="hybridMultilevel"/>
    <w:lvl w:ilvl="0">
      <w:lvlJc w:val="left"/>
      <w:lvlText w:val="%1."/>
      <w:numFmt w:val="decimal"/>
      <w:start w:val="5"/>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decimal"/>
      <w:start w:val="6"/>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2"/>
    </w:lvl>
  </w:abstractNum>
  <w:abstractNum w:abstractNumId="62">
    <w:nsid w:val="68EB2F63"/>
    <w:multiLevelType w:val="hybridMultilevel"/>
    <w:lvl w:ilvl="0">
      <w:lvlJc w:val="left"/>
      <w:lvlText w:val="%1."/>
      <w:numFmt w:val="decimal"/>
      <w:start w:val="7"/>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decimal"/>
      <w:start w:val="8"/>
    </w:lvl>
  </w:abstractNum>
  <w:abstractNum w:abstractNumId="65">
    <w:nsid w:val="6A5EE64"/>
    <w:multiLevelType w:val="hybridMultilevel"/>
    <w:lvl w:ilvl="0">
      <w:lvlJc w:val="left"/>
      <w:lvlText w:val="%1."/>
      <w:numFmt w:val="decimal"/>
      <w:start w:val="9"/>
    </w:lvl>
  </w:abstractNum>
  <w:abstractNum w:abstractNumId="66">
    <w:nsid w:val="14330624"/>
    <w:multiLevelType w:val="hybridMultilevel"/>
    <w:lvl w:ilvl="0">
      <w:lvlJc w:val="left"/>
      <w:lvlText w:val="%1"/>
      <w:numFmt w:val="decimal"/>
      <w:start w:val="1"/>
    </w:lvl>
    <w:lvl w:ilvl="1">
      <w:lvlJc w:val="left"/>
      <w:lvlText w:val="(%2)"/>
      <w:numFmt w:val="lowerLetter"/>
      <w:start w:val="1"/>
    </w:lvl>
  </w:abstractNum>
  <w:abstractNum w:abstractNumId="67">
    <w:nsid w:val="7FFFCA11"/>
    <w:multiLevelType w:val="hybridMultilevel"/>
    <w:lvl w:ilvl="0">
      <w:lvlJc w:val="left"/>
      <w:lvlText w:val="%1."/>
      <w:numFmt w:val="decimal"/>
      <w:start w:val="10"/>
    </w:lvl>
    <w:lvl w:ilvl="1">
      <w:lvlJc w:val="left"/>
      <w:lvlText w:val="%2"/>
      <w:numFmt w:val="lowerLetter"/>
      <w:start w:val="1"/>
    </w:lvl>
  </w:abstractNum>
  <w:abstractNum w:abstractNumId="68">
    <w:nsid w:val="1A27709E"/>
    <w:multiLevelType w:val="hybridMultilevel"/>
    <w:lvl w:ilvl="0">
      <w:lvlJc w:val="left"/>
      <w:lvlText w:val="%1."/>
      <w:numFmt w:val="decimal"/>
      <w:start w:val="11"/>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decimal"/>
      <w:start w:val="12"/>
    </w:lvl>
  </w:abstractNum>
  <w:abstractNum w:abstractNumId="71">
    <w:nsid w:val="7FB7E0AA"/>
    <w:multiLevelType w:val="hybridMultilevel"/>
    <w:lvl w:ilvl="0">
      <w:lvlJc w:val="left"/>
      <w:lvlText w:val="%1."/>
      <w:numFmt w:val="decimal"/>
      <w:start w:val="13"/>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decimal"/>
      <w:start w:val="14"/>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decimal"/>
      <w:start w:val="15"/>
    </w:lvl>
  </w:abstractNum>
  <w:abstractNum w:abstractNumId="78">
    <w:nsid w:val="1716703B"/>
    <w:multiLevelType w:val="hybridMultilevel"/>
    <w:lvl w:ilvl="0">
      <w:lvlJc w:val="left"/>
      <w:lvlText w:val="(%1)"/>
      <w:numFmt w:val="lowerLetter"/>
      <w:start w:val="1"/>
    </w:lvl>
  </w:abstractNum>
  <w:abstractNum w:abstractNumId="79">
    <w:nsid w:val="14E17E33"/>
    <w:multiLevelType w:val="hybridMultilevel"/>
    <w:lvl w:ilvl="0">
      <w:lvlJc w:val="left"/>
      <w:lvlText w:val="%1."/>
      <w:numFmt w:val="decimal"/>
      <w:start w:val="16"/>
    </w:lvl>
  </w:abstractNum>
  <w:abstractNum w:abstractNumId="80">
    <w:nsid w:val="3222E7CD"/>
    <w:multiLevelType w:val="hybridMultilevel"/>
    <w:lvl w:ilvl="0">
      <w:lvlJc w:val="left"/>
      <w:lvlText w:val="%1."/>
      <w:numFmt w:val="decimal"/>
      <w:start w:val="17"/>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Roman"/>
      <w:start w:val="1"/>
    </w:lvl>
  </w:abstractNum>
  <w:abstractNum w:abstractNumId="83">
    <w:nsid w:val="2DF6D648"/>
    <w:multiLevelType w:val="hybridMultilevel"/>
    <w:lvl w:ilvl="0">
      <w:lvlJc w:val="left"/>
      <w:lvlText w:val="%1."/>
      <w:numFmt w:val="decimal"/>
      <w:start w:val="18"/>
    </w:lvl>
  </w:abstractNum>
  <w:abstractNum w:abstractNumId="84">
    <w:nsid w:val="46B7D447"/>
    <w:multiLevelType w:val="hybridMultilevel"/>
    <w:lvl w:ilvl="0">
      <w:lvlJc w:val="left"/>
      <w:lvlText w:val="%1."/>
      <w:numFmt w:val="decimal"/>
      <w:start w:val="19"/>
    </w:lvl>
  </w:abstractNum>
  <w:abstractNum w:abstractNumId="85">
    <w:nsid w:val="4A2AC315"/>
    <w:multiLevelType w:val="hybridMultilevel"/>
    <w:lvl w:ilvl="0">
      <w:lvlJc w:val="left"/>
      <w:lvlText w:val="%1."/>
      <w:numFmt w:val="decimal"/>
      <w:start w:val="20"/>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2"/>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Letter"/>
      <w:start w:val="1"/>
    </w:lvl>
    <w:lvl w:ilvl="1">
      <w:lvlJc w:val="left"/>
      <w:lvlText w:val="%2."/>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lowerLetter"/>
      <w:start w:val="1"/>
    </w:lvl>
    <w:lvl w:ilvl="1">
      <w:lvlJc w:val="left"/>
      <w:lvlText w:val="•"/>
      <w:numFmt w:val="bullet"/>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2019-12-29T14:37:52Z</dcterms:created>
  <dcterms:modified xsi:type="dcterms:W3CDTF">2019-12-29T14:37:52Z</dcterms:modified>
</cp:coreProperties>
</file>