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139065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80" w:right="28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2010</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80" w:right="28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88"/>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333-126751</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LAZARD GROUP LLC</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8" w:lineRule="exact"/>
        <w:rPr>
          <w:sz w:val="24"/>
          <w:szCs w:val="24"/>
          <w:color w:val="auto"/>
        </w:rPr>
      </w:pPr>
    </w:p>
    <w:tbl>
      <w:tblPr>
        <w:tblLayout w:type="fixed"/>
        <w:tblInd w:w="1620" w:type="dxa"/>
        <w:tblCellMar>
          <w:top w:w="0" w:type="dxa"/>
          <w:left w:w="0" w:type="dxa"/>
          <w:bottom w:w="0" w:type="dxa"/>
          <w:right w:w="0" w:type="dxa"/>
        </w:tblCellMar>
      </w:tblPr>
      <w:tr>
        <w:trPr>
          <w:trHeight w:val="229"/>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00" w:type="dxa"/>
            <w:vAlign w:val="bottom"/>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20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69"/>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30 Rockefeller Plaza</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6"/>
              </w:rPr>
              <w:t>New York, NY 10020</w:t>
            </w:r>
          </w:p>
        </w:tc>
        <w:tc>
          <w:tcPr>
            <w:tcW w:w="2200" w:type="dxa"/>
            <w:vAlign w:val="bottom"/>
          </w:tcPr>
          <w:p>
            <w:pPr>
              <w:spacing w:after="0"/>
              <w:rPr>
                <w:sz w:val="18"/>
                <w:szCs w:val="18"/>
                <w:color w:val="auto"/>
              </w:rPr>
            </w:pPr>
          </w:p>
        </w:tc>
      </w:tr>
      <w:tr>
        <w:trPr>
          <w:trHeight w:val="230"/>
        </w:trPr>
        <w:tc>
          <w:tcPr>
            <w:tcW w:w="5960" w:type="dxa"/>
            <w:vAlign w:val="bottom"/>
            <w:gridSpan w:val="3"/>
          </w:tcPr>
          <w:p>
            <w:pPr>
              <w:jc w:val="center"/>
              <w:ind w:left="2140"/>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2200" w:type="dxa"/>
            <w:vAlign w:val="bottom"/>
          </w:tcPr>
          <w:p>
            <w:pPr>
              <w:spacing w:after="0"/>
              <w:rPr>
                <w:sz w:val="20"/>
                <w:szCs w:val="20"/>
                <w:color w:val="auto"/>
              </w:rPr>
            </w:pPr>
          </w:p>
        </w:tc>
      </w:tr>
      <w:tr>
        <w:trPr>
          <w:trHeight w:val="284"/>
        </w:trPr>
        <w:tc>
          <w:tcPr>
            <w:tcW w:w="5960" w:type="dxa"/>
            <w:vAlign w:val="bottom"/>
            <w:gridSpan w:val="3"/>
          </w:tcPr>
          <w:p>
            <w:pPr>
              <w:jc w:val="center"/>
              <w:ind w:left="2160"/>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2" w:lineRule="exact"/>
        <w:rPr>
          <w:sz w:val="24"/>
          <w:szCs w:val="24"/>
          <w:color w:val="auto"/>
        </w:r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00" w:firstLine="456"/>
        <w:spacing w:after="0" w:line="30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26" w:right="29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20"/>
          </w:cols>
          <w:pgMar w:left="240" w:top="226" w:right="29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3" w:lineRule="exact"/>
        <w:rPr>
          <w:sz w:val="24"/>
          <w:szCs w:val="24"/>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As of April 26, 2010, in addition to profit participation interests, there were 126,686,338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are publicly traded on the New York Stock Exchange under the Symbol “LAZ”. Lazard Ltd’s subsidiaries include Lazard Group and their respective subsidiaries. Lazard Ltd has no material assets other than indirect ownership as of March 31, 2010 of approximately 80.0% of the common membership interests in Lazard Group and its controlling interest in Lazard Group. Lazard Ltd controls Lazard Group through two of its indirect wholly-owned subsidiaries who are co-managing members of Lazard Group.</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Lazard Group has two primary holders of its common membership interests: Lazard Ltd and LAZ-MD Holdings LLC (“LAZ-MD Holdings”), a holding company that is owned by current and former managing directors of Lazard Group.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95"/>
        </w:trPr>
        <w:tc>
          <w:tcPr>
            <w:tcW w:w="111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4. 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 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Item 4. [Reserved]</w:t>
              </w:r>
            </w:hyperlink>
          </w:p>
        </w:tc>
        <w:tc>
          <w:tcPr>
            <w:tcW w:w="1480" w:type="dxa"/>
            <w:vAlign w:val="bottom"/>
            <w:tcBorders>
              <w:top w:val="single" w:sz="8" w:color="0000EE"/>
            </w:tcBorders>
            <w:gridSpan w:val="5"/>
          </w:tcPr>
          <w:p>
            <w:pPr>
              <w:spacing w:after="0"/>
              <w:rPr>
                <w:sz w:val="24"/>
                <w:szCs w:val="24"/>
                <w:color w:val="auto"/>
              </w:rPr>
            </w:pPr>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5. Other Information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6. Exhibits</w:t>
              </w:r>
            </w:hyperlink>
          </w:p>
        </w:tc>
        <w:tc>
          <w:tcPr>
            <w:tcW w:w="88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Times New Roman" w:cs="Times New Roman" w:eastAsia="Times New Roman" w:hAnsi="Times New Roman"/>
                <w:sz w:val="18"/>
                <w:szCs w:val="18"/>
                <w:b w:val="1"/>
                <w:bCs w:val="1"/>
                <w:color w:val="0000EE"/>
              </w:rPr>
            </w:pPr>
            <w:hyperlink w:anchor="page75">
              <w:r>
                <w:rPr>
                  <w:rFonts w:ascii="Times New Roman" w:cs="Times New Roman" w:eastAsia="Times New Roman" w:hAnsi="Times New Roman"/>
                  <w:sz w:val="18"/>
                  <w:szCs w:val="18"/>
                  <w:b w:val="1"/>
                  <w:bCs w:val="1"/>
                  <w:color w:val="0000EE"/>
                </w:rPr>
                <w:t>Signatures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7"/>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Financial Condition as of March 31, 2010 and December 31, 2009</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three month periods ended March 31, 2010 and 2009</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Condensed Consolidated Statements of Cash Flows for the three month periods ended March 31, 2010 and 2009</w:t>
              </w:r>
            </w:hyperlink>
          </w:p>
        </w:tc>
        <w:tc>
          <w:tcPr>
            <w:tcW w:w="28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Condensed Consolidated Statements of Changes in Members’ Equity for the three month periods ended March 31, 2010 and 2009</w:t>
              </w:r>
            </w:hyperlink>
          </w:p>
        </w:tc>
        <w:tc>
          <w:tcPr>
            <w:tcW w:w="1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Notes to Condensed Consolidated Financial Statements</w:t>
              </w:r>
            </w:hyperlink>
          </w:p>
        </w:tc>
        <w:tc>
          <w:tcPr>
            <w:tcW w:w="68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2"/>
          </w:tcPr>
          <w:p>
            <w:pPr>
              <w:jc w:val="right"/>
              <w:ind w:right="218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2010 AND 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9240" w:type="dxa"/>
            <w:vAlign w:val="bottom"/>
          </w:tcPr>
          <w:p>
            <w:pPr>
              <w:spacing w:after="0"/>
              <w:rPr>
                <w:sz w:val="14"/>
                <w:szCs w:val="14"/>
                <w:color w:val="auto"/>
              </w:rPr>
            </w:pPr>
          </w:p>
        </w:tc>
        <w:tc>
          <w:tcPr>
            <w:tcW w:w="92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60" w:type="dxa"/>
            <w:vAlign w:val="bottom"/>
            <w:gridSpan w:val="2"/>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$691,359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$899,733</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Receivables-net: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437,532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Banks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Customers and other</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Related parties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759,527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701,159</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9240" w:type="dxa"/>
            <w:vAlign w:val="bottom"/>
          </w:tcPr>
          <w:p>
            <w:pPr>
              <w:ind w:left="880"/>
              <w:spacing w:after="0" w:line="201" w:lineRule="exact"/>
              <w:rPr>
                <w:sz w:val="20"/>
                <w:szCs w:val="20"/>
                <w:color w:val="auto"/>
              </w:rPr>
            </w:pPr>
            <w:r>
              <w:rPr>
                <w:rFonts w:ascii="Times New Roman" w:cs="Times New Roman" w:eastAsia="Times New Roman" w:hAnsi="Times New Roman"/>
                <w:sz w:val="18"/>
                <w:szCs w:val="18"/>
                <w:color w:val="auto"/>
              </w:rPr>
              <w:t>U.S. Government and agencies (includes $126,457 and $126,413 of securities at amortized cost at March 31,</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9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2010 and December 31, 2009, respectively)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147,412</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147,507</w:t>
            </w:r>
          </w:p>
        </w:tc>
      </w:tr>
      <w:tr>
        <w:trPr>
          <w:trHeight w:val="203"/>
        </w:trPr>
        <w:tc>
          <w:tcPr>
            <w:tcW w:w="9240" w:type="dxa"/>
            <w:vAlign w:val="bottom"/>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Other (includes $9,586 and $10,217 of securities at amortized cost at March 31, 2010 and December 31, 2009,</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9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313,342</w:t>
            </w:r>
          </w:p>
        </w:tc>
        <w:tc>
          <w:tcPr>
            <w:tcW w:w="20" w:type="dxa"/>
            <w:vAlign w:val="bottom"/>
          </w:tcPr>
          <w:p>
            <w:pPr>
              <w:spacing w:after="0"/>
              <w:rPr>
                <w:sz w:val="20"/>
                <w:szCs w:val="20"/>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264,402</w:t>
            </w:r>
          </w:p>
        </w:tc>
        <w:tc>
          <w:tcPr>
            <w:tcW w:w="20" w:type="dxa"/>
            <w:vAlign w:val="bottom"/>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722,879</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807,693</w:t>
            </w:r>
          </w:p>
        </w:tc>
        <w:tc>
          <w:tcPr>
            <w:tcW w:w="20" w:type="dxa"/>
            <w:vAlign w:val="bottom"/>
          </w:tcPr>
          <w:p>
            <w:pPr>
              <w:spacing w:after="0"/>
              <w:rPr>
                <w:sz w:val="19"/>
                <w:szCs w:val="19"/>
                <w:color w:val="auto"/>
              </w:rPr>
            </w:pPr>
          </w:p>
        </w:tc>
      </w:tr>
      <w:tr>
        <w:trPr>
          <w:trHeight w:val="203"/>
        </w:trPr>
        <w:tc>
          <w:tcPr>
            <w:tcW w:w="9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(net of accumulated amortization and depreciation of $234,925 and $239,603 at March 31, 2010 and December 31,</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9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2009, respectively)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166,913</w:t>
            </w:r>
          </w:p>
        </w:tc>
        <w:tc>
          <w:tcPr>
            <w:tcW w:w="20" w:type="dxa"/>
            <w:vAlign w:val="bottom"/>
          </w:tcPr>
          <w:p>
            <w:pPr>
              <w:spacing w:after="0"/>
              <w:rPr>
                <w:sz w:val="20"/>
                <w:szCs w:val="20"/>
                <w:color w:val="auto"/>
              </w:rPr>
            </w:pPr>
          </w:p>
        </w:tc>
      </w:tr>
      <w:tr>
        <w:trPr>
          <w:trHeight w:val="202"/>
        </w:trPr>
        <w:tc>
          <w:tcPr>
            <w:tcW w:w="9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Goodwill and other intangible assets (net of accumulated amortization of $8,910 and $7,140 at March 31, 2010 and December</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2009, respectively)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316,297</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317,780</w:t>
            </w:r>
          </w:p>
        </w:tc>
      </w:tr>
      <w:tr>
        <w:trPr>
          <w:trHeight w:val="21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201,553</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2,858,368</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3,115,048</w:t>
            </w:r>
          </w:p>
        </w:tc>
        <w:tc>
          <w:tcPr>
            <w:tcW w:w="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2010 AND 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8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1,086,850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Subordinated debt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2,528,868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2,832,117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w w:val="99"/>
              </w:rPr>
              <w:t>Members’ equity (net of 4,002,107 and 5,850,775 shares of Lazard Ltd Class A common stock, at cost of $140,581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$191,140 at March 31, 2010 and December 31, 2009, respectively)</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276,048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Lazard Group members’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2,858,368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3,115,048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2010 AND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$269,209</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Money management fees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177,103</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464,616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437,947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247,867</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300,375</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2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11,374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472,495</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(34,548)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(40,088)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(86,354)</w:t>
            </w: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 NET INCOME (LOSS) ATTRIBUTABLE TO NONCONTROLLING INTERESTS</w:t>
            </w:r>
          </w:p>
        </w:tc>
        <w:tc>
          <w:tcPr>
            <w:tcW w:w="1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LAZARD GROUP</w:t>
            </w:r>
          </w:p>
        </w:tc>
        <w:tc>
          <w:tcPr>
            <w:tcW w:w="1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 (42,446)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(85,283)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2010 AND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Borders>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(40,088)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(86,354)</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items included in net income (loss):</w:t>
            </w: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deferred expenses, stock units and interest rate hedge</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153,789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91,207</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 related to business acquisitions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Receivables-net</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285,603</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Investments</w:t>
            </w:r>
          </w:p>
        </w:tc>
        <w:tc>
          <w:tcPr>
            <w:tcW w:w="2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35,470</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Deposits and other payables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(202,186)</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compensation and benefits and other liabilities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(135,978)</w:t>
            </w: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(226,011)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(6,550)</w:t>
            </w:r>
          </w:p>
        </w:tc>
      </w:tr>
      <w:tr>
        <w:trPr>
          <w:trHeight w:val="222"/>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equity method investment</w:t>
            </w:r>
          </w:p>
        </w:tc>
        <w:tc>
          <w:tcPr>
            <w:tcW w:w="20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Disposition of equity method investment</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50,319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property</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 of property</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0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1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(6,241)</w:t>
            </w:r>
          </w:p>
        </w:tc>
      </w:tr>
      <w:tr>
        <w:trPr>
          <w:trHeight w:val="222"/>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for:</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Senior borrowings</w:t>
            </w:r>
          </w:p>
        </w:tc>
        <w:tc>
          <w:tcPr>
            <w:tcW w:w="2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(5,609)</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(5,629)</w:t>
            </w:r>
          </w:p>
        </w:tc>
      </w:tr>
      <w:tr>
        <w:trPr>
          <w:trHeight w:val="229"/>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 to members</w:t>
            </w:r>
          </w:p>
        </w:tc>
        <w:tc>
          <w:tcPr>
            <w:tcW w:w="2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(14,732)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(78,669)</w:t>
            </w: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Settlement of vested RSUs</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(32,263)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(93,065)</w:t>
            </w:r>
          </w:p>
        </w:tc>
      </w:tr>
      <w:tr>
        <w:trPr>
          <w:trHeight w:val="23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(111,346)</w:t>
            </w: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EQUIVALENTS-January 1</w:t>
            </w:r>
          </w:p>
        </w:tc>
        <w:tc>
          <w:tcPr>
            <w:tcW w:w="1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EQUIVALENTS-March 31</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$ 691,359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795,932</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Accumulated Other</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Lazard</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6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5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Group Members’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Noncontrolling</w:t>
            </w:r>
          </w:p>
        </w:tc>
        <w:tc>
          <w:tcPr>
            <w:tcW w:w="4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Total Members’</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0" w:type="dxa"/>
            <w:vAlign w:val="bottom"/>
          </w:tcPr>
          <w:p>
            <w:pPr>
              <w:spacing w:after="0"/>
              <w:rPr>
                <w:sz w:val="14"/>
                <w:szCs w:val="14"/>
                <w:color w:val="auto"/>
              </w:rPr>
            </w:pPr>
          </w:p>
        </w:tc>
        <w:tc>
          <w:tcPr>
            <w:tcW w:w="9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Balance–January 1, 2010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$214,163</w:t>
            </w: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$(58,792)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$155,371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$127,560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$282,931</w:t>
            </w:r>
          </w:p>
        </w:tc>
      </w:tr>
      <w:tr>
        <w:trPr>
          <w:trHeight w:val="22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(42,446)</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(42,446)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(40,088)</w:t>
            </w: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(loss)-net of tax:</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(26,699)</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(26,699)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(26,642)</w:t>
            </w: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unrealized gain</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20" w:type="dxa"/>
            <w:vAlign w:val="bottom"/>
          </w:tcPr>
          <w:p>
            <w:pPr>
              <w:spacing w:after="0"/>
              <w:rPr>
                <w:sz w:val="20"/>
                <w:szCs w:val="20"/>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5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4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 units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150,693</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150,693</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150,693</w:t>
            </w: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Contribution from and distributions to members and</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(14,732)</w:t>
            </w: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(13,866)</w:t>
            </w: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(980)</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(980)</w:t>
            </w:r>
          </w:p>
        </w:tc>
        <w:tc>
          <w:tcPr>
            <w:tcW w:w="8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for settlement</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vested RSUs</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(32,263)</w:t>
            </w: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(32,263)</w:t>
            </w:r>
          </w:p>
        </w:tc>
        <w:tc>
          <w:tcPr>
            <w:tcW w:w="8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(32,263)</w:t>
            </w:r>
          </w:p>
        </w:tc>
      </w:tr>
      <w:tr>
        <w:trPr>
          <w:trHeight w:val="204"/>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Lazard Ltd Class A common stock issued / issuable in</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connection with business acquisitions and LAM Merger</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related amortization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23"/>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Balance–March 31, 2010 (*)</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276,048</w:t>
            </w:r>
          </w:p>
        </w:tc>
        <w:tc>
          <w:tcPr>
            <w:tcW w:w="4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$(77,389)</w:t>
            </w: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$198,659</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$130,841</w:t>
            </w:r>
          </w:p>
        </w:tc>
        <w:tc>
          <w:tcPr>
            <w:tcW w:w="4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3" w:lineRule="exact"/>
        <w:rPr>
          <w:sz w:val="20"/>
          <w:szCs w:val="20"/>
          <w:color w:val="auto"/>
        </w:rPr>
      </w:pPr>
    </w:p>
    <w:p>
      <w:pPr>
        <w:ind w:left="460" w:right="840" w:hanging="452"/>
        <w:spacing w:after="0" w:line="27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123,686,338 and 126,686,338 common membership interests at January 1, 2010 and March 31, 2010, respectively. Also includes profit participation interests and two managing member interests at each such date.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Accumulated Other</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Lazard Group</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7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Income (Loss), Net</w:t>
            </w:r>
          </w:p>
        </w:tc>
        <w:tc>
          <w:tcPr>
            <w:tcW w:w="15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Members’</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88"/>
              </w:rPr>
              <w:t>of Tax</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(Deficiency)</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Balance–January 1, 2009(*)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$227,036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105,629</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20,881</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126,510</w:t>
            </w:r>
          </w:p>
        </w:tc>
      </w:tr>
      <w:tr>
        <w:trPr>
          <w:trHeight w:val="222"/>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(85,283)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(86,354)</w:t>
            </w: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(19,649)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(19,649)</w:t>
            </w: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unrealized loss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(9,289)</w:t>
            </w: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(9,289)</w:t>
            </w: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for items reclassified to</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earnings</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for items reclassified to</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earnings</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20" w:type="dxa"/>
            <w:vAlign w:val="bottom"/>
          </w:tcPr>
          <w:p>
            <w:pPr>
              <w:spacing w:after="0"/>
              <w:rPr>
                <w:sz w:val="20"/>
                <w:szCs w:val="20"/>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 units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88,687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88,687</w:t>
            </w: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Distributions to members and noncontrolling</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(78,669)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(78,669)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(5,344)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(84,013)</w:t>
            </w:r>
          </w:p>
        </w:tc>
      </w:tr>
      <w:tr>
        <w:trPr>
          <w:trHeight w:val="218"/>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(5,629)</w:t>
            </w: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for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settlement of vested RSUs</w:t>
            </w: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r>
      <w:tr>
        <w:trPr>
          <w:trHeight w:val="204"/>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Lazard Ltd Class A common stock issued /</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issuable in connection with business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and LAM Merger and related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5,386</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5,386</w:t>
            </w:r>
          </w:p>
        </w:tc>
      </w:tr>
      <w:tr>
        <w:trPr>
          <w:trHeight w:val="223"/>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Balance–March 31, 2009(*)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149,578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(149,924)</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8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122,233,664 common membership interests at January 1, 2009 and March 31, 2009. Also includes profit participation interests and two managing member interests at each such date.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right="7020" w:firstLine="8"/>
        <w:spacing w:after="0" w:line="331" w:lineRule="auto"/>
        <w:tabs>
          <w:tab w:leader="none" w:pos="446"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19"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Lazard Ltd, a Bermuda holding company, through its subsidiaries held approximately 80.0% and 74.5% of all outstanding Lazard Group common membership interests as of March 31, 2010 and December 31, 2009, respectively. Lazard Ltd, through its control of the managing members of Lazard Group, controls Lazard Group.</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LAZ-MD Holdings LLC (“LAZ-MD Holdings”), an entity owned by Lazard Group’s current and former managing directors, held approximately 20.0% and 25.5% of all outstanding Lazard Group common membership interests as of March 31, 2010 and December 31, 2009, respectively. Additionally, LAZ-MD Holdings was the sole owner of the one issued and outstanding share of Lazard Ltd’s Class B common stock (the “Class B common stock”) which provided LAZ-MD Holdings with approximately 20.0%, and 25.5% of the voting power but no economic rights in the Company as of March 31, 2010 and December 31, 2009, respectively. Subject to certain limitations, LAZ-MD Holdings’ interests in Lazard Group are exchangeable for Lazard Ltd Class A common stock, par value $0.01 per share (“Class A common stock”).</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Group’s principal operating activities are included in two business segments:</w:t>
      </w:r>
    </w:p>
    <w:p>
      <w:pPr>
        <w:spacing w:after="0" w:line="77" w:lineRule="exact"/>
        <w:rPr>
          <w:sz w:val="20"/>
          <w:szCs w:val="20"/>
          <w:color w:val="auto"/>
        </w:rPr>
      </w:pPr>
    </w:p>
    <w:p>
      <w:pPr>
        <w:ind w:left="780" w:right="16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includes the management of equity and fixed income securities, alternative investments and private equity funds.</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and should be read in conjunction with the audited consolidated financial statements and notes thereto included in Lazard Group’s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2010 are not necessarily indicative of the results to be expected for any future period or the full fiscal year. Any material events or transactions that occurred subsequent to March 31,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manner of presentation in the current period.</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2.</w:t>
      </w:r>
      <w:r>
        <w:rPr>
          <w:sz w:val="20"/>
          <w:szCs w:val="20"/>
          <w:color w:val="auto"/>
        </w:rPr>
        <w:tab/>
      </w:r>
      <w:r>
        <w:rPr>
          <w:rFonts w:ascii="Times New Roman" w:cs="Times New Roman" w:eastAsia="Times New Roman" w:hAnsi="Times New Roman"/>
          <w:sz w:val="16"/>
          <w:szCs w:val="16"/>
          <w:b w:val="1"/>
          <w:bCs w:val="1"/>
          <w:i w:val="1"/>
          <w:iCs w:val="1"/>
          <w:color w:val="auto"/>
        </w:rPr>
        <w:t>RECENT ACCOUNTING DEVELOPMENTS</w:t>
      </w:r>
    </w:p>
    <w:p>
      <w:pPr>
        <w:spacing w:after="0" w:line="7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—On April 1, 2009, the Company adopted, on a prospective basis, additional accounting guidance issued by the FASB on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61"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 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10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Other-Than-Temporary Impairments of Debt Securities</w:t>
      </w:r>
      <w:r>
        <w:rPr>
          <w:rFonts w:ascii="Times New Roman" w:cs="Times New Roman" w:eastAsia="Times New Roman" w:hAnsi="Times New Roman"/>
          <w:sz w:val="18"/>
          <w:szCs w:val="18"/>
          <w:color w:val="auto"/>
        </w:rPr>
        <w:t>—On April 1, 2009, the Company adopted, on a prospective basis, new accounting guidance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2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—In June 2009, the FASB amended its guidance on VIEs, which changes how a company determines whether an entity in which it is involved with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2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RECEIVABLES—NET</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Receivables—net is comprised of receivables from fees, banks, customers and other and related parties.</w:t>
      </w:r>
    </w:p>
    <w:p>
      <w:pPr>
        <w:spacing w:after="0" w:line="15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Receivables from banks represent those related to LFB’s short-term deposits in the inter-bank market and with the Banque de France. The level of these deposits may be driven by the level of LFB customer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bank-related interest-bearing time and demand deposits (which can fluctuate significantly on a daily basis) and by changes in asset allocation.</w:t>
      </w:r>
    </w:p>
    <w:p>
      <w:pPr>
        <w:spacing w:after="0" w:line="15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Customers and other receivables at March 31, 2010 and December 31, 2009 include $3,989 and $4,466, respectively, of loans by LFB to managing directors and employees in France that are made in the ordinary course of business at market terms.</w:t>
      </w:r>
    </w:p>
    <w:p>
      <w:pPr>
        <w:spacing w:after="0" w:line="10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of $17,486 and $11,575 at March 31, 2010 and December 31, 2009, respectively, for past due amounts and for specific accounts deemed uncollectible, which may include situations where a fee is in dispute. The Company recorded bad debt expense (recoveries) of $6,868 and $(548) for the three month periods ended March 31, 2010 and 2009, respectively. In addition, the Company recorded charge-offs, foreign currency translation and other adjustments, which resulted in a net decrease to the allowance for doubtful accounts of $957 and $4,645 for the three month periods ended March 31, 2010 and 2009, respectively. At March 31, 2010 and December 31, 2009, the Company had $20,071 and $14,150, respectively, of receivables deemed past due or uncollectible.</w:t>
      </w:r>
    </w:p>
    <w:p>
      <w:pPr>
        <w:spacing w:after="0" w:line="12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March 31, 2010 and December 31, 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60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147,412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Non-U.S. Governments and agencies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40,830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 states and municipals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Corporates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219,135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275,693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Equities</w:t>
            </w: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80,146</w:t>
            </w: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General Partner (“GP”) interests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52,477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14,723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Investments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101,943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38,227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method</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219,628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4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722,879</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807,693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at amortized cost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136,043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12,258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574,578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608,505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Securities sold, not yet purchased, at fair value (included in “other liabilities”)</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vMerge w:val="restart"/>
          </w:tcPr>
          <w:p>
            <w:pPr>
              <w:jc w:val="right"/>
              <w:ind w:right="369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investments at March 31, 2010 and December 31, 2009 were categorized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Non-U.S. Governments and agencies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states and municipals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68,376</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Corporates</w:t>
            </w:r>
          </w:p>
        </w:tc>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218,686</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126,457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Non-U.S. Government and agencies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136,043</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423,105</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Substantially all of the corporate and non-U.S. Government debt securities are held by LFB and primarily consist of fixed and floating rate European corporate and French government debt securities. Such securities are typically held long-term, as part of LFB’s asset-liability management program.</w:t>
      </w:r>
    </w:p>
    <w:p>
      <w:pPr>
        <w:spacing w:after="0" w:line="6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fair value and amortized cost basis pertaining to debt securities classified as “available-for-sale” at March 31, 2010, by maturity date/first call date, are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65"/>
        </w:trPr>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102,539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218,686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securities classified as “available-for-sale” at March 31, 2010 and December 31, 2009 that are in an unrealized loss position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26"/>
        </w:trPr>
        <w:tc>
          <w:tcPr>
            <w:tcW w:w="2000" w:type="dxa"/>
            <w:vAlign w:val="bottom"/>
            <w:gridSpan w:val="3"/>
          </w:tcPr>
          <w:p>
            <w:pPr>
              <w:jc w:val="center"/>
              <w:ind w:left="709"/>
              <w:spacing w:after="0" w:line="126" w:lineRule="exact"/>
              <w:rPr>
                <w:sz w:val="20"/>
                <w:szCs w:val="20"/>
                <w:color w:val="auto"/>
              </w:rPr>
            </w:pPr>
            <w:r>
              <w:rPr>
                <w:rFonts w:ascii="Times New Roman" w:cs="Times New Roman" w:eastAsia="Times New Roman" w:hAnsi="Times New Roman"/>
                <w:sz w:val="14"/>
                <w:szCs w:val="14"/>
                <w:b w:val="1"/>
                <w:bCs w:val="1"/>
                <w:color w:val="auto"/>
                <w:w w:val="97"/>
              </w:rPr>
              <w:t>Securities in a</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gridSpan w:val="3"/>
          </w:tcPr>
          <w:p>
            <w:pPr>
              <w:jc w:val="center"/>
              <w:ind w:right="706"/>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80" w:type="dxa"/>
            <w:vAlign w:val="bottom"/>
            <w:gridSpan w:val="3"/>
          </w:tcPr>
          <w:p>
            <w:pPr>
              <w:jc w:val="center"/>
              <w:ind w:right="867"/>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100" w:type="dxa"/>
            <w:vAlign w:val="bottom"/>
          </w:tcPr>
          <w:p>
            <w:pPr>
              <w:spacing w:after="0"/>
              <w:rPr>
                <w:sz w:val="10"/>
                <w:szCs w:val="10"/>
                <w:color w:val="auto"/>
              </w:rPr>
            </w:pPr>
          </w:p>
        </w:tc>
        <w:tc>
          <w:tcPr>
            <w:tcW w:w="1780" w:type="dxa"/>
            <w:vAlign w:val="bottom"/>
            <w:gridSpan w:val="3"/>
          </w:tcPr>
          <w:p>
            <w:pPr>
              <w:jc w:val="center"/>
              <w:ind w:left="869"/>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940" w:type="dxa"/>
            <w:vAlign w:val="bottom"/>
          </w:tcPr>
          <w:p>
            <w:pPr>
              <w:spacing w:after="0"/>
              <w:rPr>
                <w:sz w:val="10"/>
                <w:szCs w:val="10"/>
                <w:color w:val="auto"/>
              </w:rPr>
            </w:pPr>
          </w:p>
        </w:tc>
      </w:tr>
      <w:tr>
        <w:trPr>
          <w:trHeight w:val="149"/>
        </w:trPr>
        <w:tc>
          <w:tcPr>
            <w:tcW w:w="2000" w:type="dxa"/>
            <w:vAlign w:val="bottom"/>
            <w:gridSpan w:val="3"/>
          </w:tcPr>
          <w:p>
            <w:pPr>
              <w:jc w:val="center"/>
              <w:ind w:left="689"/>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r>
      <w:tr>
        <w:trPr>
          <w:trHeight w:val="149"/>
        </w:trPr>
        <w:tc>
          <w:tcPr>
            <w:tcW w:w="2000" w:type="dxa"/>
            <w:vAlign w:val="bottom"/>
            <w:gridSpan w:val="3"/>
          </w:tcPr>
          <w:p>
            <w:pPr>
              <w:jc w:val="center"/>
              <w:ind w:left="689"/>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gridSpan w:val="3"/>
          </w:tcPr>
          <w:p>
            <w:pPr>
              <w:jc w:val="center"/>
              <w:ind w:right="706"/>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940" w:type="dxa"/>
            <w:vAlign w:val="bottom"/>
          </w:tcPr>
          <w:p>
            <w:pPr>
              <w:spacing w:after="0"/>
              <w:rPr>
                <w:sz w:val="12"/>
                <w:szCs w:val="12"/>
                <w:color w:val="auto"/>
              </w:rPr>
            </w:pPr>
          </w:p>
        </w:tc>
      </w:tr>
      <w:tr>
        <w:trPr>
          <w:trHeight w:val="179"/>
        </w:trPr>
        <w:tc>
          <w:tcPr>
            <w:tcW w:w="2000" w:type="dxa"/>
            <w:vAlign w:val="bottom"/>
            <w:tcBorders>
              <w:bottom w:val="single" w:sz="8" w:color="auto"/>
            </w:tcBorders>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w w:val="96"/>
              </w:rPr>
              <w:t>Less than 12 Months</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Times New Roman" w:cs="Times New Roman" w:eastAsia="Times New Roman" w:hAnsi="Times New Roman"/>
                <w:sz w:val="14"/>
                <w:szCs w:val="14"/>
                <w:b w:val="1"/>
                <w:bCs w:val="1"/>
                <w:color w:val="auto"/>
                <w:w w:val="97"/>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 Months or Longer</w:t>
            </w:r>
          </w:p>
        </w:tc>
      </w:tr>
      <w:tr>
        <w:trPr>
          <w:trHeight w:val="126"/>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ind w:left="320"/>
              <w:spacing w:after="0" w:line="12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left="186"/>
              <w:spacing w:after="0" w:line="126"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ind w:left="360"/>
              <w:spacing w:after="0" w:line="12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center"/>
              <w:ind w:right="226"/>
              <w:spacing w:after="0" w:line="126" w:lineRule="exact"/>
              <w:rPr>
                <w:sz w:val="20"/>
                <w:szCs w:val="20"/>
                <w:color w:val="auto"/>
              </w:rPr>
            </w:pPr>
            <w:r>
              <w:rPr>
                <w:rFonts w:ascii="Times New Roman" w:cs="Times New Roman" w:eastAsia="Times New Roman" w:hAnsi="Times New Roman"/>
                <w:sz w:val="14"/>
                <w:szCs w:val="14"/>
                <w:b w:val="1"/>
                <w:bCs w:val="1"/>
                <w:color w:val="auto"/>
                <w:w w:val="97"/>
              </w:rPr>
              <w:t>Unrealized</w:t>
            </w:r>
          </w:p>
        </w:tc>
      </w:tr>
      <w:tr>
        <w:trPr>
          <w:trHeight w:val="178"/>
        </w:trPr>
        <w:tc>
          <w:tcPr>
            <w:tcW w:w="20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040" w:type="dxa"/>
            <w:vAlign w:val="bottom"/>
          </w:tcPr>
          <w:p>
            <w:pPr>
              <w:jc w:val="center"/>
              <w:ind w:left="287"/>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94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10"/>
        </w:trPr>
        <w:tc>
          <w:tcPr>
            <w:tcW w:w="138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$108,049</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206"/>
              <w:spacing w:after="0"/>
              <w:rPr>
                <w:sz w:val="20"/>
                <w:szCs w:val="20"/>
                <w:color w:val="auto"/>
              </w:rPr>
            </w:pPr>
            <w:r>
              <w:rPr>
                <w:rFonts w:ascii="Times New Roman" w:cs="Times New Roman" w:eastAsia="Times New Roman" w:hAnsi="Times New Roman"/>
                <w:sz w:val="18"/>
                <w:szCs w:val="18"/>
                <w:color w:val="auto"/>
                <w:w w:val="96"/>
              </w:rPr>
              <w:t>$9,977</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Times New Roman" w:cs="Times New Roman" w:eastAsia="Times New Roman" w:hAnsi="Times New Roman"/>
                <w:sz w:val="18"/>
                <w:szCs w:val="18"/>
                <w:color w:val="auto"/>
                <w:w w:val="95"/>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during the three month period ended March 31, 2010 based on the qualitative and quantitative analysis performed by the Company.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fair value and amortized cost basis pertaining to debt securities classified as “held-to-maturity” at March 31, 2010, by maturity date,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65"/>
        </w:trPr>
        <w:tc>
          <w:tcPr>
            <w:tcW w:w="4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$ 138,142</w:t>
            </w:r>
          </w:p>
        </w:tc>
        <w:tc>
          <w:tcPr>
            <w:tcW w:w="120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$ 136,043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debt securities classified as “held-to-maturity” at March 31, 2010 and December 31, 2009 that were in an unrecognized loss position.</w:t>
      </w:r>
    </w:p>
    <w:p>
      <w:pPr>
        <w:spacing w:after="0" w:line="158"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1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reserved the entire amount of such possible loss, and, through March 31, 2010, no funds have been received by the Company. We continue to actively seek recovery of all amounts.</w:t>
      </w:r>
    </w:p>
    <w:p>
      <w:pPr>
        <w:spacing w:after="0" w:line="1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condensed consolidated statements of financial condition (see Note 12 of Notes to Condensed Consolidated Financial Statements).</w:t>
      </w:r>
    </w:p>
    <w:p>
      <w:pPr>
        <w:spacing w:after="0" w:line="12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2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which, prior to offering costs, raised $800,000 through the sale of 80,000,000 units at an offering price of $10.00 per unit (the “Sapphire IPO”). Sapphire was formed for the purpose of effecting a business combination within a 24-month period (the “Business Combination”). Net proceeds from the Sapphire IPO were placed in a trust account by Sapphire (the “Trust Account”) pending consummation of the Business Combination.</w:t>
      </w:r>
    </w:p>
    <w:p>
      <w:pPr>
        <w:spacing w:after="0" w:line="125"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formation of Sapphire, the Company purchased from Sapphire founders’ units (“Founders’ Units”) at a total cost of approximately $95. On January 24, 2008, in connection with the Sapphire IPO, the Company purchased (i) 5,000,000 units in the Sapphire IPO for an aggregate purchase price of $50,000, and (ii) an aggregate of 12,500,000 warrants from Sapphire for a total purchase price of $12,500.</w:t>
      </w:r>
    </w:p>
    <w:p>
      <w:pPr>
        <w:spacing w:after="0" w:line="119" w:lineRule="exact"/>
        <w:rPr>
          <w:sz w:val="20"/>
          <w:szCs w:val="20"/>
          <w:color w:val="auto"/>
        </w:rPr>
      </w:pPr>
    </w:p>
    <w:p>
      <w:pPr>
        <w:jc w:val="both"/>
        <w:ind w:right="220" w:firstLine="456"/>
        <w:spacing w:after="0" w:line="301" w:lineRule="auto"/>
        <w:rPr>
          <w:sz w:val="20"/>
          <w:szCs w:val="20"/>
          <w:color w:val="auto"/>
        </w:rPr>
      </w:pPr>
      <w:r>
        <w:rPr>
          <w:rFonts w:ascii="Times New Roman" w:cs="Times New Roman" w:eastAsia="Times New Roman" w:hAnsi="Times New Roman"/>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and Founders’ Units expired without value. During the fourth quarter of 2009, the Company recognized a loss of approximately $13,000 with respect to its investment in warrants and Founders’ Units.</w:t>
      </w:r>
    </w:p>
    <w:p>
      <w:pPr>
        <w:spacing w:after="0" w:line="90" w:lineRule="exact"/>
        <w:rPr>
          <w:sz w:val="20"/>
          <w:szCs w:val="20"/>
          <w:color w:val="auto"/>
        </w:rPr>
      </w:pPr>
    </w:p>
    <w:p>
      <w:pPr>
        <w:jc w:val="both"/>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recognized gross investment gains and losses on investments measured at fair value for the three month period ended March 31, 2010, in “revenue-other” on its condensed consolidated statement of operations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gains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Gross investment losses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350"/>
        </w:trPr>
        <w:tc>
          <w:tcPr>
            <w:tcW w:w="872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w w:val="97"/>
              </w:rPr>
              <w:t>The table above includes gross unrealized investment gains and losses pertaining to “trading” securities as follows: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investment gains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investment losses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$ 88</w:t>
            </w:r>
          </w:p>
        </w:tc>
        <w:tc>
          <w:tcPr>
            <w:tcW w:w="0" w:type="dxa"/>
            <w:vAlign w:val="bottom"/>
          </w:tcPr>
          <w:p>
            <w:pPr>
              <w:spacing w:after="0"/>
              <w:rPr>
                <w:sz w:val="1"/>
                <w:szCs w:val="1"/>
                <w:color w:val="auto"/>
              </w:rPr>
            </w:pPr>
          </w:p>
        </w:tc>
      </w:tr>
      <w:tr>
        <w:trPr>
          <w:trHeight w:val="350"/>
        </w:trPr>
        <w:tc>
          <w:tcPr>
            <w:tcW w:w="8720" w:type="dxa"/>
            <w:vAlign w:val="bottom"/>
            <w:gridSpan w:val="2"/>
          </w:tcPr>
          <w:p>
            <w:pPr>
              <w:jc w:val="right"/>
              <w:ind w:right="3292"/>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within “accumulated other comprehensive income (loss), net of tax” (“AOCI”), the Company recorded gross pre-tax unrealized investment gains (losses) of $10,519 and $350, respectively, during the three month period ended March 31, 2010 pertaining to debt securities held at LFB that are designated as “available-for-sale.” The average cost basis is utilized for purposes of calculating realized investment gains and losses.</w:t>
      </w:r>
    </w:p>
    <w:p>
      <w:pPr>
        <w:spacing w:after="0" w:line="11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75"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25" w:lineRule="exact"/>
        <w:rPr>
          <w:sz w:val="20"/>
          <w:szCs w:val="20"/>
          <w:color w:val="auto"/>
        </w:rPr>
      </w:pPr>
    </w:p>
    <w:p>
      <w:pPr>
        <w:ind w:left="920" w:hanging="904"/>
        <w:spacing w:after="0" w:line="262"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8" w:lineRule="exact"/>
        <w:rPr>
          <w:sz w:val="20"/>
          <w:szCs w:val="20"/>
          <w:color w:val="auto"/>
        </w:rPr>
      </w:pPr>
    </w:p>
    <w:p>
      <w:pPr>
        <w:ind w:left="920" w:hanging="904"/>
        <w:spacing w:after="0" w:line="25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7"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Principally all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1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interests in LAM alternative asset management funds is classified as Level 2 and is based on information provided by external pricing services.</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private equity investments is classified as Level 3 and is based on financial statements provided by fund managers, appraisals and internal valuations.</w:t>
      </w:r>
    </w:p>
    <w:p>
      <w:pPr>
        <w:spacing w:after="0" w:line="10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categorization of investments and certain other assets and liabilities measured at fair value on a recurring basis as of March 31, 2010 and December 31, 2009 into a three-level fair value hierarchy in accordance with fair value measurement disclosure requirements: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 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securities at amortized cost)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218,686</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130,430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308,871</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136,562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575,863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 2009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securities at amortized cost)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70,556</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$ 253,663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100,171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136,493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$ 336,714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136,219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There were no transfers into and out of the Level 1, 2 and 3 categories in the fair value measurement hierarchy for the three month period ended March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provide a summary of changes in fair value of the Company’s Level 3 assets for the three month periods ended March 31, 2010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Three Months Ended March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12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Issuances</w:t>
            </w:r>
          </w:p>
        </w:tc>
        <w:tc>
          <w:tcPr>
            <w:tcW w:w="80" w:type="dxa"/>
            <w:vAlign w:val="bottom"/>
          </w:tcPr>
          <w:p>
            <w:pPr>
              <w:spacing w:after="0"/>
              <w:rPr>
                <w:sz w:val="12"/>
                <w:szCs w:val="12"/>
                <w:color w:val="auto"/>
              </w:rPr>
            </w:pPr>
          </w:p>
        </w:tc>
        <w:tc>
          <w:tcPr>
            <w:tcW w:w="940" w:type="dxa"/>
            <w:vAlign w:val="bottom"/>
            <w:gridSpan w:val="2"/>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16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40" w:type="dxa"/>
            <w:vAlign w:val="bottom"/>
            <w:gridSpan w:val="2"/>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12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Settlements/</w:t>
            </w:r>
          </w:p>
        </w:tc>
        <w:tc>
          <w:tcPr>
            <w:tcW w:w="1020" w:type="dxa"/>
            <w:vAlign w:val="bottom"/>
            <w:gridSpan w:val="3"/>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65"/>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80" w:type="dxa"/>
            <w:vAlign w:val="bottom"/>
          </w:tcPr>
          <w:p>
            <w:pPr>
              <w:spacing w:after="0"/>
              <w:rPr>
                <w:sz w:val="14"/>
                <w:szCs w:val="14"/>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1020" w:type="dxa"/>
            <w:vAlign w:val="bottom"/>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100,171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9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136,219</w:t>
            </w:r>
          </w:p>
        </w:tc>
        <w:tc>
          <w:tcPr>
            <w:tcW w:w="3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500" w:type="dxa"/>
            <w:vAlign w:val="bottom"/>
            <w:vMerge w:val="continue"/>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136,562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Three Months Ended March 31, 2009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12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Issuances</w:t>
            </w:r>
          </w:p>
        </w:tc>
        <w:tc>
          <w:tcPr>
            <w:tcW w:w="80" w:type="dxa"/>
            <w:vAlign w:val="bottom"/>
          </w:tcPr>
          <w:p>
            <w:pPr>
              <w:spacing w:after="0"/>
              <w:rPr>
                <w:sz w:val="12"/>
                <w:szCs w:val="12"/>
                <w:color w:val="auto"/>
              </w:rPr>
            </w:pPr>
          </w:p>
        </w:tc>
        <w:tc>
          <w:tcPr>
            <w:tcW w:w="940" w:type="dxa"/>
            <w:vAlign w:val="bottom"/>
            <w:gridSpan w:val="2"/>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16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940" w:type="dxa"/>
            <w:vAlign w:val="bottom"/>
            <w:gridSpan w:val="2"/>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12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Settlements/</w:t>
            </w:r>
          </w:p>
        </w:tc>
        <w:tc>
          <w:tcPr>
            <w:tcW w:w="1020" w:type="dxa"/>
            <w:vAlign w:val="bottom"/>
            <w:gridSpan w:val="3"/>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65"/>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80" w:type="dxa"/>
            <w:vAlign w:val="bottom"/>
          </w:tcPr>
          <w:p>
            <w:pPr>
              <w:spacing w:after="0"/>
              <w:rPr>
                <w:sz w:val="14"/>
                <w:szCs w:val="14"/>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1020" w:type="dxa"/>
            <w:vAlign w:val="bottom"/>
            <w:gridSpan w:val="3"/>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$86,384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There were no realized gains or losses included in income for the three month periods ended March 31, 2010 and 2009 with respect to Level 3 assets and liabilities.</w:t>
      </w:r>
    </w:p>
    <w:p>
      <w:pPr>
        <w:spacing w:after="0" w:line="10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8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table below presents the fair values of the Company’s derivative assets and liabilities reported within “other assets” and “other liabilities” on the accompanying condensed consolidated statements of financial condition as of March 31, 2010 and December 31, 2009: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Designated</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 Designated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6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3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34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1"/>
              </w:rPr>
              <w:t>March 31,</w:t>
            </w: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gridSpan w:val="3"/>
          </w:tcPr>
          <w:p>
            <w:pPr>
              <w:jc w:val="right"/>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1"/>
              </w:rPr>
              <w:t>March 31,</w:t>
            </w: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85"/>
              </w:rPr>
              <w:t>2009</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derivatives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5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1,776</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13,047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13,051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13,047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17,990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Gains (losses) with respect to derivatives not designated as hedging instruments on the accompanying condensed consolidated statements of operations for the three month periods ended March 31, 2010 and 2009 (predominantly reflected in “revenue-other”), by type of derivative,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1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78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78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20" w:type="dxa"/>
            <w:vAlign w:val="bottom"/>
          </w:tcPr>
          <w:p>
            <w:pPr>
              <w:spacing w:after="0"/>
              <w:rPr>
                <w:sz w:val="12"/>
                <w:szCs w:val="12"/>
                <w:color w:val="auto"/>
              </w:rPr>
            </w:pPr>
          </w:p>
        </w:tc>
      </w:tr>
      <w:tr>
        <w:trPr>
          <w:trHeight w:val="210"/>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$ 5,218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swaps and other derivatives</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3,882</w:t>
            </w:r>
          </w:p>
        </w:tc>
        <w:tc>
          <w:tcPr>
            <w:tcW w:w="20" w:type="dxa"/>
            <w:vAlign w:val="bottom"/>
          </w:tcPr>
          <w:p>
            <w:pPr>
              <w:spacing w:after="0"/>
              <w:rPr>
                <w:sz w:val="18"/>
                <w:szCs w:val="18"/>
                <w:color w:val="auto"/>
              </w:rPr>
            </w:pPr>
          </w:p>
        </w:tc>
      </w:tr>
      <w:tr>
        <w:trPr>
          <w:trHeight w:val="223"/>
        </w:trPr>
        <w:tc>
          <w:tcPr>
            <w:tcW w:w="97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$ 3,930</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4,188</w:t>
            </w:r>
          </w:p>
        </w:tc>
        <w:tc>
          <w:tcPr>
            <w:tcW w:w="2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Derivatives designated as hedging instruments relate to interest rate swaps that hedge “available-for-sale” securities and are being accounted for as fair value hedges. For the three month periods ended March 31, 2010 and 2009, losses of $1,991 and $3,333, respectively, pertaining to such interest rate swaps were recognized, which were substantially offset by gains on the hedged risk portion of such “available-for-sale” securities.</w:t>
      </w:r>
    </w:p>
    <w:p>
      <w:pPr>
        <w:spacing w:after="0" w:line="11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LAM MERGER TRANSACTION</w:t>
      </w:r>
    </w:p>
    <w:p>
      <w:pPr>
        <w:spacing w:after="0" w:line="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$14,435 and $67,038, respectively, as of March 31, 2010 and $14,252 and $65,308, respectively, as of December 31, 2009.</w:t>
      </w:r>
    </w:p>
    <w:p>
      <w:pPr>
        <w:spacing w:after="0" w:line="10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LAM Merger, Lazard Group recorded a related party payable to subsidiaries of Lazard Ltd of $64,305 at both March 31, 2010 and December 31, 2009, which corresponds to the increase in stockholders’ equity recorded by Lazard Ltd for such merger (see Note 17 of Notes to Condensed Consolidated Financial Statements).</w:t>
      </w:r>
    </w:p>
    <w:p>
      <w:pPr>
        <w:spacing w:after="0" w:line="11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ACQUISITIONS</w:t>
      </w:r>
    </w:p>
    <w:p>
      <w:pPr>
        <w:spacing w:after="0" w:line="81"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25"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 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additional information relating to goodwill and other intangible assets. The operating results relating to Edgewater, which have not been material, are included in the Company’s Asset Management segment.</w:t>
      </w:r>
    </w:p>
    <w:p>
      <w:pPr>
        <w:spacing w:after="0" w:line="10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both March 31, 2010 and December 31, 2009, 662,015 shares of Class A common stock were issuable on a non-contingent basis. Additionally, at both March 31, 2010 and December 31, 2009, 7,293 shares of Series A preferred stock were convertible into Class A common shares on a non-contingent basis, with the number of Class A common shares dependent, in part, upon future prices of the Class A common stock. At both March 31,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127"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Lazard Group’s acquisitions of GAHL and Edgewater’s management vehicles, as well as Lazard Ltd’s acquisition of CWC and subsequent contribution of CWC to Lazard Group, Lazard Group recorded related party payables of $39,820 at both March 31, 2010 and December 31, 2009 to subsidiaries of Lazard Ltd (see Note 17 of Notes to the Condensed Consolidated Financial Statements).</w:t>
      </w:r>
    </w:p>
    <w:p>
      <w:pPr>
        <w:spacing w:after="0" w:line="1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9.</w:t>
      </w:r>
      <w:r>
        <w:rPr>
          <w:sz w:val="20"/>
          <w:szCs w:val="20"/>
          <w:color w:val="auto"/>
        </w:rPr>
        <w:tab/>
      </w:r>
      <w:r>
        <w:rPr>
          <w:rFonts w:ascii="Times New Roman" w:cs="Times New Roman" w:eastAsia="Times New Roman" w:hAnsi="Times New Roman"/>
          <w:sz w:val="16"/>
          <w:szCs w:val="16"/>
          <w:b w:val="1"/>
          <w:bCs w:val="1"/>
          <w:i w:val="1"/>
          <w:iCs w:val="1"/>
          <w:color w:val="auto"/>
        </w:rPr>
        <w:t>GOODWILL AND OTHER INTANGIBLE ASSETS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goodwill and other intangible assets at March 31, 2010 and December 31, 2009 are presented below:</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2010</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316,297</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At March 31, 2010 and December 31, 2009, $200,360 and $200,073, respectively, of goodwill was attributable to the Company’s Financial Advisory segment and at each such date, $61,630 of goodwill was attributable to the Company’s Asset Management segment.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40"/>
          </w:cols>
          <w:pgMar w:left="240" w:top="455" w:right="3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 periods ended March 31, 2010 and 2009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$ 261,703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170,277</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including additional contingent consideration earned</w:t>
            </w:r>
          </w:p>
        </w:tc>
        <w:tc>
          <w:tcPr>
            <w:tcW w:w="74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$ 261,990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173,194</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March 31, 2010 and December 31, 2009, by major intangible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December 31, 2009</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6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0"/>
                <w:szCs w:val="10"/>
                <w:color w:val="auto"/>
              </w:rPr>
            </w:pPr>
          </w:p>
        </w:tc>
      </w:tr>
      <w:tr>
        <w:trPr>
          <w:trHeight w:val="149"/>
        </w:trPr>
        <w:tc>
          <w:tcPr>
            <w:tcW w:w="638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00" w:type="dxa"/>
            <w:vAlign w:val="bottom"/>
          </w:tcPr>
          <w:p>
            <w:pPr>
              <w:spacing w:after="0"/>
              <w:rPr>
                <w:sz w:val="12"/>
                <w:szCs w:val="12"/>
                <w:color w:val="auto"/>
              </w:rPr>
            </w:pPr>
          </w:p>
        </w:tc>
        <w:tc>
          <w:tcPr>
            <w:tcW w:w="600" w:type="dxa"/>
            <w:vAlign w:val="bottom"/>
          </w:tcPr>
          <w:p>
            <w:pPr>
              <w:jc w:val="right"/>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638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Success/performance fees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$30,740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$ 30,740</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$ 30,740</w:t>
            </w:r>
          </w:p>
        </w:tc>
        <w:tc>
          <w:tcPr>
            <w:tcW w:w="20" w:type="dxa"/>
            <w:vAlign w:val="bottom"/>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 non-compete agreements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2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63,217</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8,910</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54,307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$ 63,217</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7,140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$ 56,077</w:t>
            </w:r>
          </w:p>
        </w:tc>
        <w:tc>
          <w:tcPr>
            <w:tcW w:w="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of intangible assets for the three month periods ended March 31, 2010 and 2009 was $1,770 and $344, respectively. Estimated future amortization expense is as follows:</w:t>
      </w:r>
    </w:p>
    <w:p>
      <w:pPr>
        <w:spacing w:after="0" w:line="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660" w:type="dxa"/>
            <w:vAlign w:val="bottom"/>
            <w:gridSpan w:val="3"/>
          </w:tcPr>
          <w:p>
            <w:pPr>
              <w:ind w:left="288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0" w:type="dxa"/>
            <w:vAlign w:val="bottom"/>
          </w:tcPr>
          <w:p>
            <w:pPr>
              <w:spacing w:after="0"/>
              <w:rPr>
                <w:sz w:val="1"/>
                <w:szCs w:val="1"/>
                <w:color w:val="auto"/>
              </w:rPr>
            </w:pPr>
          </w:p>
        </w:tc>
      </w:tr>
      <w:tr>
        <w:trPr>
          <w:trHeight w:val="165"/>
        </w:trPr>
        <w:tc>
          <w:tcPr>
            <w:tcW w:w="5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8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 (April 1 through December 31)</w:t>
            </w:r>
          </w:p>
        </w:tc>
        <w:tc>
          <w:tcPr>
            <w:tcW w:w="30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260" w:hanging="4707"/>
        <w:spacing w:after="0" w:line="447" w:lineRule="auto"/>
        <w:tabs>
          <w:tab w:leader="none" w:pos="14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47% of intangible asset amortization is attributable to a noncontrolling interest. 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AND SUBORDINATED DEBT</w:t>
      </w:r>
    </w:p>
    <w:p>
      <w:pPr>
        <w:spacing w:after="0" w:line="76"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Senior debt is comprised of the following as of March 31, 2010 and December 31, 2009: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Initial</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94"/>
              </w:rPr>
              <w:t>Annual</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97"/>
              </w:rPr>
              <w:t>Outstanding As Of</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5" w:lineRule="exact"/>
              <w:rPr>
                <w:sz w:val="20"/>
                <w:szCs w:val="20"/>
                <w:color w:val="auto"/>
              </w:rPr>
            </w:pPr>
            <w:r>
              <w:rPr>
                <w:rFonts w:ascii="Times New Roman" w:cs="Times New Roman" w:eastAsia="Times New Roman" w:hAnsi="Times New Roman"/>
                <w:sz w:val="18"/>
                <w:szCs w:val="18"/>
                <w:color w:val="auto"/>
              </w:rPr>
              <w:t>Principal</w:t>
            </w:r>
          </w:p>
        </w:tc>
        <w:tc>
          <w:tcPr>
            <w:tcW w:w="108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w w:val="95"/>
              </w:rPr>
              <w:t>Maturity</w:t>
            </w:r>
          </w:p>
        </w:tc>
        <w:tc>
          <w:tcPr>
            <w:tcW w:w="1300" w:type="dxa"/>
            <w:vAlign w:val="bottom"/>
            <w:gridSpan w:val="2"/>
          </w:tcPr>
          <w:p>
            <w:pPr>
              <w:jc w:val="right"/>
              <w:ind w:right="780"/>
              <w:spacing w:after="0" w:line="195" w:lineRule="exact"/>
              <w:rPr>
                <w:sz w:val="20"/>
                <w:szCs w:val="20"/>
                <w:color w:val="auto"/>
              </w:rPr>
            </w:pPr>
            <w:r>
              <w:rPr>
                <w:rFonts w:ascii="Times New Roman" w:cs="Times New Roman" w:eastAsia="Times New Roman" w:hAnsi="Times New Roman"/>
                <w:sz w:val="18"/>
                <w:szCs w:val="18"/>
                <w:color w:val="auto"/>
                <w:w w:val="92"/>
              </w:rPr>
              <w:t>Interest</w:t>
            </w:r>
          </w:p>
        </w:tc>
        <w:tc>
          <w:tcPr>
            <w:tcW w:w="84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Pr>
          <w:p>
            <w:pPr>
              <w:spacing w:after="0"/>
              <w:rPr>
                <w:sz w:val="16"/>
                <w:szCs w:val="16"/>
                <w:color w:val="auto"/>
              </w:rPr>
            </w:pPr>
          </w:p>
        </w:tc>
        <w:tc>
          <w:tcPr>
            <w:tcW w:w="10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Date</w:t>
            </w: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Rate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Lazard Group 7.125%</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Senior Notes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$550,000</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5/15/15</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7.125%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Lazard Group 6.85%</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Senior Notes</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600,000</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6/15/17</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Lazard Group Credit Facility</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150,000</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5/10/10</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1,086,850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Subordinated debt at March 31, 2010 and December 31, 2009 amounted to $150,000 at each date and represents a note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March 31, 2010, there have been no conversions of the note.</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2010, Lazard Group maintained a $150,000 senior revolving credit facility with a group of lenders (the “Credit Facility”), which contains certain financial condition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2010, the Company was in compliance with all of these provisions. All of the Company’s senior and subordinated debt obligations are unsecured.</w:t>
      </w:r>
    </w:p>
    <w:p>
      <w:pPr>
        <w:spacing w:after="0" w:line="12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2010, the Company had approximately $258,000 in unused lines of credit available to it, including the Credit Facility, and approximately $41,000 and $45,000 of unused lines of credit available to LFB and Edgewater, respectively. In addition, LFB has access to the Eurosystem Covered Bond Purchase Program of the Banque de France.</w:t>
      </w:r>
    </w:p>
    <w:p>
      <w:pPr>
        <w:spacing w:after="0" w:line="1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Company’s senior and subordinated debt are recorded at historical amounts. At March 31, 2010 and December 31, 2009, the fair value of the Company’s senior and subordinated debt was $1,249,966 and $1,255,254, respectively, and exceeded the aggregate carrying value by $13,116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12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 April 29, 2010, Lazard Group entered into a $150 million, three-year revolving credit facility (the “2010 Credit Facility”) pursuant to an agreement with the banks parties thereto and Citibank, N.A., as administrative agent. The 2010 Credit Facility replaces the prior Credit Facility, which was terminated as a condition to effectiveness of the 2010 Credit Facility. The 2010 Credit Facility contains customary terms and conditions substantially similar to the prior Credit Facility.</w:t>
      </w:r>
    </w:p>
    <w:p>
      <w:pPr>
        <w:spacing w:after="0" w:line="119"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77" w:lineRule="exact"/>
        <w:rPr>
          <w:sz w:val="20"/>
          <w:szCs w:val="20"/>
          <w:color w:val="auto"/>
        </w:rPr>
      </w:pPr>
    </w:p>
    <w:p>
      <w:pPr>
        <w:ind w:right="3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Lazard has various leases and other contractual commitments arising in the ordinary course of business. In the opinion of management,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fulfillment of such commitments, in accordance with their terms, will not have a material adverse effect on Lazard’s consolidated financial position, results of operations or cash flows.</w:t>
      </w:r>
    </w:p>
    <w:p>
      <w:pPr>
        <w:spacing w:after="0" w:line="111"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On March 12, 2007, Lazard entered into an agreement to guarantee to a foreign tax jurisdiction the deferred payment of certain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and potential tax penalties of certain managing directors of</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Lazard Group, which, as of March 31, 2010, aggregate to $7,166. These managing directors have pledged their interests in LAZ-MD Holdings (which are exchangeable into shares of Class A common stock) and unsold shares of Class A common stock received in exchange for such interests, with the value of such collateral in each case exceeding the guarantee provided by Lazard.</w:t>
      </w:r>
    </w:p>
    <w:p>
      <w:pPr>
        <w:spacing w:after="0" w:line="119" w:lineRule="exact"/>
        <w:rPr>
          <w:sz w:val="20"/>
          <w:szCs w:val="20"/>
          <w:color w:val="auto"/>
        </w:rPr>
      </w:pPr>
    </w:p>
    <w:p>
      <w:pPr>
        <w:jc w:val="both"/>
        <w:ind w:right="220" w:firstLine="456"/>
        <w:spacing w:after="0" w:line="310" w:lineRule="auto"/>
        <w:rPr>
          <w:sz w:val="20"/>
          <w:szCs w:val="20"/>
          <w:color w:val="auto"/>
        </w:rPr>
      </w:pPr>
      <w:r>
        <w:rPr>
          <w:rFonts w:ascii="Times New Roman" w:cs="Times New Roman" w:eastAsia="Times New Roman" w:hAnsi="Times New Roman"/>
          <w:sz w:val="16"/>
          <w:szCs w:val="16"/>
          <w:color w:val="auto"/>
        </w:rPr>
        <w:t>In the normal course of business, LFB provides indemnifications to third parties to protect them in the event of non-performance by its clients. At March 31, 2010, LFB had $6,241 of such indemnifications and held $4,058 of collateral/counter-guarantees to secure these commitments. The Company believes the likelihood of loss with respect to these indemnities is remote. Accordingly, no liability is recorded in the consolidated statement of financial condition.</w:t>
      </w:r>
    </w:p>
    <w:p>
      <w:pPr>
        <w:spacing w:after="0" w:line="80"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Private Equity Funding Commitments</w:t>
      </w:r>
      <w:r>
        <w:rPr>
          <w:rFonts w:ascii="Times New Roman" w:cs="Times New Roman" w:eastAsia="Times New Roman" w:hAnsi="Times New Roman"/>
          <w:sz w:val="18"/>
          <w:szCs w:val="18"/>
          <w:color w:val="auto"/>
        </w:rPr>
        <w:t>—At March 31, 2010, the principal unfunded commitments by the Company for capital contributions to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 funds related to (a) CP II, in an amount not to exceed $6,921 for potential “follow-on investments” and/or for CP II expenses through the earlier of (i) February 25, 2017 or (ii) the liquidation of the fund and (b) Company-sponsored private equity investment funds of up to $2,192 (including $1,741 in connection with the Company’s compensation plans).</w:t>
      </w:r>
    </w:p>
    <w:p>
      <w:pPr>
        <w:spacing w:after="0" w:line="116"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—In the normal course of business, LFB enters into commitments to extend credit, predominantly at variable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commitments at March 31, 2010 were $14,878. Such commitments have varying expiration dates and are fully collateralized and generally contain requirements for the counterparty to maintain a minimum collateral level. These commitments may not represent future cash requirements as commitments may expire without being drawn upon.</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0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Company’s businesses, as well as the financial services industry generally, are subject to extensive regulation throughout the world.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MEMBERS’ EQUITY</w:t>
      </w:r>
    </w:p>
    <w:p>
      <w:pPr>
        <w:spacing w:after="0" w:line="8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At March 31, 2010 and 2009, Lazard Group common membership interests held by subsidiaries of Lazard Ltd amounted to 80.0% and 62.6%, respectively, and by LAZ-MD Holdings amounted to 20.0% and 37.4%,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three month periods ended March 31, 2010 and 2009, Lazard Group distributed $3,941 and $4,594, respectively, to LAZ-MD Holdings and $10,791 and $6,695, respectively, to the subsidiaries of Lazard Ltd, which latter amounts were used by Lazard Ltd to pay dividends to third-party stockholders of its Class A common stock. In addition, during the three month period ended March 31, 2009, Lazard Group made tax distributions of $67,360, including $25,316 paid to LAZ-MD Holdings and $42,044 paid to subsidiaries of Lazard Ltd. During the three month period ended March 31, 2010, Lazard Group made no such tax distributions.</w:t>
      </w:r>
    </w:p>
    <w:p>
      <w:pPr>
        <w:spacing w:after="0" w:line="317" w:lineRule="exact"/>
        <w:rPr>
          <w:sz w:val="20"/>
          <w:szCs w:val="20"/>
          <w:color w:val="auto"/>
        </w:rPr>
      </w:pPr>
    </w:p>
    <w:p>
      <w:pPr>
        <w:ind w:right="2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Issuance of Class A Common Shares</w:t>
      </w:r>
      <w:r>
        <w:rPr>
          <w:rFonts w:ascii="Times New Roman" w:cs="Times New Roman" w:eastAsia="Times New Roman" w:hAnsi="Times New Roman"/>
          <w:sz w:val="16"/>
          <w:szCs w:val="16"/>
          <w:color w:val="auto"/>
        </w:rPr>
        <w:t>—During the three month period ended March 31, 2010, 3,000,000 shares of Class A common stock were newly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issued by Lazard Ltd to Lazard Group in connection with the settlement of vested restricted stock unit grants (“RSUs”). Such shares were authorized as part of the 25,000,000 shares of Class A common stock that may be issued under the Lazard Ltd 2005 Equity Incentive Plan (the “2005 Plan”).</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Secondary Offering</w:t>
      </w:r>
      <w:r>
        <w:rPr>
          <w:rFonts w:ascii="Times New Roman" w:cs="Times New Roman" w:eastAsia="Times New Roman" w:hAnsi="Times New Roman"/>
          <w:sz w:val="18"/>
          <w:szCs w:val="18"/>
          <w:color w:val="auto"/>
        </w:rPr>
        <w:t>—In March 2010, pursuant to a Prospectus Supplement dated March 16, 2010, certain selling shareholders of Lazard Ltd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current and former managing directors of Lazard and one of our executive officers)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(the “March 2010 Secondary Offering”)). Lazard Ltd did not receive any net proceeds from the sales of Class A common stock from the March 2010 Secondary Offering.</w:t>
      </w:r>
    </w:p>
    <w:p>
      <w:pPr>
        <w:spacing w:after="0" w:line="122"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Exchange of Lazard Group Common Membership Interests</w:t>
      </w:r>
      <w:r>
        <w:rPr>
          <w:rFonts w:ascii="Times New Roman" w:cs="Times New Roman" w:eastAsia="Times New Roman" w:hAnsi="Times New Roman"/>
          <w:sz w:val="18"/>
          <w:szCs w:val="18"/>
          <w:color w:val="auto"/>
        </w:rPr>
        <w:t>—In addition to the simultaneous exchanges that occurred in connection with the March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Secondary Offering, during the three month periods ended March 31, 2010 and 2009, Lazard Ltd issued 37,129 and 244,968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January 27, 2010, the Board of Directors of Lazard Ltd authorized, on a cumulative basis, the repurchase of up to $200,000 in aggregate cost of its Class A common stock and Lazard Group common membership interests through December 31, 2011. The Company’s prior program expired on December 31, 2009 with $62,542 of the initial $500,000 repurchase authorization unused. The Company expects that the newly authorized share repurchase program, with respect to the Class A common stock, will continue to be used primarily to offset a portion of the shares that have been or will be issued under the 2005 Plan and the Lazard Ltd 2008 Incentive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Compensation Plan (the “2008 Plan”). Pursuant to such authorizations, purchases have been made in the open market or through privately negotiated transactions, and since inception of the program in February 2006 through March 31, 2010, Lazard Group purchased an aggregate of 12,112,417 shares of Class A common stock at an average price of $33.09 per share, and an aggregate of 1,156,675 Lazard Group common membership interests at an average price of $32.58 per common membership interest. As a result of Lazard Group’s delivery of shares of Class A common stock for the settlement of vested RSUs and deferred stock unit grants (“DSUs”) during the three year period ended December 31, 2009 and the three month period ended March 31, 2010, there were 4,002,107 and 5,850,775 shares of Class A common stock held by Lazard Group at March 31, 2010 and December 31, 2009, respectively. Such Class A common shares are reported, at cost, as a reduction of members’ equity within the condensed consolidated statements of financial condition.</w:t>
      </w:r>
    </w:p>
    <w:p>
      <w:pPr>
        <w:spacing w:after="0" w:line="12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2010, $199,020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three month period ended March 31, 2010, the Company withheld 893,594 shares to cover estimated taxes upon the vesting of 5,767,912 RSUs (see Note 13 of Notes to Condensed Consolidated Financial Statements).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AOCI at March 31, 2010 and December 31, 2009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9,248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hedge</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(5,505)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plans</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4"/>
              </w:rPr>
              <w:t>(75,728)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AOCI</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4"/>
              </w:rPr>
              <w:t>(77,133)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attributable to noncontrolling interests</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Lazard Group AOCI</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4"/>
              </w:rPr>
              <w:t>(77,389)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700" w:type="dxa"/>
            <w:vAlign w:val="bottom"/>
            <w:vMerge w:val="restart"/>
          </w:tcPr>
          <w:p>
            <w:pPr>
              <w:jc w:val="right"/>
              <w:ind w:right="34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8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Noncontrolling interests represent interests in various LAM-related GP interests and Edgewater’s management vehicles that the Company is deemed to control but does not own.</w:t>
      </w:r>
    </w:p>
    <w:p>
      <w:pPr>
        <w:spacing w:after="0" w:line="10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summarize net income (loss) attributable to noncontrolling interests for the three month periods ended March 31, 2010 and 2009 and noncontrolling interests as of March 31, 2010 and December 31, 2009 in the Company’s condensed consolidated financial statements: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Income (Loss)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9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Attributable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9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9"/>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Noncontrolling Interests</w:t>
            </w:r>
          </w:p>
        </w:tc>
      </w:tr>
      <w:tr>
        <w:trPr>
          <w:trHeight w:val="149"/>
        </w:trPr>
        <w:tc>
          <w:tcPr>
            <w:tcW w:w="9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center"/>
              <w:ind w:lef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9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LAM GPs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$(1,071)</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Edgewater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2,607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2,358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5"/>
        </w:trPr>
        <w:tc>
          <w:tcPr>
            <w:tcW w:w="9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r>
      <w:tr>
        <w:trPr>
          <w:trHeight w:val="165"/>
        </w:trPr>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9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tcPr>
          <w:p>
            <w:pPr>
              <w:jc w:val="right"/>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0"/>
                <w:szCs w:val="10"/>
                <w:color w:val="auto"/>
              </w:rPr>
            </w:pPr>
          </w:p>
        </w:tc>
        <w:tc>
          <w:tcPr>
            <w:tcW w:w="88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r>
      <w:tr>
        <w:trPr>
          <w:trHeight w:val="165"/>
        </w:trPr>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LAM GPs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0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Edgewater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113,910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112,158</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Pr>
          <w:p>
            <w:pPr>
              <w:spacing w:after="0"/>
              <w:rPr>
                <w:sz w:val="18"/>
                <w:szCs w:val="18"/>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130,841</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127,560</w:t>
            </w:r>
          </w:p>
        </w:tc>
        <w:tc>
          <w:tcPr>
            <w:tcW w:w="2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8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2005 Plan and 2008 Plan, and activity with respect thereto during the three month periods ended March 31, 2010 and 2009, is presented below.</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2005 Plan and 2008 Plan</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23"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and Deferred Stock Units</w:t>
      </w:r>
    </w:p>
    <w:p>
      <w:pPr>
        <w:spacing w:after="0" w:line="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RSUs require future service as a condition for the delivery of the underlying shares of Class A common stock (unless vested under the Company’s retirement policy upon issuance of the award) and convert into Class A common stock on a one-for-one basis after the stipulated vesting periods. The grant date fair value of the RSUs, net of an estimated forfeiture rate, is amortized over the vesting periods or requisite service periods.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within the consolidated statements of operations, and amounted to $150,693 and $88,687 for the three month periods ended March 31, 2010 and 2009, respectively (including $46,880 and $24,239 in restructuring expense recognized in such respective periods, and $24,860 in the three month period ended March 31, 2010 relating to the Company’s amendment of its retirement policy with respect to RSU awards, as described below).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2010 and 2009, dividend participation rights required the issuance of 72,335 and 81,167 RSUs, respectively.</w:t>
      </w:r>
    </w:p>
    <w:p>
      <w:pPr>
        <w:spacing w:after="0" w:line="1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Non-executive members of the Board of Directors of Lazard Group (who are also the same Non-Executive Directors of Lazard Ltd) receive approximately 55% of their annual compensation for service on the Board of Directors and its committees in the form of DSUs. There were no DSUs granted during the three month periods ended March 31, 2010 and 2009 pertaining to this annual compensation arrangement.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three month periods ended March 31, 2010 and 2009. DSU awards are expensed at their fair value on their date of grant, which, inclusive of amounts related to the Directors’ Fee Deferral Unit Plan, totaled $38 and $39 during the three month periods ended March 31, 2010 and 2009, respectively.</w:t>
      </w:r>
    </w:p>
    <w:p>
      <w:pPr>
        <w:spacing w:after="0" w:line="1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2010 and 2009, 2,131 and 2,609 DSUs, respectively, had been granted pursuant such Plan.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 month periods ended March 31, 2010 and 2009:</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2010</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23,367,813</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103,146</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72,335 RSUs relating to dividend participation)</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6,612,812</w:t>
            </w:r>
          </w:p>
        </w:tc>
        <w:tc>
          <w:tcPr>
            <w:tcW w:w="38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8"/>
                <w:szCs w:val="18"/>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4"/>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(175,734)</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tcPr>
          <w:p>
            <w:pPr>
              <w:spacing w:after="0"/>
              <w:rPr>
                <w:sz w:val="18"/>
                <w:szCs w:val="18"/>
                <w:color w:val="auto"/>
              </w:rPr>
            </w:pPr>
          </w:p>
        </w:tc>
        <w:tc>
          <w:tcPr>
            <w:tcW w:w="118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w w:val="97"/>
              </w:rPr>
              <w:t>(5,767,912)</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2010</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24,036,979</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105,277</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DSUs</w:t>
            </w: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2009</w:t>
            </w:r>
          </w:p>
        </w:tc>
        <w:tc>
          <w:tcPr>
            <w:tcW w:w="2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81,167 RSUs relating to dividend participation)</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6,816,601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(259,593)</w:t>
            </w:r>
          </w:p>
        </w:tc>
        <w:tc>
          <w:tcPr>
            <w:tcW w:w="3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68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30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2009</w:t>
            </w:r>
          </w:p>
        </w:tc>
        <w:tc>
          <w:tcPr>
            <w:tcW w:w="2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28,519,756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vested RSUs above, and after considering the withholding tax obligations pertaining thereto, 4,874,318 and 109,003 shares of Class A common stock held by Lazard Group were delivered during the three month periods ended March 31, 2010 and 2009, respectively.</w:t>
      </w:r>
    </w:p>
    <w:p>
      <w:pPr>
        <w:spacing w:after="0" w:line="10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2010, unrecognized RSU compensation expense, adjusted for estimated forfeitures, was $390,620, with such unrecognized compensation expense expected to be recognized over a weighted average period of approximately 2.0 years subsequent to March 31,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 The Company uses December 31 as the measurement date for its employee benefit plans.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In accordance with agreements reached with the Trustees of certain non-U.S. pension plans in 2005,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contingently obligated to make further contributions to such pension plans depending on the cumulative performance of the plans’ assets against specific benchmarks as measured on June 1, 2009 (the “measurement date”) and subsequently on June 1, 2010 (the “remeasurement date”). The obligation related to the cumulative underperformance of the plans’ assets (the “underperformance obligation”) at the measurement date was 11.5 million British pounds ($17,421 at March 31, 2010 exchange rates) which is payable over four years commencing June 1, 2009 in equal monthly installments, and will be subject to further adjustment on the remeasurement date. During the three month period ended March 31, 2010, the Company contributed approximately $1,100 with respect to the underperformance obligation.</w:t>
      </w:r>
    </w:p>
    <w:p>
      <w:pPr>
        <w:spacing w:after="0" w:line="126" w:lineRule="exact"/>
        <w:rPr>
          <w:sz w:val="20"/>
          <w:szCs w:val="20"/>
          <w:color w:val="auto"/>
        </w:rPr>
      </w:pPr>
    </w:p>
    <w:p>
      <w:pPr>
        <w:ind w:right="220" w:firstLine="456"/>
        <w:spacing w:after="0" w:line="285" w:lineRule="auto"/>
        <w:rPr>
          <w:sz w:val="20"/>
          <w:szCs w:val="20"/>
          <w:color w:val="auto"/>
        </w:rPr>
      </w:pPr>
      <w:r>
        <w:rPr>
          <w:rFonts w:ascii="Times New Roman" w:cs="Times New Roman" w:eastAsia="Times New Roman" w:hAnsi="Times New Roman"/>
          <w:sz w:val="16"/>
          <w:szCs w:val="16"/>
          <w:color w:val="auto"/>
        </w:rPr>
        <w:t>In addition, on June 30, 2009 the Company and Trustees concluded the December 31, 2007 triennial valuation of the non-U.S. pension plans discussed above, pursuant to which: (i) the Company agreed to contribute 2.3 million British pounds ($3,484 at March 31,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w:t>
      </w:r>
    </w:p>
    <w:p>
      <w:pPr>
        <w:spacing w:after="0" w:line="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6"/>
          <w:szCs w:val="16"/>
          <w:color w:val="auto"/>
        </w:rPr>
        <w:t>12.5 million British pounds, with a final redemption date of December 31, 2018. Income on the escrow balance accretes to the Company. This amount is subject to adjustment based on the results of the December 31, 2010 triennial valuation and subsequent triennial valuations. The escrow balance has been recorded in “cash deposited with clearing organizations and other segregated cash” and “investments: debt-other” in the amounts of 6.25 million British pounds and 6.25 million British pounds, respectively, at each of March 31, 2010 and December 31, 2009 ($9,468 and $9,468 at March 31, 2010 exchange rates and $10,138 and $10,138 at December 31, 2009 exchange rates), respectively, on the accompanying condensed consolidated statements of financial condition.</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 period ended March 31, 2010, there were no other contributions made to other pension plans.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total benefit cost (credit) for the three month periods ended March 31, 2010 and 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7"/>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(7,373)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w w:val="95"/>
              </w:rPr>
              <w:t>(6,130)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credit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0" w:type="dxa"/>
            <w:vAlign w:val="bottom"/>
            <w:vMerge w:val="restart"/>
          </w:tcPr>
          <w:p>
            <w:pPr>
              <w:jc w:val="right"/>
              <w:ind w:right="14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PLANS</w:t>
      </w:r>
    </w:p>
    <w:p>
      <w:pPr>
        <w:spacing w:after="0" w:line="81"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The 2010 Restructuring Plan was expected to result in an aggregate pre-tax charge of approximately $90,000 in the first quarter of 2010. Of the expected amount above, to date the Company recorded a pre-tax charge in the first quarter of 2010 of $87,108, inclusive of $46,880 relating to the acceleration of RSUs (the “2010 Restructuring Charge”), with this charge partially offset by an associated income tax benefit of $5,680, and, in connection with the 2009 Restructuring Plan, the Company recorded a charge in the first quarter of 2009 of $62,550, inclusive of $24,239 relating to the acceleration of RSUs (the “2009 Restructuring Charge”), with this charge partially offset by an associated income tax benefit of $6,401 (collectively, the “2010 and 2009 Restructuring Charges”).</w:t>
      </w:r>
    </w:p>
    <w:p>
      <w:pPr>
        <w:spacing w:after="0" w:line="10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March 31, 2010, the remaining liability associated with the 2010 Restructuring Plan was $34,100 and, as of March 31, 2010 and December 31, 2009, the remaining liability associated with the 2009 Restructuring Plan was $8,400 and $11,500, respectively. During the three month period ended March 31, 2010, there were no adjustments to the liability with respect to the 2009 Restructuring Plan. Such liabilities are reported within “accrued compensation and benefits” and “other liabilities” on the accompanying condensed consolidated statements of financial condition.</w:t>
      </w:r>
    </w:p>
    <w:p>
      <w:pPr>
        <w:spacing w:after="0" w:line="12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provision (benefit) of $5,540 and ($4,554) for the three month periods ended March 31, 2010 and 2009, respectively, representing effective tax rates of (16.0)% and 5.0%, respectively. Excluding (i) the income tax benefits of $5,680 related to the 2010 Restructuring Charge and $1,363 related to the charge incurred in connection with the amendment of Lazard’s retirement policy with respect to RSU awards, and (ii) the income tax benefit of $6,401 related to the 2009 Restructuring Charge, the Company had an income tax provision of $12,583 and $1,847 for the three month periods ended March 31, 2010 and 2009, respectively, representing effective tax rates of 16.3% and (6.5)%, respectively. The effective tax rates herein for the three month period ended March 31, 2010 reflect a benefit from the reduction in unrecognized tax benefits of $4,480 (including interest and penalties), relating to settlements with taxing authorities pertaining to certain prior years.</w:t>
      </w:r>
    </w:p>
    <w:p>
      <w:pPr>
        <w:spacing w:after="0" w:line="128"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Although a portion of Lazard Group’s income is subject to U.S. federal income taxes, the principal difference between the U.S. federal statutory tax rate of 35.0% and Lazard Group’s effective tax rates described above is due to Lazard Group primarily operating in the U.S. as a limited liability company that is treated as a partnership for U.S. federal income tax purposes. As a result, Lazard Group’s income from its U.S. operations is generally not subject to U.S. federal income taxes, because taxes associated with such income represent obligations of the individual partners. Lazard Group, however,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Amounts receivable from, and payable to, related parties as of March 31, 2010 and December 31, 2009 are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936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$233,292</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LFCM Holdings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2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For the three month periods ended March 31, 2010 and 2009, amounts recorded by Lazard Group relating to the administrative services agreement amounted to $546 and $1,457, respectively, and net referral fees for underwriting, private placement, M&amp;A and restructuring transactions under the business alliance agreement amounted to $3,345 and $157,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Receivables from LFCM Holdings and its subsidiaries as of March 31, 2010 and December 31, 2009 primarily include $2,397 and $5,891, respectively, related to administrative and support services and reimbursement of expenses incurred on behalf of LFCM Holdings and $7,318 and $6,202, respectively, related to referral fees for underwriting and private placement transactions. Payables to LFCM Holdings and its subsidiaries at March 31, 2010 and December 31, 2009 relate primarily to referral fees for Financial Advisory transactions of $2,877 and $1,747, respectively.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Lazard Ltd Subsidiaries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Group’s receivables from subsidiaries of Lazard Ltd at March 31, 2010 and December 31, 2009 include interest-bearing loans of $30,102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$29,732, respectively, including accrued interest thereon. Interest income relating to interest-bearing loans with subsidiaries of Lazard Ltd amounted to $809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$843 for the three month periods ended March 31, 2010 and 2009, respectively.</w:t>
      </w:r>
    </w:p>
    <w:p>
      <w:pPr>
        <w:spacing w:after="0" w:line="14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of both March 31, 2010 and December 31, 2009, Lazard Group’s payables to subsidiaries of Lazard Ltd included $64,305 related to the LAM Merger (see Note 7 of Notes to Condensed Consolidated Financial Statements), as well as payables at both March 31, 2010 and December 31, 2009 aggregating $39,820, in connection with Lazard Group’s acquisition of GAHL and Edgewater’s management vehicles, and with respect to Lazard Ltd’s acquisition of CWC and subsequent contribution of CWC to Lazard Group (see Note 8 of Notes to Condensed Consolidated Financial Statements). In addition, as of both March 31, 2010 and December 31, 2009, Lazard Group’s payables to subsidiaries of Lazard Ltd include interest-bearing loans, plus accrued interest thereon, of $125,998 and $136,329, respectively. Interest expense relating to interest-bearing loans with subsidiaries of Lazard Ltd amounted to $1,125 and $1,828 for the three month periods ended March 31, 2010 and 2009, respectively.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LAZ-MD Holdings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2010 and 2009, such charges amounted to $188 for each period.</w:t>
      </w:r>
    </w:p>
    <w:p>
      <w:pPr>
        <w:spacing w:after="0" w:line="119"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2010, LFNY’s regulatory net capital was $23,158, which exceeded the minimum requirement by $15,394.</w:t>
      </w:r>
    </w:p>
    <w:p>
      <w:pPr>
        <w:spacing w:after="0" w:line="1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(the “U.K. Subsidiaries”) are regulated by the Financial Services Authority. At March 31, 2010, the aggregate regulatory net capital of the U.K. Subsidiaries was $140,884, which exceeded the minimum requirement by $99,476.</w:t>
      </w:r>
    </w:p>
    <w:p>
      <w:pPr>
        <w:spacing w:after="0" w:line="119"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2010, the consolidated regulatory net capital of CFLF was $180,062, which exceeded the minimum requirement set for regulatory capital levels by $81,429.</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March 31, 2010, for those subsidiaries with regulatory capital requirements, their aggregate net capital was $76,369, which exceeded the minimum required capital by $54,493.</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2010, each of these subsidiaries individually was in compliance with its regulatory capital requirements.</w:t>
      </w:r>
    </w:p>
    <w:p>
      <w:pPr>
        <w:spacing w:after="0" w:line="15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have held discussions with the SEC and other authorities regarding the scope and nature of Lazard Ltd’s reporting and other obligations under the SIBHC program.</w:t>
      </w:r>
    </w:p>
    <w:p>
      <w:pPr>
        <w:spacing w:after="0" w:line="123"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On December 11, 2009, the U.S. House of Representatives passed The Wall Street Reform and Consumer Protection Act of 2009 (“H.R. 4173”). H.R. 4173 is currently pending in the U.S. Senate. On March 22, 2010 the Senate Banking Committee voted to approve and send to the Senate floor its own version of financial regulatory reform, titled the “Restoring American Financial Stability Act of 2010” (“S. 3217”). We are not able to predict what action or changes, if any, will result from the Senate’s consideration of S. 3217. We currently are in the process of examining the potential impact of both H.R. 4173 and S. 3217 on us and the SIBHC program, but, given the uncertainty of possible changes to these bills, we are not able to predict the ultimate effect on us and the SIBHC program.</w:t>
      </w:r>
    </w:p>
    <w:p>
      <w:pPr>
        <w:spacing w:after="0" w:line="90"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segment information for the three month periods ended March 31, 2010 and 2009 is prepared using the following methodology:</w:t>
      </w:r>
    </w:p>
    <w:p>
      <w:pPr>
        <w:spacing w:after="0" w:line="77"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03"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25"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06"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5"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$ 268,496</w:t>
            </w:r>
          </w:p>
        </w:tc>
        <w:tc>
          <w:tcPr>
            <w:tcW w:w="960" w:type="dxa"/>
            <w:vAlign w:val="bottom"/>
            <w:gridSpan w:val="5"/>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$162,977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Expenses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177,621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 (Loss) (a)</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260" w:type="dxa"/>
            <w:vAlign w:val="bottom"/>
            <w:gridSpan w:val="2"/>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$ 187,753</w:t>
            </w:r>
          </w:p>
        </w:tc>
        <w:tc>
          <w:tcPr>
            <w:tcW w:w="260" w:type="dxa"/>
            <w:vAlign w:val="bottom"/>
            <w:gridSpan w:val="2"/>
          </w:tcPr>
          <w:p>
            <w:pPr>
              <w:spacing w:after="0"/>
              <w:rPr>
                <w:sz w:val="24"/>
                <w:szCs w:val="24"/>
                <w:color w:val="auto"/>
              </w:rPr>
            </w:pPr>
          </w:p>
        </w:tc>
        <w:tc>
          <w:tcPr>
            <w:tcW w:w="960" w:type="dxa"/>
            <w:vAlign w:val="bottom"/>
            <w:gridSpan w:val="5"/>
          </w:tcPr>
          <w:p>
            <w:pPr>
              <w:jc w:val="right"/>
              <w:ind w:right="18"/>
              <w:spacing w:after="0"/>
              <w:rPr>
                <w:sz w:val="20"/>
                <w:szCs w:val="20"/>
                <w:color w:val="auto"/>
              </w:rPr>
            </w:pPr>
            <w:r>
              <w:rPr>
                <w:rFonts w:ascii="Times New Roman" w:cs="Times New Roman" w:eastAsia="Times New Roman" w:hAnsi="Times New Roman"/>
                <w:sz w:val="18"/>
                <w:szCs w:val="18"/>
                <w:color w:val="auto"/>
              </w:rPr>
              <w:t>$101,523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129,440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 (a)</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(18,302)</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Expenses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105,255</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 (Loss) (a)</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(123,557)</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$ 437,947</w:t>
            </w:r>
          </w:p>
        </w:tc>
        <w:tc>
          <w:tcPr>
            <w:tcW w:w="260" w:type="dxa"/>
            <w:vAlign w:val="bottom"/>
            <w:gridSpan w:val="2"/>
          </w:tcPr>
          <w:p>
            <w:pPr>
              <w:spacing w:after="0"/>
              <w:rPr>
                <w:sz w:val="24"/>
                <w:szCs w:val="24"/>
                <w:color w:val="auto"/>
              </w:rPr>
            </w:pPr>
          </w:p>
        </w:tc>
        <w:tc>
          <w:tcPr>
            <w:tcW w:w="960" w:type="dxa"/>
            <w:vAlign w:val="bottom"/>
            <w:gridSpan w:val="5"/>
          </w:tcPr>
          <w:p>
            <w:pPr>
              <w:jc w:val="right"/>
              <w:ind w:right="18"/>
              <w:spacing w:after="0"/>
              <w:rPr>
                <w:sz w:val="20"/>
                <w:szCs w:val="20"/>
                <w:color w:val="auto"/>
              </w:rPr>
            </w:pPr>
            <w:r>
              <w:rPr>
                <w:rFonts w:ascii="Times New Roman" w:cs="Times New Roman" w:eastAsia="Times New Roman" w:hAnsi="Times New Roman"/>
                <w:sz w:val="18"/>
                <w:szCs w:val="18"/>
                <w:color w:val="auto"/>
              </w:rPr>
              <w:t>$247,867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472,495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9"/>
              </w:rPr>
              <w:t>338,775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 (a)</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2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(90,908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6"/>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Pr>
          <w:p>
            <w:pPr>
              <w:spacing w:after="0"/>
              <w:rPr>
                <w:sz w:val="10"/>
                <w:szCs w:val="10"/>
                <w:color w:val="auto"/>
              </w:rPr>
            </w:pPr>
          </w:p>
        </w:tc>
        <w:tc>
          <w:tcPr>
            <w:tcW w:w="940" w:type="dxa"/>
            <w:vAlign w:val="bottom"/>
            <w:gridSpan w:val="4"/>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Financial Advisory</w:t>
            </w:r>
          </w:p>
        </w:tc>
        <w:tc>
          <w:tcPr>
            <w:tcW w:w="466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713,217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Management</w:t>
            </w:r>
          </w:p>
        </w:tc>
        <w:tc>
          <w:tcPr>
            <w:tcW w:w="4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4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1,494,057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1,705,488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3,115,048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300" w:hanging="452"/>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for the three month periods ended March 31, 2010 and 2009 were significantly impacted by certain special items. Such impact, including the amounts attributable to each of the Company’s business segments, are described in the table below: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 as reported above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30,696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excluding impact of special item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50,267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(14,644)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as reported above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58,313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Special item: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2,902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excluding impact of special item</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as reported above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w w:val="96"/>
              </w:rPr>
              <w:t>(123,557)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(87,347)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expense</w:t>
            </w:r>
          </w:p>
        </w:tc>
        <w:tc>
          <w:tcPr>
            <w:tcW w:w="10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87,108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excluding impact of special items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(24,797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as reported above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(34,548)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(90,908)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expense</w:t>
            </w:r>
          </w:p>
        </w:tc>
        <w:tc>
          <w:tcPr>
            <w:tcW w:w="100" w:type="dxa"/>
            <w:vAlign w:val="bottom"/>
          </w:tcPr>
          <w:p>
            <w:pPr>
              <w:spacing w:after="0"/>
              <w:rPr>
                <w:sz w:val="18"/>
                <w:szCs w:val="18"/>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87,108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24,860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 excluding impact of special items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(28,358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77" w:lineRule="exact"/>
        <w:rPr>
          <w:sz w:val="20"/>
          <w:szCs w:val="20"/>
          <w:color w:val="auto"/>
        </w:rPr>
      </w:pPr>
    </w:p>
    <w:p>
      <w:pPr>
        <w:jc w:val="both"/>
        <w:ind w:right="18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“first quarter” or “the period” refer to, as the context requires, the three month periods ended March 31, 2010 and March 31, 2009.</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44" w:lineRule="exact"/>
        <w:rPr>
          <w:sz w:val="20"/>
          <w:szCs w:val="20"/>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financial markets,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0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0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0"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possible or assumed future results of operations and operating cash flows,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strategies and investment policies,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financing plans and the availability of short-term borrowing,</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competitive position,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levels of compensation expense,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potential operating performance, achievements, productivity improvements, efficiency and cost reduction efforts,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03"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Times New Roman" w:cs="Times New Roman" w:eastAsia="Times New Roman" w:hAnsi="Times New Roman"/>
          <w:sz w:val="18"/>
          <w:szCs w:val="18"/>
          <w:i w:val="1"/>
          <w:iCs w:val="1"/>
          <w:color w:val="auto"/>
        </w:rPr>
        <w:t>(www.lazardnet.com)</w:t>
      </w:r>
      <w:r>
        <w:rPr>
          <w:rFonts w:ascii="Times New Roman" w:cs="Times New Roman" w:eastAsia="Times New Roman" w:hAnsi="Times New Roman"/>
          <w:sz w:val="18"/>
          <w:szCs w:val="18"/>
          <w:color w:val="auto"/>
        </w:rPr>
        <w:t xml:space="preserve"> on the third business day following the end of each month.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the information contained therein or connected thereto shall not be deemed to be incorporated into this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25"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includes strategies for the management of equity and fixed income securities and alternative investment and private equity funds.</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12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consolidated net revenue was derived from the following segments: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1680" w:type="dxa"/>
            <w:vAlign w:val="bottom"/>
            <w:tcBorders>
              <w:right w:val="single" w:sz="8" w:color="CCEEFF"/>
            </w:tcBorders>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80" w:type="dxa"/>
            <w:vAlign w:val="bottom"/>
            <w:tcBorders>
              <w:right w:val="single" w:sz="8" w:color="CCEEFF"/>
            </w:tcBorders>
            <w:gridSpan w:val="2"/>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60" w:type="dxa"/>
            <w:vAlign w:val="bottom"/>
            <w:vMerge w:val="continue"/>
          </w:tcPr>
          <w:p>
            <w:pPr>
              <w:spacing w:after="0"/>
              <w:rPr>
                <w:sz w:val="19"/>
                <w:szCs w:val="19"/>
                <w:color w:val="auto"/>
              </w:rPr>
            </w:pPr>
          </w:p>
        </w:tc>
        <w:tc>
          <w:tcPr>
            <w:tcW w:w="1680" w:type="dxa"/>
            <w:vAlign w:val="bottom"/>
            <w:gridSpan w:val="2"/>
          </w:tcPr>
          <w:p>
            <w:pPr>
              <w:jc w:val="right"/>
              <w:ind w:right="1072"/>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Economic and market conditions in the U.S. and globally showed signs of recovery during the first quarter of 2010 with the continuation of gains, although modest, to the already robust gains in the global equity markets in 2009, as well as generally healthier credit markets, improved corporate earnings and continued low interest rates. These factors contributed to the improvement in our operating performance in both Financial Advisory and Assets Management during the 2010 first quarter. However, the state of public finances of certain Euro economies, high global unemployment levels, increasing oil prices and the regulatory environment suggest that certain vulnerabilities to the global economy and, in turn, to the overall business environment, remain.</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8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While global and trans-atlantic completed M&amp;A transactions for the first quarter of 2010 were lower than the corresponding prior year quarter, announced transactions, particularly trans-atlantic transactions, increased.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industry statistics regarding the value of M&amp;A transactions in the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9"/>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2009</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Incr/(Decr)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billions)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6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Trans-Atlantic</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2"/>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Trans-Atlantic</w:t>
            </w:r>
          </w:p>
        </w:tc>
        <w:tc>
          <w:tcPr>
            <w:tcW w:w="1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Source:Thomson Financial as of April 11, 2010</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modestly in the first quarter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Global restructuring activity decreased during the first quarter of 2010 due to a lower level of corporate debt defaults. According to Moody’s Investors Service, Inc., in the first quarter of 2010, a total of 16 issuers defaulted as compared to 90 in the corresponding 2009 period.</w:t>
      </w:r>
    </w:p>
    <w:p>
      <w:pPr>
        <w:spacing w:after="0" w:line="10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While we believe that the number and value of corporate defaults may continue to decline throughout the year, we expect that our Restructuring business should remain active over the next several years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2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8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As shown in the table below, major global market indices at March 31, 2010 increased modestly as compared to such indices at December 31, 2009 and increased significantly as compared to March 31, 2009.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6"/>
              </w:rPr>
              <w:t>Percentage Change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3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March 31, 2010 vs.</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1380" w:type="dxa"/>
            <w:vAlign w:val="bottom"/>
          </w:tcPr>
          <w:p>
            <w:pPr>
              <w:spacing w:after="0"/>
              <w:rPr>
                <w:sz w:val="12"/>
                <w:szCs w:val="12"/>
                <w:color w:val="auto"/>
              </w:rPr>
            </w:pPr>
          </w:p>
        </w:tc>
        <w:tc>
          <w:tcPr>
            <w:tcW w:w="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March 31, 2009</w:t>
            </w:r>
          </w:p>
        </w:tc>
        <w:tc>
          <w:tcPr>
            <w:tcW w:w="20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6440" w:type="dxa"/>
            <w:vAlign w:val="bottom"/>
            <w:gridSpan w:val="3"/>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CAC 40</w:t>
            </w:r>
          </w:p>
        </w:tc>
        <w:tc>
          <w:tcPr>
            <w:tcW w:w="6440" w:type="dxa"/>
            <w:vAlign w:val="bottom"/>
            <w:gridSpan w:val="3"/>
          </w:tcPr>
          <w:p>
            <w:pPr>
              <w:jc w:val="right"/>
              <w:ind w:right="1172"/>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DAX</w:t>
            </w:r>
          </w:p>
        </w:tc>
        <w:tc>
          <w:tcPr>
            <w:tcW w:w="6440" w:type="dxa"/>
            <w:vAlign w:val="bottom"/>
            <w:gridSpan w:val="3"/>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FTSE 100</w:t>
            </w:r>
          </w:p>
        </w:tc>
        <w:tc>
          <w:tcPr>
            <w:tcW w:w="6440" w:type="dxa"/>
            <w:vAlign w:val="bottom"/>
            <w:gridSpan w:val="3"/>
          </w:tcPr>
          <w:p>
            <w:pPr>
              <w:jc w:val="right"/>
              <w:ind w:right="1172"/>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TOPIX 100</w:t>
            </w:r>
          </w:p>
        </w:tc>
        <w:tc>
          <w:tcPr>
            <w:tcW w:w="6440" w:type="dxa"/>
            <w:vAlign w:val="bottom"/>
            <w:gridSpan w:val="3"/>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6440" w:type="dxa"/>
            <w:vAlign w:val="bottom"/>
            <w:gridSpan w:val="3"/>
          </w:tcPr>
          <w:p>
            <w:pPr>
              <w:jc w:val="right"/>
              <w:ind w:right="1172"/>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Industrial Average</w:t>
            </w:r>
          </w:p>
        </w:tc>
        <w:tc>
          <w:tcPr>
            <w:tcW w:w="6440" w:type="dxa"/>
            <w:vAlign w:val="bottom"/>
            <w:gridSpan w:val="3"/>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6440" w:type="dxa"/>
            <w:vAlign w:val="bottom"/>
            <w:gridSpan w:val="3"/>
          </w:tcPr>
          <w:p>
            <w:pPr>
              <w:jc w:val="right"/>
              <w:ind w:right="1172"/>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6440" w:type="dxa"/>
            <w:vAlign w:val="bottom"/>
            <w:gridSpan w:val="3"/>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363"/>
        </w:trPr>
        <w:tc>
          <w:tcPr>
            <w:tcW w:w="3880" w:type="dxa"/>
            <w:vAlign w:val="bottom"/>
          </w:tcPr>
          <w:p>
            <w:pPr>
              <w:spacing w:after="0"/>
              <w:rPr>
                <w:sz w:val="24"/>
                <w:szCs w:val="24"/>
                <w:color w:val="auto"/>
              </w:rPr>
            </w:pPr>
          </w:p>
        </w:tc>
        <w:tc>
          <w:tcPr>
            <w:tcW w:w="3960" w:type="dxa"/>
            <w:vAlign w:val="bottom"/>
          </w:tcPr>
          <w:p>
            <w:pPr>
              <w:jc w:val="right"/>
              <w:ind w:right="1952"/>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Accordingly, since market appreciation (depreciation) and foreign currency volatility impact the level of our AUM, such items will impact the level of revenues we receive from our Asset Management business. A substantial portion of our AUM is invested in equities, and market appreciation reflected in the changes in Lazard’s AUM during the period generally corresponded to the changes in global market indices. While our AUM at March 31, 2010 increased modestly versus AUM at December 31, 2009, our average AUM during the first quarter of 2010 increased significantly as compared to our average AUM for the first quarter of 2009, reflecting significant market appreciation for the last nine months of 2009, and, to a lesser extent, the first three months of 2010, as well as net inflows over such twelve month period. Such increased AUM resulted in higher management fee revenues in the 2010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7"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317"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23"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9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Although Corporate segment net revenue during the 2010 period represented (4)% of Lazard’s net revenue, total assets in Corporate represented 52% of Lazard’s consolidated total assets as of March 31, 2010, which is attributable to assets associated with LFB, investments in government bonds, LAM-managed funds, other securities and cash.</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8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 a straight-line basis over the vesting periods and not on the basis of revenue recognition. Compensation expense in any given period is dependent on many factors, including general economic and market conditions, our operating and financial performance, staffing levels and competitive pay conditions, as well as the mix between current and deferred compensation. Our compensation expense-to-operating revenue ratio for the 2010 and 2009 periods was 60.2% and 74.4%, respectively (with such ratio excluding, in 2010, the compensation charge of approximately $25 million in connection with the accelerated vesting of RSUs related to the Company’s change in retirement policy). See Note 13 of Notes to Condensed Consolidated Financial Statements for additional information regarding the Company’s incentive plans.</w:t>
      </w:r>
    </w:p>
    <w:p>
      <w:pPr>
        <w:spacing w:after="0" w:line="9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Lazard’s operating expenses also include “non-compensation expense”, amortization of intangible assets related to business acquisitions and, in the 2010 and 2009 periods,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business acquisitions related primarily to the July 2009 acquisition of Edgewater. Restructuring expense relates to the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(benefits) shown on Lazard’s consolidated statements of operations are related to non-U.S. entities and to New York City Unincorporated Business Tax (“UBT”) attributable to Lazard’s operations apportioned to New York City.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records a charge (credit) to noncontrolling interests relating to Edgewater and various LAM-related general partnership interests (“GPs”) held directly by certain of our LAM managing directors.</w:t>
      </w:r>
    </w:p>
    <w:p>
      <w:pPr>
        <w:spacing w:after="0" w:line="106" w:lineRule="exact"/>
        <w:rPr>
          <w:sz w:val="20"/>
          <w:szCs w:val="20"/>
          <w:color w:val="auto"/>
        </w:rPr>
      </w:pPr>
    </w:p>
    <w:p>
      <w:pPr>
        <w:ind w:right="1540" w:firstLine="456"/>
        <w:spacing w:after="0" w:line="374" w:lineRule="auto"/>
        <w:rPr>
          <w:sz w:val="20"/>
          <w:szCs w:val="20"/>
          <w:color w:val="auto"/>
        </w:rPr>
      </w:pPr>
      <w:r>
        <w:rPr>
          <w:rFonts w:ascii="Times New Roman" w:cs="Times New Roman" w:eastAsia="Times New Roman" w:hAnsi="Times New Roman"/>
          <w:sz w:val="18"/>
          <w:szCs w:val="18"/>
          <w:color w:val="auto"/>
        </w:rPr>
        <w:t xml:space="preserve">See Note 12 of Notes to Condensed Consolidated Financial Statements for information regarding Company’s noncontrolling interests. </w:t>
      </w:r>
      <w:r>
        <w:rPr>
          <w:rFonts w:ascii="Times New Roman" w:cs="Times New Roman" w:eastAsia="Times New Roman" w:hAnsi="Times New Roman"/>
          <w:sz w:val="18"/>
          <w:szCs w:val="18"/>
          <w:b w:val="1"/>
          <w:bCs w:val="1"/>
          <w:color w:val="auto"/>
        </w:rPr>
        <w:t>Consolidated Results of Operations</w:t>
      </w:r>
    </w:p>
    <w:p>
      <w:pPr>
        <w:spacing w:after="0" w:line="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consolidated statements of operations.</w:t>
      </w:r>
    </w:p>
    <w:p>
      <w:pPr>
        <w:spacing w:after="0" w:line="128"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During the 2010 and 2009 periods, the Company reported certain charges (the “2010 special items” and the “2009 special item,” respectively, and collectively, the “2010 and 2009 special items”) that resulted in a significant adverse impact on its operating results. The impact of such special items on the Company’s condensed consolidated statements of operations are described in more detail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52"/>
              <w:spacing w:after="0" w:line="125" w:lineRule="exact"/>
              <w:rPr>
                <w:sz w:val="20"/>
                <w:szCs w:val="20"/>
                <w:color w:val="auto"/>
              </w:rPr>
            </w:pPr>
            <w:r>
              <w:rPr>
                <w:rFonts w:ascii="Times New Roman" w:cs="Times New Roman" w:eastAsia="Times New Roman" w:hAnsi="Times New Roman"/>
                <w:sz w:val="14"/>
                <w:szCs w:val="14"/>
                <w:b w:val="1"/>
                <w:bCs w:val="1"/>
                <w:color w:val="auto"/>
                <w:w w:val="92"/>
              </w:rPr>
              <w:t>RSU</w:t>
            </w: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Restructuring</w:t>
            </w:r>
          </w:p>
        </w:tc>
        <w:tc>
          <w:tcPr>
            <w:tcW w:w="140" w:type="dxa"/>
            <w:vAlign w:val="bottom"/>
          </w:tcPr>
          <w:p>
            <w:pPr>
              <w:spacing w:after="0"/>
              <w:rPr>
                <w:sz w:val="12"/>
                <w:szCs w:val="12"/>
                <w:color w:val="auto"/>
              </w:rPr>
            </w:pPr>
          </w:p>
        </w:tc>
        <w:tc>
          <w:tcPr>
            <w:tcW w:w="1100" w:type="dxa"/>
            <w:vAlign w:val="bottom"/>
            <w:gridSpan w:val="2"/>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Amendment</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Restructuring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060" w:type="dxa"/>
            <w:vAlign w:val="bottom"/>
            <w:gridSpan w:val="2"/>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(87,108)</w:t>
            </w:r>
          </w:p>
        </w:tc>
        <w:tc>
          <w:tcPr>
            <w:tcW w:w="124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(24,860)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(111,968)</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(5,680)</w:t>
            </w:r>
          </w:p>
        </w:tc>
        <w:tc>
          <w:tcPr>
            <w:tcW w:w="124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(1,363)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Lazard Group</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$(81,428)</w:t>
            </w:r>
          </w:p>
        </w:tc>
        <w:tc>
          <w:tcPr>
            <w:tcW w:w="124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$(23,497)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(104,925)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plans announced in the first quarters of 2010 and 2009, respectively.</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amortization expense in connection with the accelerated vesting of RSUs related to the change in the Company’s retirement policy.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 discussion of the Company’s consolidated results of operations for the 2010 and 2009 periods is set forth below, followed by a more detailed discussion of business segment results. For comparability purposes in the discussion that follows, the 2010 and 2009 results are shown in tables below, as applicable, on both an “as reported” U.S. GAAP and “excluding special items” non-U.S. GAAP basis.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2009</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25"/>
        </w:trPr>
        <w:tc>
          <w:tcPr>
            <w:tcW w:w="11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98"/>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9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26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200" w:type="dxa"/>
            <w:vAlign w:val="bottom"/>
          </w:tcPr>
          <w:p>
            <w:pPr>
              <w:spacing w:after="0"/>
              <w:rPr>
                <w:sz w:val="12"/>
                <w:szCs w:val="12"/>
                <w:color w:val="auto"/>
              </w:rPr>
            </w:pPr>
          </w:p>
        </w:tc>
        <w:tc>
          <w:tcPr>
            <w:tcW w:w="960" w:type="dxa"/>
            <w:vAlign w:val="bottom"/>
            <w:gridSpan w:val="3"/>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5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1260" w:type="dxa"/>
            <w:vAlign w:val="bottom"/>
            <w:gridSpan w:val="2"/>
          </w:tcPr>
          <w:p>
            <w:pPr>
              <w:jc w:val="center"/>
              <w:ind w:right="5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r>
      <w:tr>
        <w:trPr>
          <w:trHeight w:val="149"/>
        </w:trPr>
        <w:tc>
          <w:tcPr>
            <w:tcW w:w="1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1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Excluding</w:t>
            </w:r>
          </w:p>
        </w:tc>
        <w:tc>
          <w:tcPr>
            <w:tcW w:w="1260" w:type="dxa"/>
            <w:vAlign w:val="bottom"/>
            <w:gridSpan w:val="2"/>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r>
      <w:tr>
        <w:trPr>
          <w:trHeight w:val="165"/>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Items (a)</w:t>
            </w:r>
          </w:p>
        </w:tc>
        <w:tc>
          <w:tcPr>
            <w:tcW w:w="200" w:type="dxa"/>
            <w:vAlign w:val="bottom"/>
          </w:tcPr>
          <w:p>
            <w:pPr>
              <w:spacing w:after="0"/>
              <w:rPr>
                <w:sz w:val="14"/>
                <w:szCs w:val="14"/>
                <w:color w:val="auto"/>
              </w:rPr>
            </w:pPr>
          </w:p>
        </w:tc>
        <w:tc>
          <w:tcPr>
            <w:tcW w:w="1500" w:type="dxa"/>
            <w:vAlign w:val="bottom"/>
            <w:gridSpan w:val="3"/>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w w:val="95"/>
              </w:rPr>
              <w:t>Special Items (b)</w:t>
            </w:r>
          </w:p>
        </w:tc>
        <w:tc>
          <w:tcPr>
            <w:tcW w:w="1260" w:type="dxa"/>
            <w:vAlign w:val="bottom"/>
            <w:gridSpan w:val="2"/>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Item (a)</w:t>
            </w:r>
          </w:p>
        </w:tc>
        <w:tc>
          <w:tcPr>
            <w:tcW w:w="180" w:type="dxa"/>
            <w:vAlign w:val="bottom"/>
          </w:tcPr>
          <w:p>
            <w:pPr>
              <w:spacing w:after="0"/>
              <w:rPr>
                <w:sz w:val="14"/>
                <w:szCs w:val="14"/>
                <w:color w:val="auto"/>
              </w:rPr>
            </w:pPr>
          </w:p>
        </w:tc>
        <w:tc>
          <w:tcPr>
            <w:tcW w:w="1180" w:type="dxa"/>
            <w:vAlign w:val="bottom"/>
            <w:gridSpan w:val="3"/>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6"/>
              </w:rPr>
              <w:t>Special Item (b)</w:t>
            </w:r>
          </w:p>
        </w:tc>
      </w:tr>
      <w:tr>
        <w:trPr>
          <w:trHeight w:val="142"/>
        </w:trPr>
        <w:tc>
          <w:tcPr>
            <w:tcW w:w="11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28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437,947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437,947</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247,867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247,867</w:t>
            </w:r>
          </w:p>
        </w:tc>
      </w:tr>
      <w:tr>
        <w:trPr>
          <w:trHeight w:val="33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17"/>
        </w:trPr>
        <w:tc>
          <w:tcPr>
            <w:tcW w:w="3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8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300,375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24,860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275,515</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203,532</w:t>
            </w:r>
          </w:p>
        </w:tc>
      </w:tr>
      <w:tr>
        <w:trPr>
          <w:trHeight w:val="216"/>
        </w:trPr>
        <w:tc>
          <w:tcPr>
            <w:tcW w:w="3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Non-compensation expense</w:t>
            </w:r>
          </w:p>
        </w:tc>
        <w:tc>
          <w:tcPr>
            <w:tcW w:w="1280" w:type="dxa"/>
            <w:vAlign w:val="bottom"/>
            <w:gridSpan w:val="3"/>
          </w:tcPr>
          <w:p>
            <w:pPr>
              <w:jc w:val="right"/>
              <w:ind w:right="298"/>
              <w:spacing w:after="0"/>
              <w:rPr>
                <w:sz w:val="20"/>
                <w:szCs w:val="20"/>
                <w:color w:val="auto"/>
              </w:rPr>
            </w:pPr>
            <w:r>
              <w:rPr>
                <w:rFonts w:ascii="Times New Roman" w:cs="Times New Roman" w:eastAsia="Times New Roman" w:hAnsi="Times New Roman"/>
                <w:sz w:val="18"/>
                <w:szCs w:val="18"/>
                <w:color w:val="auto"/>
              </w:rPr>
              <w:t>83,242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83,242</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72,349</w:t>
            </w:r>
          </w:p>
        </w:tc>
      </w:tr>
      <w:tr>
        <w:trPr>
          <w:trHeight w:val="202"/>
        </w:trPr>
        <w:tc>
          <w:tcPr>
            <w:tcW w:w="3720" w:type="dxa"/>
            <w:vAlign w:val="bottom"/>
            <w:gridSpan w:val="2"/>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Amortization of intangible assets related to</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7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3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87,108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7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472,495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111,968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360,527</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338,775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276,225</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(111,968)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77,420</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(90,908)</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(62,550)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(28,358)</w:t>
            </w:r>
          </w:p>
        </w:tc>
        <w:tc>
          <w:tcPr>
            <w:tcW w:w="260" w:type="dxa"/>
            <w:vAlign w:val="bottom"/>
          </w:tcPr>
          <w:p>
            <w:pPr>
              <w:spacing w:after="0"/>
              <w:rPr>
                <w:sz w:val="19"/>
                <w:szCs w:val="19"/>
                <w:color w:val="auto"/>
              </w:rPr>
            </w:pPr>
          </w:p>
        </w:tc>
      </w:tr>
      <w:tr>
        <w:trPr>
          <w:trHeight w:val="217"/>
        </w:trPr>
        <w:tc>
          <w:tcPr>
            <w:tcW w:w="3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8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5,540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(4,554)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1,847</w:t>
            </w:r>
          </w:p>
        </w:tc>
      </w:tr>
      <w:tr>
        <w:trPr>
          <w:trHeight w:val="22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(104,925)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64,837</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(86,354)</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(56,149)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260" w:type="dxa"/>
            <w:vAlign w:val="bottom"/>
          </w:tcPr>
          <w:p>
            <w:pPr>
              <w:spacing w:after="0"/>
              <w:rPr>
                <w:sz w:val="19"/>
                <w:szCs w:val="19"/>
                <w:color w:val="auto"/>
              </w:rPr>
            </w:pPr>
          </w:p>
        </w:tc>
      </w:tr>
      <w:tr>
        <w:trPr>
          <w:trHeight w:val="199"/>
        </w:trPr>
        <w:tc>
          <w:tcPr>
            <w:tcW w:w="372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i w:val="1"/>
                <w:iCs w:val="1"/>
                <w:color w:val="auto"/>
              </w:rPr>
              <w:t>Less – Net Income (Loss) Attributable to</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tc>
        <w:tc>
          <w:tcPr>
            <w:tcW w:w="128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5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Lazard Group</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(42,446</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(104,925</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62,479</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(85,283</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(56,149)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2"/>
        </w:trPr>
        <w:tc>
          <w:tcPr>
            <w:tcW w:w="37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i w:val="1"/>
                <w:iCs w:val="1"/>
                <w:color w:val="auto"/>
              </w:rPr>
              <w:t>Operating Income (Loss), As A % Of Net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4"/>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8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related to the previously described special items. See Notes 13, 15 and 19 of Notes to Condensed Consolidated Financial Statements.</w:t>
      </w:r>
    </w:p>
    <w:p>
      <w:pPr>
        <w:spacing w:after="0" w:line="4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w:t>
            </w:r>
          </w:p>
        </w:tc>
        <w:tc>
          <w:tcPr>
            <w:tcW w:w="1020" w:type="dxa"/>
            <w:vAlign w:val="bottom"/>
            <w:gridSpan w:val="2"/>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2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$464,616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$276,672</w:t>
            </w:r>
          </w:p>
        </w:tc>
        <w:tc>
          <w:tcPr>
            <w:tcW w:w="12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LFB interest expense (a)</w:t>
            </w:r>
          </w:p>
        </w:tc>
        <w:tc>
          <w:tcPr>
            <w:tcW w:w="10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(2,559)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(4,017)</w:t>
            </w:r>
          </w:p>
        </w:tc>
      </w:tr>
      <w:tr>
        <w:trPr>
          <w:trHeight w:val="216"/>
        </w:trPr>
        <w:tc>
          <w:tcPr>
            <w:tcW w:w="9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104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(4,339)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457,718</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273,725</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460" w:right="220" w:hanging="452"/>
        <w:spacing w:after="0" w:line="257"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incurred by LFB is excluded from total revenue because LFB is a commercial bank and we consider its interest expense to be a cost directly related to the conduct of its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 Further, such results are offset by a charge or credit to noncontrolling interests.</w:t>
      </w:r>
    </w:p>
    <w:p>
      <w:pPr>
        <w:spacing w:after="0" w:line="11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key ratios, statistics and headcount information for the 2010 and 2009 periods are set forth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82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 By Revenue Category:</w:t>
            </w:r>
          </w:p>
        </w:tc>
        <w:tc>
          <w:tcPr>
            <w:tcW w:w="504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5780" w:type="dxa"/>
            <w:vAlign w:val="bottom"/>
            <w:gridSpan w:val="4"/>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management fees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5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780" w:type="dxa"/>
            <w:vAlign w:val="bottom"/>
            <w:gridSpan w:val="4"/>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46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5340" w:type="dxa"/>
            <w:vAlign w:val="bottom"/>
            <w:gridSpan w:val="3"/>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Advisory</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Management</w:t>
            </w:r>
          </w:p>
        </w:tc>
        <w:tc>
          <w:tcPr>
            <w:tcW w:w="63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975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5340" w:type="dxa"/>
            <w:vAlign w:val="bottom"/>
            <w:gridSpan w:val="3"/>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34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2,292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40" w:type="dxa"/>
            <w:vAlign w:val="bottom"/>
            <w:vMerge w:val="restart"/>
          </w:tcPr>
          <w:p>
            <w:pPr>
              <w:jc w:val="right"/>
              <w:ind w:right="3732"/>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7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Lazard management believes that comparisons between periods are most meaningful after excluding the impact of such items.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2010 versus March 31, 2009</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reported a net loss attributable to Lazard Group of $42 million, as compared to a net loss of $85 million in the 2009 period. The Company’s results in both periods were adversely affected by the 2010 and the 2009 special items, which served to increase the net loss attributable to Lazard Group in the 2010 and 2009 periods by $105 million and $56 million, respectively. Excluding the after-tax impact of the 2010 and 2009 special items in each year, net income attributable to Lazard Group in the 2010 period was $62 million, an increase of $92 million, as compared to the 2009 period. The changes in the Company’s operating results during the periods are described below.</w:t>
      </w:r>
    </w:p>
    <w:p>
      <w:pPr>
        <w:spacing w:after="0" w:line="125"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Net revenue increased $190 million, or 77%, as compared to the 2009 period, with operating revenue increasing $184 million, or 67%. Fees from investment banking and other advisory activities increased $108 million, or 67%, reflecting increases in all advisory activities as a $50 million, or 52%, increase in M&amp;A and Strategic Advisory revenue, was accompanied by a $40 million, or 65%, increase in Restructuring revenue, and a $15 million, or 272%, increase in Capital Markets and Other Advisory revenue. Money management fees, including incentive fees, increased $78 million, or 79%, due to a $46 billion, or 54%, increase in average AUM for the 2010 period, primarily as the result of market appreciation experienced most significantly in the last nine months of 2009, and, to a lesser extent, the first three months of 2010, and net inflows during such periods, as well as higher incentive fees earned in the 2010 period. Interest income decreased $2 million, or 29%, due primarily to a lower interest rate environment and lower receivables from banks. Other revenue increased $4 million, or 54%, principally due to increased investment income. Interest expense decreased $2 million, or 7%, due to the lower interest rate environment and reduced levels of LFB’s customer deposits.</w:t>
      </w:r>
    </w:p>
    <w:p>
      <w:pPr>
        <w:spacing w:after="0" w:line="13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for the 2010 period, including the 2010 special item of $25 million, increased $97 million, or 48%. When excluding the 2010 special item, compensation and benefits expense increased $72 million, or 35%, reflecting increases in the provision for discretionary bonuses relating to the increase in operating revenue. Compensation and benefits expense, excluding the 2010 special item, was 60.2% and 74.4% of operating revenue for the 2010 and 2009 periods, respectively.</w:t>
      </w:r>
    </w:p>
    <w:p>
      <w:pPr>
        <w:spacing w:after="0" w:line="123"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Non-compensation expense increased $11 million, or 15%.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18.2% as compared to 26.4% of operating revenue for the 2009 period.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increased $1 million principally due to the Edgewater acquisition in July 2009.</w:t>
      </w:r>
    </w:p>
    <w:p>
      <w:pPr>
        <w:spacing w:after="0" w:line="158"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In the first quarter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RSUs previously granted to individuals who were terminated and certain other costs related to the restructuring initiatives.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18"/>
          <w:szCs w:val="18"/>
          <w:color w:val="auto"/>
        </w:rPr>
        <w:t>Operating loss for the 2010 period was approximately $35 million, as compared to an operating loss of $91 million in the prior year period (with such amounts including the impact of the 2010 and 2009 special items) and, as a percentage of net revenue, was (8)% as compared to (37)% in the 2009 period. Excluding the impact of the 2010 and 2009 special items in each period, operating income was approximately $78 million, an increase of $106 million, as compared to an operating loss of $28 million in 2009, and, as a percentage of net revenue, was 18%, as compared to (11)%, respectively.</w:t>
      </w:r>
    </w:p>
    <w:p>
      <w:pPr>
        <w:spacing w:after="0" w:line="123"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provision for income taxes was $6 million, an increase of $10 million, as compared to a tax benefit of approximately $4 million in the 2009 period. When excluding the tax benefits of $7 million and $6 million relating to the 2010 and 2009 special items, respectively, the income tax provision increased $11 million, principally due to increases in operating income in 2010.</w:t>
      </w:r>
    </w:p>
    <w:p>
      <w:pPr>
        <w:spacing w:after="0" w:line="11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$3 million, as compared to the 2009 period relating to higher revenue from noncontrolling interests (included in “revenue-other”).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19 of Notes to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Financial Advisory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5"/>
              </w:rPr>
              <w:t>Three Months Ended March 31,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6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Non-</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2"/>
          </w:tcPr>
          <w:p>
            <w:pPr>
              <w:jc w:val="center"/>
              <w:ind w:right="4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GAAP</w:t>
            </w:r>
          </w:p>
        </w:tc>
        <w:tc>
          <w:tcPr>
            <w:tcW w:w="600" w:type="dxa"/>
            <w:vAlign w:val="bottom"/>
          </w:tcPr>
          <w:p>
            <w:pPr>
              <w:spacing w:after="0"/>
              <w:rPr>
                <w:sz w:val="12"/>
                <w:szCs w:val="12"/>
                <w:color w:val="auto"/>
              </w:rPr>
            </w:pPr>
          </w:p>
        </w:tc>
        <w:tc>
          <w:tcPr>
            <w:tcW w:w="1160" w:type="dxa"/>
            <w:vAlign w:val="bottom"/>
            <w:gridSpan w:val="2"/>
          </w:tcPr>
          <w:p>
            <w:pPr>
              <w:jc w:val="center"/>
              <w:ind w:right="44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980" w:type="dxa"/>
            <w:vAlign w:val="bottom"/>
            <w:gridSpan w:val="2"/>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3"/>
              </w:rPr>
              <w:t>U.S. GAAP</w:t>
            </w:r>
          </w:p>
        </w:tc>
        <w:tc>
          <w:tcPr>
            <w:tcW w:w="0" w:type="dxa"/>
            <w:vAlign w:val="bottom"/>
          </w:tcPr>
          <w:p>
            <w:pPr>
              <w:spacing w:after="0"/>
              <w:rPr>
                <w:sz w:val="1"/>
                <w:szCs w:val="1"/>
                <w:color w:val="auto"/>
              </w:rPr>
            </w:pPr>
          </w:p>
        </w:tc>
      </w:tr>
      <w:tr>
        <w:trPr>
          <w:trHeight w:val="165"/>
        </w:trPr>
        <w:tc>
          <w:tcPr>
            <w:tcW w:w="6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As Reported</w:t>
            </w: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Item (a)</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Item (b)</w:t>
            </w:r>
          </w:p>
        </w:tc>
        <w:tc>
          <w:tcPr>
            <w:tcW w:w="620" w:type="dxa"/>
            <w:vAlign w:val="bottom"/>
          </w:tcPr>
          <w:p>
            <w:pPr>
              <w:spacing w:after="0"/>
              <w:rPr>
                <w:sz w:val="14"/>
                <w:szCs w:val="14"/>
                <w:color w:val="auto"/>
              </w:rPr>
            </w:pPr>
          </w:p>
        </w:tc>
        <w:tc>
          <w:tcPr>
            <w:tcW w:w="980" w:type="dxa"/>
            <w:vAlign w:val="bottom"/>
            <w:gridSpan w:val="2"/>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5"/>
              </w:rPr>
              <w:t>As Reported</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Strategic Advisory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$146,921</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$146,921</w:t>
            </w:r>
          </w:p>
        </w:tc>
        <w:tc>
          <w:tcPr>
            <w:tcW w:w="9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$96,475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100,823</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100,823</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60,929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Markets and Other Advisory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20,752</w:t>
            </w:r>
          </w:p>
        </w:tc>
        <w:tc>
          <w:tcPr>
            <w:tcW w:w="9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22"/>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268,496</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268,496</w:t>
            </w:r>
          </w:p>
        </w:tc>
        <w:tc>
          <w:tcPr>
            <w:tcW w:w="6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1760" w:type="dxa"/>
            <w:vAlign w:val="bottom"/>
            <w:gridSpan w:val="3"/>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19,571</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218,229</w:t>
            </w:r>
          </w:p>
        </w:tc>
        <w:tc>
          <w:tcPr>
            <w:tcW w:w="9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177,621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(19,571</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$50,267</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(14,644</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As A Percentage Of</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4680" w:type="dxa"/>
            <w:vAlign w:val="bottom"/>
            <w:gridSpan w:val="3"/>
            <w:shd w:val="clear" w:color="auto" w:fill="CCEEFF"/>
          </w:tcPr>
          <w:p>
            <w:pPr>
              <w:jc w:val="right"/>
              <w:ind w:right="16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8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116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 (d):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Managing Directors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Employees: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8"/>
                <w:szCs w:val="18"/>
                <w:color w:val="auto"/>
              </w:rPr>
            </w:pPr>
          </w:p>
        </w:tc>
      </w:tr>
      <w:tr>
        <w:trPr>
          <w:trHeight w:val="223"/>
        </w:trPr>
        <w:tc>
          <w:tcPr>
            <w:tcW w:w="9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right="100" w:hanging="452"/>
        <w:spacing w:after="0" w:line="257"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special item attributable to the Financial Advisory segment (see Note 19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support costs (including compensation and benefits expense and other operating expenses related thereto).</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headcount related to indirect support functions, with such headcount being included in the Corporate segment.</w:t>
      </w:r>
    </w:p>
    <w:p>
      <w:pPr>
        <w:spacing w:after="0" w:line="14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Fees Greater than $1 million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Revenue from Top 10 Clients</w:t>
            </w:r>
          </w:p>
        </w:tc>
        <w:tc>
          <w:tcPr>
            <w:tcW w:w="20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28"/>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Greater than $1 billion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Source: Thomson Financial as of April 11, 2010.</w:t>
      </w:r>
    </w:p>
    <w:p>
      <w:pPr>
        <w:spacing w:after="0" w:line="15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8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8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7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2010 period. Lazard management believes that comparisons between periods are most meaningful after excluding the impact of such item.</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March 31, 2010 versus March 31, 2009</w:t>
      </w:r>
    </w:p>
    <w:p>
      <w:pPr>
        <w:spacing w:after="0" w:line="7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net revenue increased approximately $106 million, or 65%, as compared to the 2009 period, reflecting increases in M&amp;A and Strategic Advisory revenue of $50 million, or 52%, Restructuring revenue of $40 million, or 65%, and Capital Markets and Other Advisory net revenue of $15 million, or 272%.</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increase in M&amp;A and Strategic Advisory revenue was principally due to an increase in completed transactions in which we were engaged, higher average fees per M&amp;A and Strategic Advisory assignment, and an increased number of engagements generating fee revenues greater than $1 million. Our major clients, which in the aggregate represented a significant portion of our M&amp;A and Strategic Advisory revenue for the first quarter of 2010, included BI-Invest GP, Carilion Labs, Cazenove Group, FGX International, Kraft Foods, Lincoln Financial, Marken Group, NII Holdings, Premium Financing Specialists and Sensor Technologies.</w:t>
      </w:r>
    </w:p>
    <w:p>
      <w:pPr>
        <w:spacing w:after="0" w:line="125"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increase in Restructuring revenue in the first quarter of 2010 was principally driven by an increase in success fees, with such increase more than offsetting a decline in retainer fees earned. The decline in retainer fees is related to a lower number of active deals in the first quarter of 2010 versus that in the 2009 period, consistent with the industry trend previously described. Notable assignments completed in the first quarter of 2010 included JSC Alliance Bank, Evraz Group, Highstreet, R.H. Donnelly and Tropicana Entertainment.</w:t>
      </w:r>
    </w:p>
    <w:p>
      <w:pPr>
        <w:spacing w:after="0" w:line="9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increase in Capital Markets and Other Advisory net revenue reflected increases in the value and the number of fund closings by our Private Fund Advisory Group, Registered Direct Offerings and private placements by our Capital Markets Group. Transactions in the first quarter of 2010 included Abenix, Amonix, Capstone Turbine, GP Investimentos, Gores III and Sterling Group III.</w:t>
      </w:r>
    </w:p>
    <w:p>
      <w:pPr>
        <w:spacing w:after="0" w:line="119" w:lineRule="exact"/>
        <w:rPr>
          <w:sz w:val="20"/>
          <w:szCs w:val="20"/>
          <w:color w:val="auto"/>
        </w:rPr>
      </w:pPr>
    </w:p>
    <w:p>
      <w:pPr>
        <w:ind w:right="580" w:firstLine="456"/>
        <w:spacing w:after="0" w:line="258" w:lineRule="auto"/>
        <w:rPr>
          <w:sz w:val="20"/>
          <w:szCs w:val="20"/>
          <w:color w:val="auto"/>
        </w:rPr>
      </w:pPr>
      <w:r>
        <w:rPr>
          <w:rFonts w:ascii="Times New Roman" w:cs="Times New Roman" w:eastAsia="Times New Roman" w:hAnsi="Times New Roman"/>
          <w:sz w:val="18"/>
          <w:szCs w:val="18"/>
          <w:color w:val="auto"/>
        </w:rPr>
        <w:t>Operating expenses increased $60 million, or 34%, as compared to the 2009 period. Excluding the impact of the portion of the 2010 special item attributable to the Financial Advisory segment, operating expenses increased $41 million, or 23%. Contributing to the increase was a higher provision for discretionary bonuses related to the increase in operating revenue, and higher costs related to travel and other business development expenses, including recruiting and technology expenses.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operating income was $31 million, an increase of $45 million, as compared to the 2009 period, and represented 11% of segment net revenues in the 2010 period. Excluding the impact of the portion of the 2010 special item attributable to the Financial Advisory segment, operating income in the 2010 period increased $65 million, and represented 19% of segment net revenues, as compared to (9)% in the 2009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62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r>
      <w:tr>
        <w:trPr>
          <w:trHeight w:val="165"/>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4"/>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millions)</w:t>
            </w:r>
          </w:p>
        </w:tc>
        <w:tc>
          <w:tcPr>
            <w:tcW w:w="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Equities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31,601</w:t>
            </w:r>
          </w:p>
        </w:tc>
        <w:tc>
          <w:tcPr>
            <w:tcW w:w="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Equities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 Equities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112,635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106,603</w:t>
            </w:r>
          </w:p>
        </w:tc>
        <w:tc>
          <w:tcPr>
            <w:tcW w:w="20" w:type="dxa"/>
            <w:vAlign w:val="bottom"/>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European and International Fixed Income</w:t>
            </w:r>
          </w:p>
        </w:tc>
        <w:tc>
          <w:tcPr>
            <w:tcW w:w="3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20" w:type="dxa"/>
            <w:vAlign w:val="bottom"/>
          </w:tcPr>
          <w:p>
            <w:pPr>
              <w:spacing w:after="0"/>
              <w:rPr>
                <w:sz w:val="19"/>
                <w:szCs w:val="19"/>
                <w:color w:val="auto"/>
              </w:rPr>
            </w:pPr>
          </w:p>
        </w:tc>
      </w:tr>
      <w:tr>
        <w:trPr>
          <w:trHeight w:val="21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Fixed Income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 Fixed Income</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Fixed Income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20" w:type="dxa"/>
            <w:vAlign w:val="bottom"/>
          </w:tcPr>
          <w:p>
            <w:pPr>
              <w:spacing w:after="0"/>
              <w:rPr>
                <w:sz w:val="18"/>
                <w:szCs w:val="18"/>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3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 w:type="dxa"/>
            <w:vAlign w:val="bottom"/>
          </w:tcPr>
          <w:p>
            <w:pPr>
              <w:spacing w:after="0"/>
              <w:rPr>
                <w:sz w:val="19"/>
                <w:szCs w:val="19"/>
                <w:color w:val="auto"/>
              </w:rPr>
            </w:pPr>
          </w:p>
        </w:tc>
      </w:tr>
      <w:tr>
        <w:trPr>
          <w:trHeight w:val="21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Management</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AUM</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134,972</w:t>
            </w:r>
          </w:p>
        </w:tc>
        <w:tc>
          <w:tcPr>
            <w:tcW w:w="4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129,543</w:t>
            </w:r>
          </w:p>
        </w:tc>
        <w:tc>
          <w:tcPr>
            <w:tcW w:w="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2010 and 2009 periods is set forth below. Average AUM is based on an average of quarterly ending balances for the respective periods.</w:t>
      </w:r>
    </w:p>
    <w:p>
      <w:pPr>
        <w:spacing w:after="0" w:line="104" w:lineRule="exact"/>
        <w:rPr>
          <w:sz w:val="20"/>
          <w:szCs w:val="20"/>
          <w:color w:val="auto"/>
        </w:rPr>
      </w:pPr>
    </w:p>
    <w:p>
      <w:pPr>
        <w:jc w:val="center"/>
        <w:ind w:left="9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wp:posOffset>
            </wp:positionV>
            <wp:extent cx="1020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020"/>
        <w:spacing w:after="0"/>
        <w:tabs>
          <w:tab w:leader="none" w:pos="10960" w:val="left"/>
        </w:tabs>
        <w:rPr>
          <w:sz w:val="20"/>
          <w:szCs w:val="20"/>
          <w:color w:val="auto"/>
        </w:rPr>
      </w:pPr>
      <w:r>
        <w:rPr>
          <w:rFonts w:ascii="Times New Roman" w:cs="Times New Roman" w:eastAsia="Times New Roman" w:hAnsi="Times New Roman"/>
          <w:sz w:val="14"/>
          <w:szCs w:val="14"/>
          <w:b w:val="1"/>
          <w:bCs w:val="1"/>
          <w:color w:val="auto"/>
        </w:rPr>
        <w:t>2010</w:t>
      </w:r>
      <w:r>
        <w:rPr>
          <w:sz w:val="20"/>
          <w:szCs w:val="20"/>
          <w:color w:val="auto"/>
        </w:rPr>
        <w:tab/>
      </w:r>
      <w:r>
        <w:rPr>
          <w:rFonts w:ascii="Times New Roman" w:cs="Times New Roman" w:eastAsia="Times New Roman" w:hAnsi="Times New Roman"/>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-6985</wp:posOffset>
            </wp:positionV>
            <wp:extent cx="10204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220"/>
        <w:spacing w:after="0" w:line="223" w:lineRule="auto"/>
        <w:rPr>
          <w:sz w:val="20"/>
          <w:szCs w:val="20"/>
          <w:color w:val="auto"/>
        </w:rPr>
      </w:pPr>
      <w:r>
        <w:rPr>
          <w:rFonts w:ascii="Times New Roman" w:cs="Times New Roman" w:eastAsia="Times New Roman" w:hAnsi="Times New Roman"/>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AUM</w:t>
            </w:r>
          </w:p>
        </w:tc>
        <w:tc>
          <w:tcPr>
            <w:tcW w:w="5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132,256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$ 86,097</w:t>
            </w: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Total AUM at March 31, 2010 increased $5 billion, or 4%, as compared to that at December 31, 2009. Average AUM for the period was 54% higher than the average AUM for the 2009 period, which was principally the result of market appreciation (which was generally consistent with the industry as a whole) for the last nine months of 2009 and, to a lesser extent, the first three months of 2010, and net inflows occurring over such twelve month period. International, Global and U.S. equities represented 23%, 47% and 13% of total AUM at March 31, 2010, respectively, versus 25%, 45% and 12% of total AUM at December 31, 2009, respectively.</w:t>
      </w:r>
    </w:p>
    <w:p>
      <w:pPr>
        <w:spacing w:after="0" w:line="1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2010 and December 31, 2009, approximately 89% of our AUM was managed on behalf of institutional clients, including corporations, labor unions, public pension funds, insurance companies and banks, and through sub-advisory relationships, mutual fund sponsors, broker-dealers and registered advisors and, as of both such dates, 11% of our AUM was managed on behalf of individual client relationships, which are principally with family offices and high-net worth individuals.</w:t>
      </w:r>
    </w:p>
    <w:p>
      <w:pPr>
        <w:spacing w:after="0" w:line="12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2010, AUM denominated in foreign currencies represented approximately 43% of our total AUM, as compared to 45% at December 31, 2009. Foreign denominated AUM declines in value with the strengthening of the U.S. dollar and increases in value as the U.S. dollar weakens.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for the 2010 and 2009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116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20" w:type="dxa"/>
            <w:vAlign w:val="bottom"/>
          </w:tcPr>
          <w:p>
            <w:pPr>
              <w:spacing w:after="0"/>
              <w:rPr>
                <w:sz w:val="12"/>
                <w:szCs w:val="12"/>
                <w:color w:val="auto"/>
              </w:rPr>
            </w:pPr>
          </w:p>
        </w:tc>
        <w:tc>
          <w:tcPr>
            <w:tcW w:w="920" w:type="dxa"/>
            <w:vAlign w:val="bottom"/>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20" w:type="dxa"/>
            <w:vAlign w:val="bottom"/>
          </w:tcPr>
          <w:p>
            <w:pPr>
              <w:spacing w:after="0"/>
              <w:rPr>
                <w:sz w:val="12"/>
                <w:szCs w:val="12"/>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AUM - Beginning of Period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$129,543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$ 91,109</w:t>
            </w:r>
          </w:p>
        </w:tc>
        <w:tc>
          <w:tcPr>
            <w:tcW w:w="120" w:type="dxa"/>
            <w:vAlign w:val="bottom"/>
            <w:shd w:val="clear" w:color="auto" w:fill="CCEEFF"/>
          </w:tcPr>
          <w:p>
            <w:pPr>
              <w:spacing w:after="0"/>
              <w:rPr>
                <w:sz w:val="18"/>
                <w:szCs w:val="18"/>
                <w:color w:val="auto"/>
              </w:rPr>
            </w:pPr>
          </w:p>
        </w:tc>
      </w:tr>
      <w:tr>
        <w:trPr>
          <w:trHeight w:val="216"/>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Flows(a)</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2,967</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(2,447)</w:t>
            </w:r>
          </w:p>
        </w:tc>
      </w:tr>
      <w:tr>
        <w:trPr>
          <w:trHeight w:val="216"/>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and Foreign Exchange Appreciation (Depreciation)</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(7,578)</w:t>
            </w:r>
          </w:p>
        </w:tc>
      </w:tr>
      <w:tr>
        <w:trPr>
          <w:trHeight w:val="223"/>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AUM -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134,972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$ 81,084</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inflows of $9,006 and $3,547 and outflows of $6,039 and $5,994 for the 2010 and 2009 periods, respectively.</w:t>
      </w:r>
    </w:p>
    <w:p>
      <w:pPr>
        <w:spacing w:after="0" w:line="158"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Inflows in the first quarter of 2010 were in a broad range of products, with emphasis on Emerging Markets and Global Thematic Equity products, due to increased investments in existing accounts as well as new accounts gained. Outflows in the period occurred most significantly in European Fixed Income and European and U.K. Equity products.</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of April 23, 2010, AUM was $138.2 billion, a $3.2 billion increase since March 31, 2010. The change in AUM was due to market appreciation of $2.0 billion and net inflows of $1.2 billion. Market appreciation was approximately 1% of AUM since March 31, 2010, which was generally consistent with the increase in global market indices during that period.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Asset Management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GAAP</w:t>
            </w:r>
          </w:p>
        </w:tc>
        <w:tc>
          <w:tcPr>
            <w:tcW w:w="380" w:type="dxa"/>
            <w:vAlign w:val="bottom"/>
          </w:tcPr>
          <w:p>
            <w:pPr>
              <w:spacing w:after="0"/>
              <w:rPr>
                <w:sz w:val="12"/>
                <w:szCs w:val="12"/>
                <w:color w:val="auto"/>
              </w:rPr>
            </w:pPr>
          </w:p>
        </w:tc>
        <w:tc>
          <w:tcPr>
            <w:tcW w:w="940" w:type="dxa"/>
            <w:vAlign w:val="bottom"/>
            <w:gridSpan w:val="3"/>
          </w:tcPr>
          <w:p>
            <w:pPr>
              <w:jc w:val="center"/>
              <w:ind w:right="29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74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80" w:type="dxa"/>
            <w:vAlign w:val="bottom"/>
          </w:tcPr>
          <w:p>
            <w:pPr>
              <w:spacing w:after="0"/>
              <w:rPr>
                <w:sz w:val="14"/>
                <w:szCs w:val="14"/>
                <w:color w:val="auto"/>
              </w:rPr>
            </w:pPr>
          </w:p>
        </w:tc>
        <w:tc>
          <w:tcPr>
            <w:tcW w:w="940" w:type="dxa"/>
            <w:vAlign w:val="bottom"/>
            <w:gridSpan w:val="3"/>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6"/>
              </w:rPr>
              <w:t>Item (a)</w:t>
            </w:r>
          </w:p>
        </w:tc>
        <w:tc>
          <w:tcPr>
            <w:tcW w:w="3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Special Item (b)</w:t>
            </w:r>
          </w:p>
        </w:tc>
        <w:tc>
          <w:tcPr>
            <w:tcW w:w="7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4"/>
          </w:tcPr>
          <w:p>
            <w:pPr>
              <w:jc w:val="right"/>
              <w:ind w:right="538"/>
              <w:spacing w:after="0" w:line="155" w:lineRule="exact"/>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18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161,796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161,796</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Sub-total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183,471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 Revenue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187,753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(c)</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129,440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58,313</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8"/>
              </w:rPr>
              <w:t>(2,902)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61,215</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w:t>
            </w: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4640" w:type="dxa"/>
            <w:vAlign w:val="bottom"/>
            <w:gridSpan w:val="3"/>
          </w:tcPr>
          <w:p>
            <w:pPr>
              <w:jc w:val="right"/>
              <w:ind w:right="1840"/>
              <w:spacing w:after="0"/>
              <w:rPr>
                <w:sz w:val="20"/>
                <w:szCs w:val="20"/>
                <w:color w:val="auto"/>
              </w:rPr>
            </w:pPr>
            <w:r>
              <w:rPr>
                <w:rFonts w:ascii="Times New Roman" w:cs="Times New Roman" w:eastAsia="Times New Roman" w:hAnsi="Times New Roman"/>
                <w:sz w:val="18"/>
                <w:szCs w:val="18"/>
                <w:color w:val="auto"/>
              </w:rPr>
              <w:t>31%</w:t>
            </w: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4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10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Headcount(d):</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Managing Directors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r>
      <w:tr>
        <w:trPr>
          <w:trHeight w:val="216"/>
        </w:trPr>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Employees: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r>
      <w:tr>
        <w:trPr>
          <w:trHeight w:val="216"/>
        </w:trPr>
        <w:tc>
          <w:tcPr>
            <w:tcW w:w="10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All other professionals and support staff functions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r>
      <w:tr>
        <w:trPr>
          <w:trHeight w:val="223"/>
        </w:trPr>
        <w:tc>
          <w:tcPr>
            <w:tcW w:w="10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9"/>
                <w:szCs w:val="19"/>
                <w:color w:val="auto"/>
              </w:rPr>
            </w:pPr>
          </w:p>
        </w:tc>
      </w:tr>
      <w:tr>
        <w:trPr>
          <w:trHeight w:val="20"/>
        </w:trPr>
        <w:tc>
          <w:tcPr>
            <w:tcW w:w="10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57"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special item attributable to the Asset Management segment (see Note 19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support costs (including compensation and benefits expense and other operating expenses related thereto).</w:t>
      </w:r>
    </w:p>
    <w:p>
      <w:pPr>
        <w:spacing w:after="0" w:line="9" w:lineRule="exact"/>
        <w:rPr>
          <w:rFonts w:ascii="Times New Roman" w:cs="Times New Roman" w:eastAsia="Times New Roman" w:hAnsi="Times New Roman"/>
          <w:sz w:val="18"/>
          <w:szCs w:val="18"/>
          <w:color w:val="auto"/>
        </w:rPr>
      </w:pPr>
    </w:p>
    <w:p>
      <w:pPr>
        <w:ind w:left="460" w:right="2540" w:hanging="452"/>
        <w:spacing w:after="0" w:line="414" w:lineRule="auto"/>
        <w:tabs>
          <w:tab w:leader="none" w:pos="4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00" w:type="dxa"/>
            <w:vAlign w:val="bottom"/>
            <w:gridSpan w:val="5"/>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5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5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2010</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20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26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7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2010 period. Lazard management believes that comparisons between periods are most meaningful after excluding the impact of such item.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2010 versus March 31, 2009</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Asset Management net revenue increased $86 million, or 85%, as compared to the 2009 period. Management fees increased $68 million, or 73%, as compared to 2009, driven by a 54% increase in average AUM. This increase was due largely to the increase in equity market indices, net inflows, and the impact of a change in the mix of investment products. Incentive fees increased $8 million, or 154%, as compared to the 2009 period, relating to traditional long-only investment strategies. Other revenue increased $10 million, as compared to the 2009 period, principally due to losses in 2009 which did not recur in 2010, and increased commission income on the 2010 period.</w:t>
      </w:r>
    </w:p>
    <w:p>
      <w:pPr>
        <w:spacing w:after="0" w:line="12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$39 million, or 43%, as compared to the 2009 period. When excluding the 2010 special item, operating expenses increased $36 million, or 40%, principally due to a higher provision for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discretionary bonuses and profit pools related to the increase in operating revenue, as well as higher fees for outsourced services related to higher AUM and an increase in the amortization of intangible assets relating to the Edgewater acquisition.</w:t>
      </w:r>
    </w:p>
    <w:p>
      <w:pPr>
        <w:spacing w:after="0" w:line="10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Asset Management operating income was $58 million, an increase of $47 million, as compared to $11 million in the 2009 period, and represented 31% of segment net revenue. When excluding the impact of the 2010 special item, operating income increased $50 million, and represented 33% of segment net revenue as compared to 11% for the 2009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results of the Corporate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U.S. GAAP</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60" w:type="dxa"/>
            <w:vAlign w:val="bottom"/>
          </w:tcPr>
          <w:p>
            <w:pPr>
              <w:spacing w:after="0"/>
              <w:rPr>
                <w:sz w:val="12"/>
                <w:szCs w:val="12"/>
                <w:color w:val="auto"/>
              </w:rPr>
            </w:pPr>
          </w:p>
        </w:tc>
        <w:tc>
          <w:tcPr>
            <w:tcW w:w="92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160" w:type="dxa"/>
            <w:vAlign w:val="bottom"/>
          </w:tcPr>
          <w:p>
            <w:pPr>
              <w:spacing w:after="0"/>
              <w:rPr>
                <w:sz w:val="12"/>
                <w:szCs w:val="12"/>
                <w:color w:val="auto"/>
              </w:rPr>
            </w:pPr>
          </w:p>
        </w:tc>
        <w:tc>
          <w:tcPr>
            <w:tcW w:w="92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Items (a)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Items (b)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 (a)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Item (b)</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000" w:type="dxa"/>
            <w:vAlign w:val="bottom"/>
            <w:gridSpan w:val="4"/>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5,289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5,289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(25,773)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(25,773)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(27,935)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4"/>
              </w:rPr>
              <w:t>(27,935)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(20,484)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(21,343)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(18,302)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(18,302)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(16,633)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105,255</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$ 89,495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15,760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70,714</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$ 62,550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(123,557)</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(89,495)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(34,062)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(87,347)</w:t>
            </w:r>
          </w:p>
        </w:tc>
        <w:tc>
          <w:tcPr>
            <w:tcW w:w="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(62,550)</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(24,797)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640" w:type="dxa"/>
            <w:vAlign w:val="bottom"/>
            <w:tcBorders>
              <w:top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 (c):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Managing Directors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Employees: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80" w:hanging="452"/>
        <w:spacing w:after="0" w:line="257"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and 2009 special items attributable to the Corporate segment (see Note 19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headcount related to support functions.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79" w:lineRule="exact"/>
        <w:rPr>
          <w:sz w:val="20"/>
          <w:szCs w:val="20"/>
          <w:color w:val="auto"/>
        </w:rPr>
      </w:pPr>
    </w:p>
    <w:p>
      <w:pPr>
        <w:ind w:right="4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As reflected in the table of operating results of the Corporate segment above, the 2010 and 2009 special items had a significant impact on the segment’s reported operating results in such periods. Lazard management believes that comparisons between periods are most meaningful after excluding the impact of such items.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March 31, 2010 versus March 31, 2009</w:t>
      </w:r>
    </w:p>
    <w:p>
      <w:pPr>
        <w:spacing w:after="0" w:line="7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decreased $1 million, or 4%, as compared to the 2009 period. Other revenue declined $3 million, or 54%, as compared to the 2009 period, principally due to lower investment income.</w:t>
      </w:r>
    </w:p>
    <w:p>
      <w:pPr>
        <w:spacing w:after="0" w:line="10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increased $35 million, $27 million of which related to the net impact of the 2010 and 2009 special items attributable to the Corporate segment. When excluding the impact of the 2010 and 2009 special items, operating expenses increased $8 million, principally relating to a higher provision for discretionary bonuses.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79"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9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Lazard Group traditionally pays a significant portion of its incentive compensation during the first four months of each calendar year with respect to the prior year’s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Noncash charges (a)</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5"/>
              </w:rPr>
              <w:t>(346.7)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w w:val="95"/>
              </w:rPr>
              <w:t>(226.0)</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 (c)</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(d)</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w w:val="95"/>
              </w:rPr>
              <w:t>(208.4)</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1"/>
              </w:rPr>
              <w:t>(111.4)</w:t>
            </w:r>
          </w:p>
        </w:tc>
        <w:tc>
          <w:tcPr>
            <w:tcW w:w="0" w:type="dxa"/>
            <w:vAlign w:val="bottom"/>
          </w:tcPr>
          <w:p>
            <w:pPr>
              <w:spacing w:after="0"/>
              <w:rPr>
                <w:sz w:val="1"/>
                <w:szCs w:val="1"/>
                <w:color w:val="auto"/>
              </w:rPr>
            </w:pPr>
          </w:p>
        </w:tc>
      </w:tr>
      <w:tr>
        <w:trPr>
          <w:trHeight w:val="217"/>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3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795.9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Consists of the following:</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Amortization of deferred expenses, stock units and interest rate hedge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business acquisitions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80" w:type="dxa"/>
            <w:vAlign w:val="bottom"/>
            <w:vMerge w:val="restart"/>
          </w:tcPr>
          <w:p>
            <w:pPr>
              <w:jc w:val="right"/>
              <w:ind w:right="347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 w:hanging="452"/>
        <w:spacing w:after="0" w:line="252"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 relating to increases and decreases between periods in both the “deposits and other payables” and “receivables-net” captions on the statements of cash flows and relates primarily to LFB. Included within the “receivables-net” caption on the statements of cash flows are amounts related to LFB’s short-term deposits in the inter-bank market and with the Banque de France, which represent substantially all of the separately identified amount recorded as “receivables-net: banks” on the Company’s statements of financial condition. The level of these deposits may be driven by the level of LFB customer and bank-related interest-bearing time and demand deposits (which can fluctuate significantly on a daily basis) and by changes in asset allocation.</w:t>
      </w:r>
    </w:p>
    <w:p>
      <w:pPr>
        <w:spacing w:after="0" w:line="4"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ind w:left="460" w:right="340" w:hanging="452"/>
        <w:spacing w:after="0" w:line="261"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distributions to members and noncontrolling interest holders, settlements of vested RSUs, repurchases of shares of Class A common stock and activity related to borrowings.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agreements and equity offerings.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12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2010, Lazard had $919 million of cash and liquid securities, including $147 million of U.S. government debt and agencies securities and $80 million of investments in marketable equity securities and public and private asset management funds. We maintain lines of credit in excess of anticipated liquidity requirements. As of March 31, 2010, Lazard had approximately $258 million in unused lines of credit available to it, including a $150 million senior revolving credit facility with a group of lenders that matures in May 2010 (the “Credit Facility”) (see “—Financing” below) and an aggregate of $86 million of unused lines of credit available to LFB and Edgewater. In addition, LFB has access to the Eurosystem Covered Bond Purchase Program of the Banque de France.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On April 29, 2010, Lazard Group entered into a $150 million, three-year revolving credit facility (the “2010 Credit Facility”) pursuant to an agreement with the banks parties thereto and Citibank, N.A., as administrative agent. The 2010 Credit Facility replaces the prior Credit Facility, which was terminated as a condition to effectiveness of the 2010 Credit Facility.</w:t>
      </w:r>
    </w:p>
    <w:p>
      <w:pPr>
        <w:spacing w:after="0" w:line="11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2010 Credit Facility contains customary terms and conditions substantially similar to the prior Credit Facility. Such terms and conditions include limitations on consolidations, mergers, indebtedness and certain payments. Lazard Group’s obligations under the 2010 Credit Facility may be accelerated upon customary events of default, including non-payment of principal or interest, breaches of covenants, cross-defaults to other material debt, a change in control and specified bankruptcy events.</w:t>
      </w:r>
    </w:p>
    <w:p>
      <w:pPr>
        <w:spacing w:after="0" w:line="12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2010 Credit Facility includes financial covenants that require that Lazard Group not permit (i) its maximum consolidated leverage ratio (as defined in the 2010 Credit Facility) to be greater than 4.00 to 1.00 or (ii) its minimum consolidated interest coverage ratio (as defined in the 2010 Credit Facility) to be less than 3.00 to 1.00.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March 31, 2010 and December 31, 2009.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5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 in millions)</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7.125%</w:t>
            </w:r>
          </w:p>
        </w:tc>
        <w:tc>
          <w:tcPr>
            <w:tcW w:w="60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2015</w:t>
            </w: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538.5</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6.85%</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3.25%(a)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and Subordinated Debt</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1,236.9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1,236.9</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460" w:right="220" w:hanging="452"/>
        <w:spacing w:after="0" w:line="26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11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Lazard has not drawn on its Credit Facility since June 30, 2006. We believe that our cash flows from operating activities, along with the use of our credit lines as needed, should be sufficient for us to fund our current obligations for the next 12 months and beyond.</w:t>
      </w:r>
    </w:p>
    <w:p>
      <w:pPr>
        <w:spacing w:after="0" w:line="119"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2010 Lazard Group was in compliance with such ratios, with its Consolidated Leverage Ratio being 2.11 to 1.00 and its Consolidated Interest Coverage Ratio being 6.93 to 1.00. In any event, no amounts were outstanding under the Credit Facility as of March 31, 2010.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Lazard Group’s senior debt is currently rated BBB– (stable outlook) by both Standard &amp; Poor’s and Fitch Ratings and Bal by Moody’s Investors Service.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2010, Moody’s announced that they had placed the ratings of Lazard Group on review for possible downgrade.</w:t>
      </w:r>
    </w:p>
    <w:p>
      <w:pPr>
        <w:spacing w:after="0" w:line="145" w:lineRule="exact"/>
        <w:rPr>
          <w:sz w:val="20"/>
          <w:szCs w:val="20"/>
          <w:color w:val="auto"/>
        </w:rPr>
      </w:pPr>
    </w:p>
    <w:p>
      <w:pPr>
        <w:ind w:right="1280" w:firstLine="456"/>
        <w:spacing w:after="0" w:line="375" w:lineRule="auto"/>
        <w:rPr>
          <w:sz w:val="20"/>
          <w:szCs w:val="20"/>
          <w:color w:val="auto"/>
        </w:rPr>
      </w:pPr>
      <w:r>
        <w:rPr>
          <w:rFonts w:ascii="Times New Roman" w:cs="Times New Roman" w:eastAsia="Times New Roman" w:hAnsi="Times New Roman"/>
          <w:sz w:val="18"/>
          <w:szCs w:val="18"/>
          <w:color w:val="auto"/>
        </w:rPr>
        <w:t xml:space="preserve">See Note 10 of Notes to Condensed Consolidated Financial Statements for additional information regarding senior and subordinated debt. </w:t>
      </w:r>
      <w:r>
        <w:rPr>
          <w:rFonts w:ascii="Times New Roman" w:cs="Times New Roman" w:eastAsia="Times New Roman" w:hAnsi="Times New Roman"/>
          <w:sz w:val="18"/>
          <w:szCs w:val="18"/>
          <w:b w:val="1"/>
          <w:bCs w:val="1"/>
          <w:i w:val="1"/>
          <w:iCs w:val="1"/>
          <w:color w:val="auto"/>
        </w:rPr>
        <w:t>Members’ Equity</w:t>
      </w:r>
    </w:p>
    <w:p>
      <w:pPr>
        <w:spacing w:after="0" w:line="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At March 31, 2010, total members’ equity was $330 million as compared to $283 million at December 31, 2009, including $131 million and $128 million of noncontrolling interests on the respective dates. The increase in members’ equity of $47 million in the three month period ended March 31, 2010 was principally due to (i) amortization of RSUs amounting to $151 million, partially offset by (i) a net loss of $40 million, (ii) $32 million for withholding taxes related to the delivery of Class A common stock in connection with the settlement of vested RSUs, (iii) decreases in AOCI (including noncontrolling interests’ portion thereof) of $19 million, and (iv) distributions to members and noncontrolling interests of $14 million. The decreases in AOCI described above are due primarily to (i) net negative foreign currency translation adjustments of $27 million, partially offset by net mark-ups and adjustments for items reclassified to earnings of $7 million related to securities designated as “available-for-sale”.</w:t>
      </w:r>
    </w:p>
    <w:p>
      <w:pPr>
        <w:spacing w:after="0" w:line="12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three month period ended March 31, 2010 (other than shares withheld to cover estimated income taxes under the Company’s compensation plans) the Company repurchased 25,650 shares of Class A common stock, at an aggregate cost of $1 million. Accordingly, at March 31, 2010, $199 million of the share purchase authorization remained available for future repurchases.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March 31,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Contractual Obligations - Payments Due by Period</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99"/>
              <w:spacing w:after="0" w:line="125"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2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10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5 Years</w:t>
            </w: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1"/>
              </w:rPr>
              <w:t>($ in thousands)</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and Subordinated Debt (including interest) (a)</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1,761,277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1,357,252</w:t>
            </w:r>
          </w:p>
        </w:tc>
        <w:tc>
          <w:tcPr>
            <w:tcW w:w="2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$94,546 of sublease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178,536</w:t>
            </w:r>
          </w:p>
        </w:tc>
        <w:tc>
          <w:tcPr>
            <w:tcW w:w="2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 Merger Cash Consideration (b)</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 (including 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Funding Commitments (c)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2,292,399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358,989</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94"/>
              </w:rPr>
              <w:t>$225,054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$1,549,362</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of Notes to Condensed Consolidated Financial Statements.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of Notes to Condensed Consolidated Financial Statements.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of Notes to Condensed Consolidated Financial Statements.</w:t>
      </w:r>
    </w:p>
    <w:p>
      <w:pPr>
        <w:spacing w:after="0" w:line="9"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28"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consolidated financial statements.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25" w:lineRule="exact"/>
        <w:rPr>
          <w:sz w:val="20"/>
          <w:szCs w:val="20"/>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8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12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2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At March 31, 2010 and December 31, 2009, the Company had receivables past due of approximately $20 and $14 million, respectively, and its allowance for doubtful accounts was $17 and $12 million, respectively.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9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 principally of debt securities, equities, interests in LAM alternative asset management funds and other private equity investments.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2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06" w:lineRule="exact"/>
        <w:rPr>
          <w:sz w:val="20"/>
          <w:szCs w:val="20"/>
          <w:color w:val="auto"/>
        </w:rPr>
      </w:pPr>
    </w:p>
    <w:p>
      <w:pPr>
        <w:jc w:val="both"/>
        <w:ind w:firstLine="456"/>
        <w:spacing w:after="0" w:line="287" w:lineRule="auto"/>
        <w:rPr>
          <w:sz w:val="20"/>
          <w:szCs w:val="20"/>
          <w:color w:val="auto"/>
        </w:rPr>
      </w:pPr>
      <w:r>
        <w:rPr>
          <w:rFonts w:ascii="Times New Roman" w:cs="Times New Roman" w:eastAsia="Times New Roman" w:hAnsi="Times New Roman"/>
          <w:sz w:val="16"/>
          <w:szCs w:val="16"/>
          <w:color w:val="auto"/>
        </w:rPr>
        <w:t>At March 31, 2010, net investments (representing total investments, net of securities sold, not yet purchased of $3 million), totaled $720 million, or 25% of total assets. Included in this amount is $423 million of debt securities, representing 59% of aggregate investments that primarily consist of fixed and floating rate European corporate bonds, U.S. Government and agencies and UK and French government debt securities, all of which subject Lazard to market risk.</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Approximately 48%, 20%, 11%, 12% and 9% of such debt securities are invested in the government, financial, consumer, industrial and other sectors, respectively. At March 31, 2010, approximately 89% of the corporate bonds held investment grade ratings, and approximately $8 million of pre-tax unrealized losses are included in AOCI related to such portfolio.</w:t>
      </w:r>
    </w:p>
    <w:p>
      <w:pPr>
        <w:spacing w:after="0" w:line="1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Also included in the $720 million of net investments were $77 million, or 11%, of investments in equities (net of securities sold, not yet purchased) all of which subject the Company to market risk. We employ hedging strategies to reduce the market risk and, in turn, the volatility to earnings. Approximately 59% of such amount represents the Company’s investment in marketable equity securities to seed asset management products and was invested 26%, 24%, 12% and 38% in the consumer, financial, industrial and other sectors, respectively. Asset Management fund investments represent the remaining 41% of total equities. The Company’s asset management fund investments are diversified and may incorporate particular strategies; however, there are no investments in funds with single sector specific strategies.</w:t>
      </w:r>
    </w:p>
    <w:p>
      <w:pPr>
        <w:spacing w:after="0" w:line="12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equity securities above, at March 31, 2010 Lazard held $52 million, or 7%,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owned by Lazard of $102 million represent approximately 14% of net investments and 4% of total assets at March 31,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26"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remaining $66 million, or 9%, of net investments at March 31,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8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At December 31, 2009, net investments (net of securities sold, not yet purchased of $5 million), totaled $803 million, or 25%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Private equity investments owned by Lazard of $103 million represent approximately 13% of aggregate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123"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8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decrease in the net investments at March 31, 2010 compared to December 31, 2009 of $82 million relates to the disposition of the Company’s investment in Sapphire Industrials Corp. in January 2010 (see Note 4 of Notes to Condensed Consolidated Financial Statements) and sales and maturities in the corporate bond portfolio.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January 1, 2008, the Company adopted the required fair value measurements accounting guidance issued by the FASB, which, among other things, defines fair value, establishes a framework for measuring fair value and enhances disclosure requirements about fair value measurements with respect to its financial assets and financial liabilities. Pursuant to such guidance, Lazard categorizes its investments and certain other assets and liabilities recorded at fair value into a three-level fair value hierarchy as follows:</w:t>
      </w:r>
    </w:p>
    <w:p>
      <w:pPr>
        <w:spacing w:after="0" w:line="42"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prices for identical assets or liabilities in an active market that Lazard has the ability to access.</w:t>
      </w:r>
    </w:p>
    <w:p>
      <w:pPr>
        <w:spacing w:after="0" w:line="25" w:lineRule="exact"/>
        <w:rPr>
          <w:sz w:val="20"/>
          <w:szCs w:val="20"/>
          <w:color w:val="auto"/>
        </w:rPr>
      </w:pPr>
    </w:p>
    <w:p>
      <w:pPr>
        <w:ind w:left="460" w:right="120" w:firstLine="438"/>
        <w:spacing w:after="0" w:line="262" w:lineRule="auto"/>
        <w:rPr>
          <w:sz w:val="20"/>
          <w:szCs w:val="20"/>
          <w:color w:val="auto"/>
        </w:rPr>
      </w:pPr>
      <w:r>
        <w:rPr>
          <w:rFonts w:ascii="Times New Roman" w:cs="Times New Roman" w:eastAsia="Times New Roman" w:hAnsi="Times New Roman"/>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8" w:lineRule="exact"/>
        <w:rPr>
          <w:sz w:val="20"/>
          <w:szCs w:val="20"/>
          <w:color w:val="auto"/>
        </w:rPr>
      </w:pPr>
    </w:p>
    <w:p>
      <w:pPr>
        <w:ind w:left="460" w:right="20" w:firstLine="438"/>
        <w:spacing w:after="0" w:line="301" w:lineRule="auto"/>
        <w:rPr>
          <w:sz w:val="20"/>
          <w:szCs w:val="20"/>
          <w:color w:val="auto"/>
        </w:rPr>
      </w:pPr>
      <w:r>
        <w:rPr>
          <w:rFonts w:ascii="Times New Roman" w:cs="Times New Roman" w:eastAsia="Times New Roman" w:hAnsi="Times New Roman"/>
          <w:sz w:val="16"/>
          <w:szCs w:val="16"/>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9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Principally all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our interests in LAM alternative asset management funds is classified as Level 2 and is based on information provided by external pricing services.</w:t>
      </w:r>
    </w:p>
    <w:p>
      <w:pPr>
        <w:spacing w:after="0" w:line="10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our private equity investments is classified as Level 3 and is based on financial statements provided by fund managers, appraisals and internal valuations.</w:t>
      </w:r>
    </w:p>
    <w:p>
      <w:pPr>
        <w:spacing w:after="0" w:line="10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8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8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VIEs</w:t>
      </w:r>
    </w:p>
    <w:p>
      <w:pPr>
        <w:spacing w:after="0" w:line="8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38" w:lineRule="exact"/>
        <w:rPr>
          <w:sz w:val="20"/>
          <w:szCs w:val="20"/>
          <w:color w:val="auto"/>
        </w:rPr>
      </w:pPr>
    </w:p>
    <w:p>
      <w:pPr>
        <w:ind w:left="1260" w:right="60" w:hanging="455"/>
        <w:spacing w:after="0" w:line="258"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1" w:lineRule="exact"/>
        <w:rPr>
          <w:rFonts w:ascii="Times New Roman" w:cs="Times New Roman" w:eastAsia="Times New Roman" w:hAnsi="Times New Roman"/>
          <w:sz w:val="18"/>
          <w:szCs w:val="18"/>
          <w:color w:val="auto"/>
        </w:rPr>
      </w:pPr>
    </w:p>
    <w:p>
      <w:pPr>
        <w:ind w:left="1260" w:right="560" w:hanging="455"/>
        <w:spacing w:after="0" w:line="275"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79"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and Credit Risks</w:t>
      </w:r>
    </w:p>
    <w:p>
      <w:pPr>
        <w:spacing w:after="0" w:line="8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06"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At March 31, 2010 and December 31, 2009, derivative contracts related primarily to interest rate swaps, equity and foreign currency exchange rate contracts, and are recorded at fair value. Derivative assets amounted to $1 million at both March 31, 2010 and December 31, 2009, with derivative liabilities amounting to $18 million and $17 million at such respective dates.</w:t>
      </w:r>
    </w:p>
    <w:p>
      <w:pPr>
        <w:spacing w:after="0" w:line="11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period ended March 31, 2010:</w:t>
      </w:r>
    </w:p>
    <w:p>
      <w:pPr>
        <w:spacing w:after="0" w:line="42" w:lineRule="exact"/>
        <w:rPr>
          <w:sz w:val="20"/>
          <w:szCs w:val="20"/>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LFB’s credit spread risk, as measured by a 100+/– basis point change in credit spreads totaled $(9) million and $10 million, respectively.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LFB’s interest rate risk as measured by a 100+/– basis point change in interest rates totaled $65 thousand.</w:t>
      </w:r>
    </w:p>
    <w:p>
      <w:pPr>
        <w:spacing w:after="0" w:line="103"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associated with LFB’s open positions, in the aggregate, as measured by a 200+/– basis point change against the U.S. dollar, totaled approximately $27 thousand.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LFB fully secures its collateralized financing transactions with fixed income securities.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2010, total receivables amounted to $760 million, net of an allowance for doubtful accounts of $17 million. As of that date, financial advisory fees and asset management fees, inter-bank deposits, customer and related party receivables comprised 58%, 22%, 14% and 6% of total receivables, respectively. At December 31, 2009, total receivables amounted to $701 million, net of an allowance for doubtful accounts of $12 million. As of that date, financial advisory fees and asset management fees, inter-bank deposits, customer and related party receivables comprised 62%, 20%, 11% and 7% of total receivables, respectively. See also “—Revenue Recognition” above and Note 3 of Notes to Condensed Consolidated Financial Statements for additional information regarding receivables.</w:t>
      </w:r>
    </w:p>
    <w:p>
      <w:pPr>
        <w:spacing w:after="0" w:line="125"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March 31, 2010 and December 31, 2009, LFB has determined that an allowance for doubtful accounts related to such receivables from banks was not required.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To reduce the exposure to concentrations of credit from banking activities within LFB, the Company has established limits for corporate counterparties and monitors the exposure against such limits. At March 31, 2010, LFB had no exposure to an individual counterparty that exceeded $31 million (with such amount being fully collateralized), excluding deposits with inter-bank counterparties.</w:t>
      </w:r>
    </w:p>
    <w:p>
      <w:pPr>
        <w:spacing w:after="0" w:line="11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With respect to activities outside LFB, as of March 31, 2010, the Company’s largest individual counterparty exposure was a Financial Advisory-related fee receivable of $28 million.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Short-Term Investments and Corporate Indebtedness</w:t>
      </w:r>
    </w:p>
    <w:p>
      <w:pPr>
        <w:spacing w:after="0" w:line="8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 significant portion of the Company’s liabilities has fixed interest rates, while its cash and short-term investments generally have floating interest rates. Based on account balances as of March 31, 2010, Lazard estimates that operating income relating to cash and short-term investments and corporate indebtedness would change by approximately $7 million, on an annual basis, in the event interest rates were to increase or decrease by 1%.</w:t>
      </w:r>
    </w:p>
    <w:p>
      <w:pPr>
        <w:spacing w:after="0" w:line="11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2010, the Company’s cash and cash equivalents totaled $691 million. Approximately 34%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7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2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Form 10-K.</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Credit Facility</w:t>
      </w:r>
    </w:p>
    <w:p>
      <w:pPr>
        <w:spacing w:after="0" w:line="7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On April 29, 2010, Lazard Group entered into a new $150 million, three-year revolving credit facility pursuant to an agreement with the banks parties thereto and Citibank, N.A., as administrative agent. For a description of the 2010 Credit Facility see “Management’s Discussion and Analysis of Financial Condition and Results of Operations—Liquidity and Capital Resources—Financing”. The summary of the 2010 Credit Facility is qualified in its entirety by reference to the Credit Agreement dated as of April 29, 2010 among Lazard Group LLC, the banks parties thereto and Citibank N.A., as Administrative Agent, which is attached as Exhibit 10.53 to this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Lazard Group Operating Agreement</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April 27, 2010, Amendment No. 3 to the Operating Agreement of Lazard Group dated as of May 10, 2005, as amended, (the “Operating Agreement Amendment”) was adopted. The Operating Agreement Amendment eliminates certain procedures affecting the ability of the Board of Directors of Lazard Group to remove its Chairman and Chief Executive Officer or otherwise reduce or limit his or her power and authority. This summary of the Operating Agreement Amendment is qualified in its entirety by reference to Amendment No. 3 to the Operating Agreement of Lazard Group LLC, which is attached as Exhibit 3.6 to this Form 10-Q.</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Lazard Group LLC’s Certificate of Formation (incorporated by reference to Exhibit 3.1 to Lazard Group LLC’s Registration Statement (File No.</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333-126751) on Form S-4 filed on July 21,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to Exhibit 3.2 to Lazard Group LLC’s Registration Statement (File No. 333-126751) on Form S-4 filed on July 21,</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Operating Agreement of Lazard Group LLC, dated as of May 10, 2005 (incorporated by reference to Exhibit 10.2 to Lazard Ltd’s Quarterly Report</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 No. 001-32492) on Form 10-Q filed on June 16,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Amendment No. 1 to the Operating Agreement of Lazard Group LLC, dated as of December 19, 2005 (incorporated by reference to Exhibit 3.01 to</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Lazard Group LLC’s Current Report on Form 8-K (File</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333-126751) filed on December 19, 2005).</w:t>
            </w:r>
          </w:p>
        </w:tc>
      </w:tr>
      <w:tr>
        <w:trPr>
          <w:trHeight w:val="3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3.1 to the Registrant’s Current Report on</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8-K (File No. 333-126751) filed on May 8, 2008).</w:t>
            </w:r>
          </w:p>
        </w:tc>
      </w:tr>
      <w:tr>
        <w:trPr>
          <w:trHeight w:val="3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3 dated as of April 27, 2010 to the Operating Agreement of Lazard Group LLC dated as of May 10, 2005.</w:t>
            </w:r>
          </w:p>
        </w:tc>
      </w:tr>
      <w:tr>
        <w:trPr>
          <w:trHeight w:val="3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Indenture, dated as of May 10, 2005, by and between Lazard Group LLC and The Bank of New York, as Trustee (incorporated by reference to</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4.1 to Lazard Group LLC’s Registration Statement (File No. 333-126751) on Form S-4 filed on July 21,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First Supplemental Indenture, dated as of May 10, 2005, by and between Lazard Group LLC and The Bank of New York, as Trustee (incorporated</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reference to Exhibit 4.2 to Lazard Group LLC’s Registration Statement (File No. 333-126751) on Form S-4 filed on July 21,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(incorporated by reference to Exhibit 10.37 to Lazard Group LLC’s Registration Statement (File No. 333-126751) on Form S-4 filed on July 21,</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Amended and Restated Third Supplemental Indenture, dated as of May 15, 2008, by and among Lazard Group LLC and The Bank of New York, as</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trustee (incorporated by reference to Exhibit 4.01 to Lazard Group LLC’s Current Report on Form 8-K (Commission File No. 333-126751) filed on</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16, 2008).</w:t>
            </w:r>
          </w:p>
        </w:tc>
      </w:tr>
      <w:tr>
        <w:trPr>
          <w:trHeight w:val="3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Senior Note (included in Exhibit 4.4).</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$546 million 7.125% Senior Notes Due 2015, issued by Lazard Group LLC (incorporated by reference to Exhibit 4.5 to Lazard Group LLC’s</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Report (File No. 333-126751) on Form 10-Q filed on November 10,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Fourth Supplemental Indenture, dated as of June 21, 2007, between Lazard Group LLC and The Bank of New York, as trustee (incorporated by</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333-126751) filed on June 22, 2007).</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Holdings LLC (incorporated by reference to Exhibit 2.1 to Lazard Ltd’s Quarterly Report (File No. 001-32492) on Form 10-Q filed on June 16,</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Lazard Group LLC and LAZ-MD Holdings LLC (incorporated by reference to Exhibit 10.2 to the Registrant’s Quarterly Report (File No. 333-</w:t>
            </w:r>
          </w:p>
        </w:tc>
      </w:tr>
      <w:tr>
        <w:trPr>
          <w:trHeight w:val="228"/>
        </w:trPr>
        <w:tc>
          <w:tcPr>
            <w:tcW w:w="78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Ltd, Lazard Group LLC and LAZ-MD Holdings LLC (incorporated by reference to Exhibit 2.1 to the Registrant’s Current Report on Form 8-K</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333-126751) filed on May 8, 2008).</w:t>
            </w:r>
          </w:p>
        </w:tc>
      </w:tr>
      <w:tr>
        <w:trPr>
          <w:trHeight w:val="3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Class B-1 and Class C Members Transaction Agreement (incorporated by reference to Exhibit 2.2 to Lazard Ltd’s Registration Statement (File</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333-121407) on Form S-1 filed on December 17, 2004).</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Amended and Restated Stockholders’ Agreement, dated as of November 6, 2006, by and among LAZ-MD Holdings LLC, Lazard Ltd and certain</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members of LAZ-MD Holdings LLC (incorporated by reference to Exhibit 10.4 to the Registrant’s Quarterly Report (File No. 333-126751) on</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filed on November 7, 2006).</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First Amendment dated as of May 7, 2008, to the Amended and Restated Stockholders’ Agreement dated as of November 6, 2006, between LAZ-</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MD Holdings LLC and Lazard Ltd (incorporated by reference to Exhibit 10.6 to the Registrant’s Quarterly Report (File No. 333-126751) on</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filed on May 9, 2008).</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Holdings LLC (incorporated by reference to Exhibit 10.4 to Lazard Ltd’s Quarterly Report (File No. 001-32492) on Form 10-Q filed on June 16,</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 Matters Agreement, dated as of May 10, 2005, by and between Lazard Group LLC and LFCM Holdings LLC (incorporated by</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10.5 to Lazard Ltd’s Quarterly Report (File No. 001-32492) on Form 10-Q filed on June 16,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Frères S.A.S., Lazard &amp; Co. Holdings Limited and LFCM Holdings LLC (incorporated by reference to Exhibit 10.6 to Lazard Ltd’s Quarterly</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Administrative Services Agreement, dated as of May 10, 2005, by and among LAZ-MD Holdings LLC, LFCM Holdings LLC and Lazard Group</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LLC (incorporated by reference to Exhibit 10.7 to Lazard Ltd’s Quarterly Report (File No. 001-32492) on Form 10-Q filed on June 16,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Alliance Agreement, dated as of May 10, 2005, by and between Lazard Group LLC and LFCM Holdings LLC (incorporated by</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10.8 to Lazard Ltd’s Quarterly Report (File No. 001-32492) on Form 10-Q filed on June 16,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Amendment and Consent, dated February 9, 2009, to the Business Alliance Agreement, dated as of May 10, 2005, by and between Lazard Group</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LLC and LFCM Holdings LLC (incorporated by reference to Exhibit 10.12 to Registrant’s Annual Report (File No. 333-126751) on Form 10-K</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filed on March 2, 2009).</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Operating Agreement of Lazard Strategic Coordination Company LLC, dated as of January 1, 2002 (incorporated by</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10.16 to Lazard Ltd’s Registration Statement (File No. 333-121407) on Form S-1/A filed on February 11,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Lease, dated as of January 27, 1994, by and between Rockefeller Center Properties and Lazard Frères &amp; Co. LLC (incorporated by reference to</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10.19 to Lazard Ltd’s Registration Statement (File No. 333-121407) on Form S-1/A filed on February 11, 2005).</w:t>
            </w: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(English translation) (incorporated by reference to Exhibit 10.20 to Lazard Ltd’s Registration Statement (File No. 333-121407) on Form S-1/A</w:t>
            </w:r>
          </w:p>
        </w:tc>
      </w:tr>
      <w:tr>
        <w:trPr>
          <w:trHeight w:val="228"/>
        </w:trPr>
        <w:tc>
          <w:tcPr>
            <w:tcW w:w="7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Burford (Stratton) Limited, Lazard &amp; Co., Limited and Lazard LLC (incorporated by reference to Exhibit 10.21 to Lazard Ltd’s Registration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 (File No. 333-121407) on Form S-1/A filed on February 11,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Lazard Ltd’s 2005 Equity Incentive Plan (incorporated by reference to Exhibit 10.21 to Lazard Ltd’s Registration Statement (File No. 333-</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121407) on Form S-1/A filed on May 2,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Lazard Ltd’s 2008 Incentive Compensation Plan (incorporated by reference to Annex B to Lazard Ltd’s Definitive Proxy Statement 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Lazard Ltd’s 2005 Bonus Plan (incorporated by reference to Exhibit 10.23 to Lazard Ltd’s Registration Statement (File No. 333-121407) on Form</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S-1/A filed on March 21,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January 29, 2008, by and among</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Lazard Ltd, Lazard Group LLC and Bruce Wasserstein (incorporated by reference to Exhibit 10.1 to Lazard Group LLC’s Current Report 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 No. 333-126751) filed on February 1, 2008).</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Agreement Relating to Reorganization of Lazard, dated as of May 10, 2005, by and among Lazard LLC and Bruce Wasserstein (incorporated by</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to Exhibit 10.24 to Lazard Ltd’s Quarterly Report (File No. 001-32492) on Form 10-Q filed on June 16,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Agreement Relating to Retention and Noncompetition and Other Covenants, dated as of May 7, 2008, by and among</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Lazard Ltd, Lazard Group LLC and Steven J. Golub (incorporated by reference to Exhibit 10.1 to the Registrant’s Current Report (File No. 333-</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126751) on Form 8-K filed on May 8, 2008).</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Amendment No. 1, dated as of February 26, 2009, to the Amended and Restated Agreement Relating to Retention and Noncompetition and Other</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Covenants, dated as of May 7, 2008, by and among Lazard Ltd, Lazard Group LLC and Steven J. Golub (incorporated by reference to Exhibit</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10.23 to Registrant’s Annual Report (File No. 333-126751) on Form 10-K filed on March 2, 2009).</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Schedule I for, each of Michael J. Castellano, Scott D. Hoffman and Charles G. Ward III (incorporated by reference to Exhibit 10.26 to</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Lazard Ltd’s Quarterly Report (File No. 001-32492) on Form 10-Q filed on June 16,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4, 2005, for each of Michael J. Castellano, Scott D. Hoffman and Charles G. Ward, III (incorporated by reference to Exhibit 10.2 to the</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Registrant’s Current Report on Form 8-K (File No. 333-126751) filed on May 8, 2008).</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May 4, 2005 (as amended from time to time), for Michael J. Castellano (incorporated by reference to Exhibit 10.26 to Registrant’s Annual Report</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333-126751) on Form 10-K filed on March 2, 2009).</w:t>
            </w:r>
          </w:p>
        </w:tc>
      </w:tr>
      <w:tr>
        <w:trPr>
          <w:trHeight w:val="3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Form of Agreements Relating to Retention and Noncompetition and Other Covenants (incorporated by reference to Exhibit 10.27 to Lazard Ltd’s</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Registration Statement (File No. 333-121407) 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S-1/A filed on April 11, 2005).</w:t>
            </w:r>
          </w:p>
        </w:tc>
      </w:tr>
      <w:tr>
        <w:trPr>
          <w:trHeight w:val="3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Agreement Relating to Retention and Noncompetition and Other Covenants, dated as of October 4, 2004 by and between Lazard Group LLC and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Alexander F. Stern (incorporated by reference to Exhibit 10.28 to Registrant’s Annual Report (File No. 333-126751) on Form 10-K filed 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 2009).</w:t>
            </w:r>
          </w:p>
        </w:tc>
      </w:tr>
      <w:tr>
        <w:trPr>
          <w:trHeight w:val="365"/>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October 4, 2004, with Alexander F. Stern ( incorporated by reference to Exhibit 10.2 to the Registrant’s Current Report on Form 8-K (File No.</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333-126751) filed on March 23, 2010).</w:t>
            </w:r>
          </w:p>
        </w:tc>
      </w:tr>
      <w:tr>
        <w:trPr>
          <w:trHeight w:val="3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Agreement Relating to Retention and Noncompetition and Other Covenants, dated as of March 18, 2005, by and between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Kenneth M. Jacobs (incorporated by reference to Exhibit 10.29 to the Registrant’s Annual Report on Form 10-K (File No. 333-126751) filed on</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1, 2010).</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18, 2005, with Kenneth M. Jacobs (incorporated by reference to Exhibit 10.1 to the Registrant’s Current Report on Form 8-K</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 No. 333-126751) field on March 23, 2010) .</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Letter Agreement, effective as of January 1, 2004, between Vernon E. Jordan, Jr. and Lazard Frères &amp; Co. LLC</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10.28 to Lazard Ltd’s Quarterly Report (File No. 001-32492) on Form 10-Q filed on J16, 2005).</w:t>
            </w:r>
          </w:p>
        </w:tc>
      </w:tr>
      <w:tr>
        <w:trPr>
          <w:trHeight w:val="3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6, 2006 (incorporated by reference to Exhibit 10.23 to the Registrant’s Quarterly Report (File No. 333-126751) on Form 10-Q filed on November</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 2006).</w:t>
            </w:r>
          </w:p>
        </w:tc>
      </w:tr>
      <w:tr>
        <w:trPr>
          <w:trHeight w:val="3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as of March 15, 2005, from IXIS Corporate and Investment Bank to Lazard LLC and Lazard Ltd (incorporated by</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to Exhibit 10.27 to Lazard Ltd’s Registration Statement (File No. 333-121407) on Form S-1/A filed on March 21,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IXIS Corporate and Investment Bank (incorporated by reference to Exhibit 10.30 to Lazard Ltd’s Quarterly Report (File No. 001-32492) on Form</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10-Q filed on June 16,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Letter Agreement, dated as of May 10, 2005, with Bruce Wasserstein family trusts (incorporated by reference to Exhibit 10.31 to Lazard Ltd’s</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(File No. 001-32492) on Form 10-Q filed on June 16,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Senior Revolving Credit Agreement, dated as of May 10, 2005, among Lazard Group LLC, the Banks from time to time parties thereto, Citibank,</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 The Bank of New York, New York Branch, JP Morgan Chase Bank, N.A. and JP Morgan Chase Bank, N.A., as Administrative Agent</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10.32 to Lazard Ltd’s Quarterly Report (File No. 001-32492) on Form 10-Q filed on June 16,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First Amendment, dated as of March 28,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Morgan Chase Bank, N.A., as Administrative Agent (incorporated by reference to Exhibit 10.38 to the Registrant’s Quarterly Report on Form 10-</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 (File No. 333-126751) filed on May 11,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Second Amendment, dated as of May 17, 2006,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Morgan Chase Bank, N.A., as Administrative Agent (incorporated by reference to Exhibit 10.1 to the Registrant’s Current Report on Form 8-K</w:t>
            </w:r>
          </w:p>
        </w:tc>
      </w:tr>
      <w:tr>
        <w:trPr>
          <w:trHeight w:val="228"/>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 No. 333-126751) filed on May 17, 2006).</w:t>
            </w:r>
          </w:p>
        </w:tc>
      </w:tr>
      <w:tr>
        <w:trPr>
          <w:trHeight w:val="365"/>
        </w:trPr>
        <w:tc>
          <w:tcPr>
            <w:tcW w:w="8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Third Amendment, dated as of June 18, 2007, to the Senior Revolving Credit Agreement, dated as of May 10, 2005, among Lazard Group LLC,</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Banks from time to time parties thereto, Citibank, N.A., The Bank of New York, New York Branch, JP Morgan Chase Bank, N.A. and JP</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Morgan Chase Bank, N.A., as Administrative Agent (incorporated by reference to Exhibit 10.1 to the Registrant’s Current Report on Form 8-K</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 No. 333-126751) filed on June 22, 2007).</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Non-Executive Director Compensation (incorporated by reference to Exhibit 10.33 to Lazard Ltd’s Quarterly Report (File No.</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001-32492) on Form 10-Q for the quarter ended June 30,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Form of Award Letter for Annual Grant of Deferred Stock Units to Non-Executive Directors (incorporated by reference to Exhibit 99.1 to Lazard</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Ltd’s Current Report on Form 8-K (File No. 001-32492) filed on September 8, 2005).</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Form of Agreement evidencing a grant of Restricted Stock Units to Executive Officers under the Lazard Equity Incentive Plan (incorporated by</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to Exhibit 10.1 to Lazard Ltd’s Current Report on Form 8-K (File No. 001-32492) filed on January 26,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10.41 to Registrant’s Annual Report (File No. 333-126751) on Form 10-K filed on March 2, 2009).</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Awards to Executive Officers under the 2008 Incentive Compensation Plan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10.42 to Registrant’s Annual Report (File No. 333-126751) on Form 10-K filed on March 2, 2009).</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Termination Agreement, dated as of March 31, 2006, by and among Banca Intesa S.p.A., Lazard Group LLC, and Lazard &amp; Co. S.r.l.</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 No. 333-126751) filed on April 4,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Amended and Restated $150 Million Subordinated Convertible Promissory Note due 2018, issued by Lazard Funding LLC to Banca Intesa S.p.A.</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10.3 to the Registrant’s Current Report on Form 8-K (File No. 333-126751) filed on May 17,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Amended and Restated Guaranty of Lazard Group LLC to Banca Intesa S.p.A., dated as of May 15, 2006 (incorporated by reference to Exhibit</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 to the Registrant’s Current Report on Form 8-K (File No. 333-126751) filed on May 17,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Directors’ Fee Deferral Unit Plan (incorporated by reference to Exhibit 10.37 to the Registrant’s Quarterly Report on Form 10-Q (File No. 333-</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126751) filed on May 11, 2006).</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First Amended Form of Agreement evidencing a grant of Restricted Stock Units to Executive Officers under the Lazard 2005 Equity Incentive</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Plan (incorporated by reference to Exhibit 10.40 to the Registrant’s Annual Report on Form 10-K (File No. 333-126751) filed on March 1, 2007).</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Agreement and Plan of Merger, dated as of August 14, 2008, by and among Lazard Ltd, LAZ Sub I, Lazard Asset Management LLC, and Lazard</w:t>
            </w:r>
          </w:p>
        </w:tc>
      </w:tr>
      <w:tr>
        <w:trPr>
          <w:trHeight w:val="216"/>
        </w:trPr>
        <w:tc>
          <w:tcPr>
            <w:tcW w:w="8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Asset Management Limited (incorporated by reference to Exhibit 2.1 to Lazard Ltd’s Current Report on Form 8-K (file No. 001-32492) filed on</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15, 2008).</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regarding employment dated as of April 21, 2010 between Lazard Group LLC and Gary W. Parr.</w:t>
            </w: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Revolving Credit Agreement, dated as of April 29, 2010 among Lazard Group LLC, the Banks from time to time parties thereto, and</w:t>
            </w:r>
          </w:p>
        </w:tc>
      </w:tr>
      <w:tr>
        <w:trPr>
          <w:trHeight w:val="228"/>
        </w:trPr>
        <w:tc>
          <w:tcPr>
            <w:tcW w:w="8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Citibank, N.A., as Administrative Agent.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under the 2008 Incentive Compensation Plan.</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65"/>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5"/>
              </w:rPr>
              <w:t>31.1</w:t>
            </w:r>
          </w:p>
        </w:tc>
        <w:tc>
          <w:tcPr>
            <w:tcW w:w="4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Rule 13a-14(a) Certification of Kenneth M. Jacobs.</w:t>
            </w:r>
          </w:p>
        </w:tc>
      </w:tr>
      <w:tr>
        <w:trPr>
          <w:trHeight w:val="324"/>
        </w:trPr>
        <w:tc>
          <w:tcPr>
            <w:tcW w:w="7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5"/>
              </w:rPr>
              <w:t>31.2</w:t>
            </w:r>
          </w:p>
        </w:tc>
        <w:tc>
          <w:tcPr>
            <w:tcW w:w="4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6"/>
              </w:rPr>
              <w:t>Rule 13a-14(a) Certification of Michael J. Castellano.</w:t>
            </w:r>
          </w:p>
        </w:tc>
      </w:tr>
      <w:tr>
        <w:trPr>
          <w:trHeight w:val="324"/>
        </w:trPr>
        <w:tc>
          <w:tcPr>
            <w:tcW w:w="7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5"/>
              </w:rPr>
              <w:t>32.1</w:t>
            </w:r>
          </w:p>
        </w:tc>
        <w:tc>
          <w:tcPr>
            <w:tcW w:w="13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Section 1350</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for Kenneth M. Jacobs.</w:t>
            </w:r>
          </w:p>
        </w:tc>
      </w:tr>
      <w:tr>
        <w:trPr>
          <w:trHeight w:val="324"/>
        </w:trPr>
        <w:tc>
          <w:tcPr>
            <w:tcW w:w="7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5"/>
              </w:rPr>
              <w:t>32.2</w:t>
            </w:r>
          </w:p>
        </w:tc>
        <w:tc>
          <w:tcPr>
            <w:tcW w:w="13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Section 1350</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219"/>
          </w:cols>
          <w:pgMar w:left="240" w:top="455" w:right="1440"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2010</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955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Kenneth M. Jacobs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6" w:lineRule="exact"/>
        <w:rPr>
          <w:sz w:val="20"/>
          <w:szCs w:val="20"/>
          <w:color w:val="auto"/>
        </w:rPr>
      </w:pPr>
    </w:p>
    <w:p>
      <w:pPr>
        <w:ind w:left="6860"/>
        <w:spacing w:after="0"/>
        <w:tabs>
          <w:tab w:leader="none" w:pos="7260" w:val="left"/>
          <w:tab w:leader="none" w:pos="760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Michael J. Castellano</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OPERATING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73"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Operating Agreement of Lazard Group LLC, a Delaware limited liability company, dated as of May 10, 2005, as amended by Amendment No. 1 dated as of December 19, 2005 and by Amendment No. 2 dated as of May 7, 2008 (such agreement, as so amended, the “</w:t>
      </w:r>
      <w:r>
        <w:rPr>
          <w:rFonts w:ascii="Times New Roman" w:cs="Times New Roman" w:eastAsia="Times New Roman" w:hAnsi="Times New Roman"/>
          <w:sz w:val="18"/>
          <w:szCs w:val="18"/>
          <w:u w:val="single" w:color="auto"/>
          <w:color w:val="auto"/>
        </w:rPr>
        <w:t>Operating Agreement</w:t>
      </w:r>
      <w:r>
        <w:rPr>
          <w:rFonts w:ascii="Times New Roman" w:cs="Times New Roman" w:eastAsia="Times New Roman" w:hAnsi="Times New Roman"/>
          <w:sz w:val="18"/>
          <w:szCs w:val="18"/>
          <w:color w:val="auto"/>
        </w:rPr>
        <w:t>”), is entered into as of April 27, 2010.</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WHEREAS, the Lazard Board (such term and all other capitalized terms used but not defined herein shall have the meanings ascribed thereto in the Operating Agreement), each Managing Member, the Lazard Ltd Board and the Lazard Ltd Nominating Committee desire to amend the Operating Agreement as set forth in this Amendment.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it is hereby agreed as follows:</w:t>
      </w:r>
    </w:p>
    <w:p>
      <w:pPr>
        <w:spacing w:after="0" w:line="171" w:lineRule="exact"/>
        <w:rPr>
          <w:sz w:val="20"/>
          <w:szCs w:val="20"/>
          <w:color w:val="auto"/>
        </w:rPr>
      </w:pPr>
    </w:p>
    <w:p>
      <w:pPr>
        <w:ind w:left="640" w:hanging="17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1.01 of the Operating Agreement is hereby amended by (i) deleting the definition of “Lazard Ltd Board” and (ii) inserting the following in place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thereof:</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Lazard Ltd Board</w:t>
      </w:r>
      <w:r>
        <w:rPr>
          <w:rFonts w:ascii="Times New Roman" w:cs="Times New Roman" w:eastAsia="Times New Roman" w:hAnsi="Times New Roman"/>
          <w:sz w:val="18"/>
          <w:szCs w:val="18"/>
          <w:color w:val="auto"/>
        </w:rPr>
        <w:t>” means the Board of Directors of Lazard Ltd.”</w:t>
      </w:r>
    </w:p>
    <w:p>
      <w:pPr>
        <w:spacing w:after="0" w:line="171" w:lineRule="exact"/>
        <w:rPr>
          <w:sz w:val="20"/>
          <w:szCs w:val="20"/>
          <w:color w:val="auto"/>
        </w:rPr>
      </w:pPr>
    </w:p>
    <w:p>
      <w:pPr>
        <w:ind w:left="720" w:hanging="256"/>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3.02(d) of the Operating Agreement is hereby amended by deleting the last sentence in its entirety.</w:t>
      </w:r>
    </w:p>
    <w:p>
      <w:pPr>
        <w:spacing w:after="0" w:line="17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3.02(f) of the Operating Agreement is hereby amended by deleting the proviso in its entirety.</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3.02(h) of the Operating Agreement is hereby amended by deleting the last sentence its entirety.</w:t>
      </w:r>
    </w:p>
    <w:p>
      <w:pPr>
        <w:spacing w:after="0" w:line="17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3.02(i) of the Operating Agreement is hereby amended by deleting the last sentence its entirety.</w:t>
      </w:r>
    </w:p>
    <w:p>
      <w:pPr>
        <w:sectPr>
          <w:pgSz w:w="11900" w:h="16838" w:orient="portrait"/>
          <w:cols w:equalWidth="0" w:num="1">
            <w:col w:w="11420"/>
          </w:cols>
          <w:pgMar w:left="240" w:top="123" w:right="239" w:bottom="1440" w:gutter="0" w:footer="0" w:header="0"/>
        </w:sectPr>
      </w:pPr>
    </w:p>
    <w:bookmarkStart w:id="76" w:name="page77"/>
    <w:bookmarkEnd w:id="76"/>
    <w:p>
      <w:pPr>
        <w:ind w:left="680" w:hanging="216"/>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3.03(b) of the Operating Agreement is hereby amended by (i) deleting the first sentence its entirety and (ii) inserting the following in place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78" w:lineRule="exact"/>
        <w:rPr>
          <w:sz w:val="20"/>
          <w:szCs w:val="20"/>
          <w:color w:val="auto"/>
        </w:rPr>
      </w:pPr>
    </w:p>
    <w:p>
      <w:pPr>
        <w:ind w:left="460" w:right="20"/>
        <w:spacing w:after="0" w:line="262" w:lineRule="auto"/>
        <w:rPr>
          <w:sz w:val="20"/>
          <w:szCs w:val="20"/>
          <w:color w:val="auto"/>
        </w:rPr>
      </w:pPr>
      <w:r>
        <w:rPr>
          <w:rFonts w:ascii="Times New Roman" w:cs="Times New Roman" w:eastAsia="Times New Roman" w:hAnsi="Times New Roman"/>
          <w:sz w:val="18"/>
          <w:szCs w:val="18"/>
          <w:color w:val="auto"/>
        </w:rPr>
        <w:t>“Each officer shall hold office until his or her successor shall have been duly elected and shall have qualified or until his or her death or until he or she shall resign or retire, but any officer may be removed from office with or without cause at any time by the Lazard Board or, except in the case of an officer or agent elected by the Lazard Board, by the Chairman of the Board or Chief Executive Officer.”</w:t>
      </w:r>
    </w:p>
    <w:p>
      <w:pPr>
        <w:spacing w:after="0" w:line="132" w:lineRule="exact"/>
        <w:rPr>
          <w:sz w:val="20"/>
          <w:szCs w:val="20"/>
          <w:color w:val="auto"/>
        </w:rPr>
      </w:pPr>
    </w:p>
    <w:p>
      <w:pPr>
        <w:ind w:left="720" w:hanging="256"/>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3.03(n) of the Operating Agreement is hereby amended by (i) deleting the first sentence its entirety and (ii) inserting the following in place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78"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“Any officer elected, or agent appointed, by the Lazard Board may be removed by the affirmative vote of a majority of the Lazard Board then in office with or without cause.”</w:t>
      </w:r>
    </w:p>
    <w:p>
      <w:pPr>
        <w:spacing w:after="0" w:line="120" w:lineRule="exact"/>
        <w:rPr>
          <w:sz w:val="20"/>
          <w:szCs w:val="20"/>
          <w:color w:val="auto"/>
        </w:rPr>
      </w:pPr>
    </w:p>
    <w:p>
      <w:pPr>
        <w:ind w:firstLine="464"/>
        <w:spacing w:after="0" w:line="275"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Amendment shall be binding upon, and shall inure to the benefit of, all parties to the Operating Agreement and their respective successors and assigns.</w:t>
      </w:r>
    </w:p>
    <w:p>
      <w:pPr>
        <w:spacing w:after="0" w:line="119" w:lineRule="exact"/>
        <w:rPr>
          <w:rFonts w:ascii="Times New Roman" w:cs="Times New Roman" w:eastAsia="Times New Roman" w:hAnsi="Times New Roman"/>
          <w:sz w:val="18"/>
          <w:szCs w:val="18"/>
          <w:color w:val="auto"/>
        </w:rPr>
      </w:pPr>
    </w:p>
    <w:p>
      <w:pPr>
        <w:ind w:right="280" w:firstLine="464"/>
        <w:spacing w:after="0" w:line="275"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counterparts, each of which shall be deemed an original, but all of which shall constitute one and the same instrument.</w:t>
      </w:r>
    </w:p>
    <w:p>
      <w:pPr>
        <w:spacing w:after="0" w:line="119" w:lineRule="exact"/>
        <w:rPr>
          <w:rFonts w:ascii="Times New Roman" w:cs="Times New Roman" w:eastAsia="Times New Roman" w:hAnsi="Times New Roman"/>
          <w:sz w:val="18"/>
          <w:szCs w:val="18"/>
          <w:color w:val="auto"/>
        </w:rPr>
      </w:pPr>
    </w:p>
    <w:p>
      <w:pPr>
        <w:ind w:right="40" w:firstLine="464"/>
        <w:spacing w:after="0" w:line="256"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PROVISIONS</w:t>
      </w:r>
      <w:r>
        <w:rPr>
          <w:rFonts w:ascii="Times New Roman" w:cs="Times New Roman" w:eastAsia="Times New Roman" w:hAnsi="Times New Roman"/>
          <w:sz w:val="18"/>
          <w:szCs w:val="18"/>
          <w:color w:val="auto"/>
        </w:rPr>
        <w:t>. If any provision of this Amendment is declared or found to be illegal, unenforceable or void, in whole or in part, then the parties shall be relieved of all obligations arising under such provision, but only to extent that it is illegal, unenforceable or void, it being the intent and agreement of the parties that this Amendment shall be deemed amended by modifying such provision to the extent necessary to make it legal and enforceable while preserving its intent or, if that is not possible, by substituting therefore another provision that is legal and enforceable and achieves the same objectives, and the validity or enforceability of any other provision hereof shall not be affected thereby.</w:t>
      </w:r>
    </w:p>
    <w:p>
      <w:pPr>
        <w:spacing w:after="0" w:line="138" w:lineRule="exact"/>
        <w:rPr>
          <w:rFonts w:ascii="Times New Roman" w:cs="Times New Roman" w:eastAsia="Times New Roman" w:hAnsi="Times New Roman"/>
          <w:sz w:val="18"/>
          <w:szCs w:val="18"/>
          <w:color w:val="auto"/>
        </w:rPr>
      </w:pPr>
    </w:p>
    <w:p>
      <w:pPr>
        <w:ind w:right="600" w:firstLine="464"/>
        <w:spacing w:after="0" w:line="275"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IN EFFECT; EFFECTIVENESS</w:t>
      </w:r>
      <w:r>
        <w:rPr>
          <w:rFonts w:ascii="Times New Roman" w:cs="Times New Roman" w:eastAsia="Times New Roman" w:hAnsi="Times New Roman"/>
          <w:sz w:val="18"/>
          <w:szCs w:val="18"/>
          <w:color w:val="auto"/>
        </w:rPr>
        <w:t>. Except as hereby amended, the Operating Agreement shall remain in full force and effect. This Amendment shall be effective as of the date first written above.</w:t>
      </w:r>
    </w:p>
    <w:p>
      <w:pPr>
        <w:spacing w:after="0" w:line="119" w:lineRule="exact"/>
        <w:rPr>
          <w:rFonts w:ascii="Times New Roman" w:cs="Times New Roman" w:eastAsia="Times New Roman" w:hAnsi="Times New Roman"/>
          <w:sz w:val="18"/>
          <w:szCs w:val="18"/>
          <w:color w:val="auto"/>
        </w:rPr>
      </w:pPr>
    </w:p>
    <w:p>
      <w:pPr>
        <w:ind w:right="560" w:firstLine="464"/>
        <w:spacing w:after="0" w:line="275"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interpreted in accordance with, the laws of the State of Delaware, all rights and remedies being governed by such laws without regard to principles of conflicts of laws.</w:t>
      </w:r>
    </w:p>
    <w:p>
      <w:pPr>
        <w:sectPr>
          <w:pgSz w:w="11900" w:h="16838" w:orient="portrait"/>
          <w:cols w:equalWidth="0" w:num="1">
            <w:col w:w="11420"/>
          </w:cols>
          <w:pgMar w:left="240" w:top="274" w:right="239" w:bottom="1440" w:gutter="0" w:footer="0" w:header="0"/>
        </w:sectPr>
      </w:pPr>
    </w:p>
    <w:bookmarkStart w:id="77" w:name="page78"/>
    <w:bookmarkEnd w:id="7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acting pursuant to the power of attorney provided for by Section 10.10 of the Operating Agreement and the resolutions of (i) the Lazard Board adopted on February 23, 2010, (ii) each Managing Member adopted on April 27, 2010, (iii) the Lazard Ltd Nominating Committee adopted on February 22, 2010 and (iv) the Lazard Ltd Board adopted on February 23, 2010, has duly executed this Amendment on behalf of all Members as of the date first written above.</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Scott D. Hoffman</w:t>
      </w:r>
    </w:p>
    <w:p>
      <w:pPr>
        <w:spacing w:after="0" w:line="21" w:lineRule="exact"/>
        <w:rPr>
          <w:sz w:val="20"/>
          <w:szCs w:val="20"/>
          <w:color w:val="auto"/>
        </w:rPr>
      </w:pPr>
    </w:p>
    <w:p>
      <w:pPr>
        <w:ind w:left="7180"/>
        <w:spacing w:after="0"/>
        <w:tabs>
          <w:tab w:leader="none" w:pos="7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General Counsel</w:t>
      </w:r>
    </w:p>
    <w:p>
      <w:pPr>
        <w:sectPr>
          <w:pgSz w:w="11900" w:h="16838" w:orient="portrait"/>
          <w:cols w:equalWidth="0" w:num="1">
            <w:col w:w="11160"/>
          </w:cols>
          <w:pgMar w:left="240" w:top="274" w:right="4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10.52</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21, 2010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Gary W. Parr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Freres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Parr:</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This letter will confirm our understanding regarding certain terms that will be applicable to your continued employment with Lazard Frères &amp; Co. </w:t>
      </w:r>
      <w:r>
        <w:rPr>
          <w:rFonts w:ascii="Times New Roman" w:cs="Times New Roman" w:eastAsia="Times New Roman" w:hAnsi="Times New Roman"/>
          <w:sz w:val="14"/>
          <w:szCs w:val="14"/>
          <w:color w:val="auto"/>
        </w:rPr>
        <w:t>LLC</w:t>
      </w:r>
      <w:r>
        <w:rPr>
          <w:rFonts w:ascii="Times New Roman" w:cs="Times New Roman" w:eastAsia="Times New Roman" w:hAnsi="Times New Roman"/>
          <w:sz w:val="18"/>
          <w:szCs w:val="18"/>
          <w:color w:val="auto"/>
        </w:rPr>
        <w:t xml:space="preserve"> (“Lazard”).</w:t>
      </w:r>
    </w:p>
    <w:p>
      <w:pPr>
        <w:spacing w:after="0" w:line="120"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Reference is hereby made to the letter agreement, dated as of September 3, 2008, between you and Lazard Group LLC regarding your employment with Lazard and which set forth your right to guaranteed annual compensation of no less than $10,000,000 for each of 2009 through 2012 (the “Prior Agreement”), subject to the terms of the Prior Agreement. The parties desire to amend and restate the Prior Agreement to reduce the portion of the guaranteed annual compensation that is payable to you as base salary for 2010, 2011 and 2012. Therefore, you and Lazard hereby agree that the Prior Agreement is amended and restated in its entirety to read as follows:</w:t>
      </w:r>
    </w:p>
    <w:p>
      <w:pPr>
        <w:spacing w:after="0" w:line="137" w:lineRule="exact"/>
        <w:rPr>
          <w:sz w:val="20"/>
          <w:szCs w:val="20"/>
          <w:color w:val="auto"/>
        </w:rPr>
      </w:pPr>
    </w:p>
    <w:p>
      <w:pPr>
        <w:ind w:right="160" w:firstLine="464"/>
        <w:spacing w:after="0" w:line="277" w:lineRule="auto"/>
        <w:tabs>
          <w:tab w:leader="none" w:pos="6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For the remaining portion of calendar year 2010 and for each of calendar years 2011 and 2012, as long as you remain employed by Lazard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end of the relevant year or have been terminated without Cause (as defined in Annex 1), you will receive:</w:t>
      </w:r>
    </w:p>
    <w:p>
      <w:pPr>
        <w:spacing w:after="0" w:line="37" w:lineRule="exact"/>
        <w:rPr>
          <w:rFonts w:ascii="Times New Roman" w:cs="Times New Roman" w:eastAsia="Times New Roman" w:hAnsi="Times New Roman"/>
          <w:sz w:val="18"/>
          <w:szCs w:val="18"/>
          <w:color w:val="auto"/>
        </w:rPr>
      </w:pPr>
    </w:p>
    <w:p>
      <w:pPr>
        <w:ind w:left="460" w:right="460" w:firstLine="443"/>
        <w:spacing w:after="0" w:line="275" w:lineRule="auto"/>
        <w:tabs>
          <w:tab w:leader="none" w:pos="111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as of the date hereof, an annual base salary at a rate of no less than $750,000, which will be payable in accordance with Lazard’s normal practices, and</w:t>
      </w:r>
    </w:p>
    <w:p>
      <w:pPr>
        <w:spacing w:after="0" w:line="38" w:lineRule="exact"/>
        <w:rPr>
          <w:rFonts w:ascii="Times New Roman" w:cs="Times New Roman" w:eastAsia="Times New Roman" w:hAnsi="Times New Roman"/>
          <w:sz w:val="18"/>
          <w:szCs w:val="18"/>
          <w:color w:val="auto"/>
        </w:rPr>
      </w:pPr>
    </w:p>
    <w:p>
      <w:pPr>
        <w:ind w:left="1100" w:hanging="197"/>
        <w:spacing w:after="0"/>
        <w:tabs>
          <w:tab w:leader="none" w:pos="11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of no less than $10,000,000 less amounts paid to you in the relevant year as salary (each of such amounts, the “Annual Payment”).</w:t>
      </w:r>
    </w:p>
    <w:p>
      <w:pPr>
        <w:spacing w:after="0" w:line="17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cash portion of the Annual Payment, together with amounts paid in the relevant year as salary, shall equal the greater of (a) $5,000,000 and (b) the Agreed Percentage (as defined in Annex 1) with respect to the relevant year. The remaining portion of the Annual Payment shall be granted in stock units of Lazard Ltd Class A Common Stock (upon the execution of an award agreement in substantially the same form as that executed by the Deputy Chairmen). The stock units shall be granted on the Agreed Terms with respect to the relevant year. The cash portion of the Annual Payment (less salary) shall be fully vested following the end of the relevant year and payable during the following year in three equal installments on each of the dates that the three distributions are paid to other similarly situated Lazard Managing Directors, currently on or about February 1, March 1 and March 15.</w:t>
      </w:r>
    </w:p>
    <w:p>
      <w:pPr>
        <w:sectPr>
          <w:pgSz w:w="11900" w:h="16838" w:orient="portrait"/>
          <w:cols w:equalWidth="0" w:num="1">
            <w:col w:w="11420"/>
          </w:cols>
          <w:pgMar w:left="240" w:top="123" w:right="239" w:bottom="1440" w:gutter="0" w:footer="0" w:header="0"/>
        </w:sectPr>
      </w:pPr>
    </w:p>
    <w:bookmarkStart w:id="79" w:name="page80"/>
    <w:bookmarkEnd w:id="79"/>
    <w:p>
      <w:pPr>
        <w:ind w:left="-20" w:right="220" w:firstLine="464"/>
        <w:spacing w:after="0" w:line="259" w:lineRule="auto"/>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of Other Amounts. </w:t>
      </w:r>
      <w:r>
        <w:rPr>
          <w:rFonts w:ascii="Times New Roman" w:cs="Times New Roman" w:eastAsia="Times New Roman" w:hAnsi="Times New Roman"/>
          <w:sz w:val="18"/>
          <w:szCs w:val="18"/>
          <w:color w:val="auto"/>
        </w:rPr>
        <w:t>Notwithstanding anything to the contrary contained in this letter agreement, you and we agree that 50% of the amounts,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received by you in connection with any Lazard-affiliated financial institutions fund shall be credited to the amounts otherwise payable to you under Paragraph 1 of this letter agreement. Lazard agrees that any such crediting will be effected in compliance with Section 409A of the Internal Revenue Code, as amended (the “Code”), and will not be effected to the extent it would result in the imposition of tax under that Section.</w:t>
      </w:r>
    </w:p>
    <w:p>
      <w:pPr>
        <w:spacing w:after="0" w:line="132" w:lineRule="exact"/>
        <w:rPr>
          <w:rFonts w:ascii="Times New Roman" w:cs="Times New Roman" w:eastAsia="Times New Roman" w:hAnsi="Times New Roman"/>
          <w:sz w:val="18"/>
          <w:szCs w:val="18"/>
          <w:color w:val="auto"/>
        </w:rPr>
      </w:pPr>
    </w:p>
    <w:p>
      <w:pPr>
        <w:ind w:left="-20" w:right="80" w:firstLine="464"/>
        <w:spacing w:after="0" w:line="302" w:lineRule="auto"/>
        <w:tabs>
          <w:tab w:leader="none" w:pos="61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Title; Status as “At Will” Employee: </w:t>
      </w:r>
      <w:r>
        <w:rPr>
          <w:rFonts w:ascii="Times New Roman" w:cs="Times New Roman" w:eastAsia="Times New Roman" w:hAnsi="Times New Roman"/>
          <w:sz w:val="16"/>
          <w:szCs w:val="16"/>
          <w:color w:val="auto"/>
        </w:rPr>
        <w:t>During your continued employment with Lazard, you shall serve as Vice Chairman of Lazard,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responsibilities materially commensurate with those of the Deputy Chairmen. Subject to Paragraph 1 hereof, at all times, you will be treated as an “at will” employee who can be terminated or who can resign (subject to satisfaction of any applicable notice provisions) at any time for any reason or no reason at all. For the avoidance of doubt, on any termination of your employment by Lazard without Cause, all financial obligations of Lazard to you will vest as provided herein.</w:t>
      </w:r>
    </w:p>
    <w:p>
      <w:pPr>
        <w:spacing w:after="0" w:line="100" w:lineRule="exact"/>
        <w:rPr>
          <w:rFonts w:ascii="Times New Roman" w:cs="Times New Roman" w:eastAsia="Times New Roman" w:hAnsi="Times New Roman"/>
          <w:sz w:val="16"/>
          <w:szCs w:val="16"/>
          <w:color w:val="auto"/>
        </w:rPr>
      </w:pPr>
    </w:p>
    <w:p>
      <w:pPr>
        <w:ind w:left="620" w:hanging="176"/>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Obligations of Lazard: </w:t>
      </w:r>
      <w:r>
        <w:rPr>
          <w:rFonts w:ascii="Times New Roman" w:cs="Times New Roman" w:eastAsia="Times New Roman" w:hAnsi="Times New Roman"/>
          <w:sz w:val="18"/>
          <w:szCs w:val="18"/>
          <w:color w:val="auto"/>
        </w:rPr>
        <w:t>In addition to the other obligations provided for in this letter, Lazard agrees to the provisions of Annex 2.</w:t>
      </w:r>
    </w:p>
    <w:p>
      <w:pPr>
        <w:spacing w:after="0" w:line="171" w:lineRule="exact"/>
        <w:rPr>
          <w:rFonts w:ascii="Times New Roman" w:cs="Times New Roman" w:eastAsia="Times New Roman" w:hAnsi="Times New Roman"/>
          <w:sz w:val="18"/>
          <w:szCs w:val="18"/>
          <w:color w:val="auto"/>
        </w:rPr>
      </w:pPr>
    </w:p>
    <w:p>
      <w:pPr>
        <w:ind w:left="-20" w:firstLine="464"/>
        <w:spacing w:after="0" w:line="254" w:lineRule="auto"/>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Agreements: </w:t>
      </w:r>
      <w:r>
        <w:rPr>
          <w:rFonts w:ascii="Times New Roman" w:cs="Times New Roman" w:eastAsia="Times New Roman" w:hAnsi="Times New Roman"/>
          <w:sz w:val="18"/>
          <w:szCs w:val="18"/>
          <w:color w:val="auto"/>
        </w:rPr>
        <w:t>We agree that the interest you currently own in Fox Pitt Kelton shall not be considered to be in violation of, or give rise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any non-competition covenant contained in any restricted stock unit agreement or other award agreement between you, on one the hand, and Lazard, Lazard Ltd or any of their affiliates, on the other hand, whether entered into on, prior to or after the date of this letter (collectively, the “Award Agreements”). We also agree that any activities by Fox Pitt Kelton that do not involve any direct or indirect rendering of services by you shall not be considered to be in violation of, or give rise to a violation of, any nonsolicitation, no-hire or similar covenants contained in any Award Agreement. For the avoidance of doubt, this Paragraph 5 will supersede the provisions of any Award Agreement that is currently outstanding or that may be entered into on or after the date of this letter, unless such contemporaneous or later Award Agreement specifically references this letter. Except to the limited extent provided above, the Award Agreements shall remain in full force and effect.</w:t>
      </w:r>
    </w:p>
    <w:p>
      <w:pPr>
        <w:spacing w:after="0" w:line="138" w:lineRule="exact"/>
        <w:rPr>
          <w:rFonts w:ascii="Times New Roman" w:cs="Times New Roman" w:eastAsia="Times New Roman" w:hAnsi="Times New Roman"/>
          <w:sz w:val="18"/>
          <w:szCs w:val="18"/>
          <w:color w:val="auto"/>
        </w:rPr>
      </w:pPr>
    </w:p>
    <w:p>
      <w:pPr>
        <w:ind w:left="-20" w:firstLine="464"/>
        <w:spacing w:after="0" w:line="259" w:lineRule="auto"/>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Arbitration: </w:t>
      </w:r>
      <w:r>
        <w:rPr>
          <w:rFonts w:ascii="Times New Roman" w:cs="Times New Roman" w:eastAsia="Times New Roman" w:hAnsi="Times New Roman"/>
          <w:sz w:val="18"/>
          <w:szCs w:val="18"/>
          <w:color w:val="auto"/>
        </w:rPr>
        <w:t>This agreement and any claim related directly or indirectly to this agreement (including any claim concerning advice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pursuant to this agreement) shall be governed and construed in accordance with the laws of the State of New York (without giving regard to the conflicts of law provisions thereof). All disputes, controversies and claims arising out of or relating to this agreement or any breach or termination or alleged breach or termination of this agreement shall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60" w:top="272" w:right="259" w:bottom="1440" w:gutter="0" w:footer="0" w:header="0"/>
        </w:sectPr>
      </w:pPr>
    </w:p>
    <w:bookmarkStart w:id="80" w:name="page81"/>
    <w:bookmarkEnd w:id="80"/>
    <w:p>
      <w:pPr>
        <w:ind w:right="20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governed by the dispute resolution provisions of the Award Agreement governing the restricted stock units most recently granted to you prior to the date of this Agreement. This letter agreement and the other outstanding Award Agreements represent our entire agreement with respect to your continued employment.</w:t>
      </w:r>
    </w:p>
    <w:p>
      <w:pPr>
        <w:spacing w:after="0" w:line="72" w:lineRule="exact"/>
        <w:rPr>
          <w:sz w:val="20"/>
          <w:szCs w:val="20"/>
          <w:color w:val="auto"/>
        </w:rPr>
      </w:pPr>
    </w:p>
    <w:p>
      <w:pPr>
        <w:ind w:firstLine="464"/>
        <w:spacing w:after="0" w:line="254" w:lineRule="auto"/>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Section 409A: </w:t>
      </w:r>
      <w:r>
        <w:rPr>
          <w:rFonts w:ascii="Times New Roman" w:cs="Times New Roman" w:eastAsia="Times New Roman" w:hAnsi="Times New Roman"/>
          <w:sz w:val="18"/>
          <w:szCs w:val="18"/>
          <w:color w:val="auto"/>
        </w:rPr>
        <w:t>It is the intention of you and Lazard that the payments to which you could become entitled under this agreement comply with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the definition of “nonqualified deferred compensation” under section 409A of the Code. Lazard agrees to administer this letter in a manner consistent with the foregoing statement of intent (including administering any change in your salary to comply with Section 409A). In this regard, notwithstanding anything in this agreement to the contrary, all cash amounts that become payable under this agreement on account of your termination of employment shall be paid no later than March 15 of the year following the year in which the date of termination occurred. Within the time period permitted by the applicable Treasury Regulations, in the event you and Lazard determine that the terms of this agreement do not comply with Section 409A, you and Lazard will negotiate reasonably and in good faith to amend the terms of this agreement such that it complies (in a manner that attempts to minimize the economic impact of such amendment to you and Lazard).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Please confirm your acceptance of the foregoing by executing the enclosed copy of this letter, upon which it shall become a binding agreement between us.</w:t>
      </w:r>
    </w:p>
    <w:p>
      <w:pPr>
        <w:spacing w:after="0" w:line="2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Scott D. Hoffman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Director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W.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W. Parr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2010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Agreed Percentage</w:t>
      </w:r>
    </w:p>
    <w:p>
      <w:pPr>
        <w:spacing w:after="0" w:line="9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Agreed Percentage</w:t>
      </w:r>
      <w:r>
        <w:rPr>
          <w:rFonts w:ascii="Times New Roman" w:cs="Times New Roman" w:eastAsia="Times New Roman" w:hAnsi="Times New Roman"/>
          <w:sz w:val="18"/>
          <w:szCs w:val="18"/>
          <w:color w:val="auto"/>
        </w:rPr>
        <w:t>” means, for any year, (1) the percentage of the average cash portion of the annual total compensation that was paid with respect to the relevant year to the Deputy Chairmen who have not reached retirement age (or to the extent such percentage is not fixed before the beginning of such year in a manner that complies with Section 409A of the Code, the immediately preceding year) or (2) such other percentage as you and Lazard may agree in compliance with Section 409A of the Code.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Agreed Terms</w:t>
      </w:r>
    </w:p>
    <w:p>
      <w:pPr>
        <w:spacing w:after="0" w:line="9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Agreed Terms</w:t>
      </w:r>
      <w:r>
        <w:rPr>
          <w:rFonts w:ascii="Times New Roman" w:cs="Times New Roman" w:eastAsia="Times New Roman" w:hAnsi="Times New Roman"/>
          <w:sz w:val="18"/>
          <w:szCs w:val="18"/>
          <w:color w:val="auto"/>
        </w:rPr>
        <w:t>” means, for any year, (1) substantially the same payment, vesting and other terms as applied to the Deputy Chairmen with respect to the prior year (or to the extent such terms are not fixed before the beginning of such year in a manner that complies with Section 409A of the Code, the immediately preceding year) or (2) such other terms as you and Lazard may agree to in compliance with Section 409A of the Code.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Cause</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means: (i) your conviction, or a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(or the equivalent in a non-United States jurisdiction) by you to, a felony (or the equivalent in a non-United States jurisdiction), or of any other crime that legally prohibits you from working for Lazard or its affiliates; (ii) breach by you of a regulatory rule that materially adversely affects your ability to perform your duties; (iii) willful and deliberate failure on your part (A) to perform your employment duties in any material respect or (B) to follow specific reasonable directions received from Lazard or its Affiliates or to comply with the written policies of Lazard or its Affiliates in any material respect, in each case following written notice to you of such failure and, if such failure is curable, your failing to cure such failure within a reasonable time (but in no event less than thirty days); or (iv) a breach of a Covenant (as defined in the relevant Award Agreement) that is (individually or combined with other such breaches) demonstrably and materially injurious to the Lazard or any of its affiliates.</w:t>
      </w:r>
    </w:p>
    <w:p>
      <w:pPr>
        <w:spacing w:after="0" w:line="1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purposes of this provision, no act or failure to act, on your part, shall be considered “willful” unless it is done, or omitted to be done, by you in bad faith or without reasonable belief that your action or omission was in the best interests of Lazard. Any act, or failure to act, based upon authority given pursuant to a resolution duly adopted by the Board of Directors of Lazard Ltd (the “Board”) or upon the instructions of the Board or based upon the advice of counsel for Lazard shall be conclusively presumed to be done, or omitted to be done, by you in good faith and in the best interests of Lazard.</w:t>
      </w:r>
    </w:p>
    <w:p>
      <w:pPr>
        <w:spacing w:after="0" w:line="13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In addition, any requirement that your principal place of employment be relocated to a location that increases your commute by more than thirty miles from the commute to your principal place of employment for Lazard in New York, NY shall be treated as a termination without Cause for all purposes under the letter agreement and under any Award Agreement).</w:t>
      </w:r>
    </w:p>
    <w:p>
      <w:pPr>
        <w:sectPr>
          <w:pgSz w:w="11900" w:h="16838" w:orient="portrait"/>
          <w:cols w:equalWidth="0" w:num="1">
            <w:col w:w="11420"/>
          </w:cols>
          <w:pgMar w:left="240" w:top="272"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Obligations of Lazard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Certain Additional Payments by Lazard.</w:t>
      </w:r>
    </w:p>
    <w:p>
      <w:pPr>
        <w:spacing w:after="0" w:line="92" w:lineRule="exact"/>
        <w:rPr>
          <w:sz w:val="20"/>
          <w:szCs w:val="20"/>
          <w:color w:val="auto"/>
        </w:rPr>
      </w:pPr>
    </w:p>
    <w:p>
      <w:pPr>
        <w:ind w:firstLine="464"/>
        <w:spacing w:after="0" w:line="253"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the letter agreement to the contrary notwithstanding, in the event it shall be determined that any payment, benefit or distribution by Lazard Ltd or its affiliates to or for your benefit (whether paid or payable or distributed or distributable pursuant to the terms of the letter agreement or otherwise, but determined without regard to any additional payments required under this Section 1) (a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would be subject to the excise tax imposed by Section 4999 of the Code or any interest or penalties are incurred by you with respect to such excise tax (such excise tax, together with any such interest and penalties, are hereinafter collectively referred to as the “</w:t>
      </w:r>
      <w:r>
        <w:rPr>
          <w:rFonts w:ascii="Times New Roman" w:cs="Times New Roman" w:eastAsia="Times New Roman" w:hAnsi="Times New Roman"/>
          <w:sz w:val="18"/>
          <w:szCs w:val="18"/>
          <w:i w:val="1"/>
          <w:iCs w:val="1"/>
          <w:color w:val="auto"/>
        </w:rPr>
        <w:t>Excise Tax</w:t>
      </w:r>
      <w:r>
        <w:rPr>
          <w:rFonts w:ascii="Times New Roman" w:cs="Times New Roman" w:eastAsia="Times New Roman" w:hAnsi="Times New Roman"/>
          <w:sz w:val="18"/>
          <w:szCs w:val="18"/>
          <w:color w:val="auto"/>
        </w:rPr>
        <w:t>”), then you shall be entitled to receive an additional payment (a “</w:t>
      </w:r>
      <w:r>
        <w:rPr>
          <w:rFonts w:ascii="Times New Roman" w:cs="Times New Roman" w:eastAsia="Times New Roman" w:hAnsi="Times New Roman"/>
          <w:sz w:val="18"/>
          <w:szCs w:val="18"/>
          <w:i w:val="1"/>
          <w:iCs w:val="1"/>
          <w:color w:val="auto"/>
        </w:rPr>
        <w:t>Gross-Up Payment</w:t>
      </w:r>
      <w:r>
        <w:rPr>
          <w:rFonts w:ascii="Times New Roman" w:cs="Times New Roman" w:eastAsia="Times New Roman" w:hAnsi="Times New Roman"/>
          <w:sz w:val="18"/>
          <w:szCs w:val="18"/>
          <w:color w:val="auto"/>
        </w:rPr>
        <w:t>”) in an amount such that after payment by you of all taxes (including any interest or penalties imposed with respect to such taxes), including, without limitation, any income taxes (and any interest and penalties imposed with respect thereto) and Excise Tax imposed upon the Gross-Up Payment, but excluding any income taxes and penalties imposed pursuant to Section 409A of the Code, you retain an amount of the Gross-Up Payment equal to the Excise Tax imposed upon the Payments. Lazard’s obligation to make Gross-Up Payments under this Section 1 shall not be conditioned upon your termination of employment.</w:t>
      </w:r>
    </w:p>
    <w:p>
      <w:pPr>
        <w:spacing w:after="0" w:line="143" w:lineRule="exact"/>
        <w:rPr>
          <w:rFonts w:ascii="Times New Roman" w:cs="Times New Roman" w:eastAsia="Times New Roman" w:hAnsi="Times New Roman"/>
          <w:sz w:val="18"/>
          <w:szCs w:val="18"/>
          <w:color w:val="auto"/>
        </w:rPr>
      </w:pPr>
    </w:p>
    <w:p>
      <w:pPr>
        <w:ind w:right="60" w:firstLine="464"/>
        <w:spacing w:after="0" w:line="253"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1(c), all determinations required to be made under this Section 1, including whether and when a Gross-Up Payment is required and the amount of such Gross-Up Payment and the assumptions to be utilized in arriving at such determination, shall be made by Deloitte &amp; Touche LLP or such other nationally recognized certified public accounting firm reasonably acceptable to Lazard as may be designated by you (the “</w:t>
      </w:r>
      <w:r>
        <w:rPr>
          <w:rFonts w:ascii="Times New Roman" w:cs="Times New Roman" w:eastAsia="Times New Roman" w:hAnsi="Times New Roman"/>
          <w:sz w:val="18"/>
          <w:szCs w:val="18"/>
          <w:i w:val="1"/>
          <w:iCs w:val="1"/>
          <w:color w:val="auto"/>
        </w:rPr>
        <w:t>Accounting Firm</w:t>
      </w:r>
      <w:r>
        <w:rPr>
          <w:rFonts w:ascii="Times New Roman" w:cs="Times New Roman" w:eastAsia="Times New Roman" w:hAnsi="Times New Roman"/>
          <w:sz w:val="18"/>
          <w:szCs w:val="18"/>
          <w:color w:val="auto"/>
        </w:rPr>
        <w:t>”), which shall provide detailed supporting calculations both to Lazard and to you within 15 business days of the receipt of notice from you that there has been a Payment, or such earlier time as is requested by Lazard. All fees and expenses of the Accounting Firm shall be borne solely by Lazard. Any determination by the Accounting Firm shall be binding upon you and Lazard and its affiliates. As a result of the uncertainty in the application of Section 4999 of the Code at the time of the initial determination by the Accounting Firm hereunder, it is possible that Gross-Up Payments which will not have been made by Lazard should have been made (“</w:t>
      </w:r>
      <w:r>
        <w:rPr>
          <w:rFonts w:ascii="Times New Roman" w:cs="Times New Roman" w:eastAsia="Times New Roman" w:hAnsi="Times New Roman"/>
          <w:sz w:val="18"/>
          <w:szCs w:val="18"/>
          <w:i w:val="1"/>
          <w:iCs w:val="1"/>
          <w:color w:val="auto"/>
        </w:rPr>
        <w:t>Underpayment</w:t>
      </w:r>
      <w:r>
        <w:rPr>
          <w:rFonts w:ascii="Times New Roman" w:cs="Times New Roman" w:eastAsia="Times New Roman" w:hAnsi="Times New Roman"/>
          <w:sz w:val="18"/>
          <w:szCs w:val="18"/>
          <w:color w:val="auto"/>
        </w:rPr>
        <w:t>”), consistent with the calculations required to be made hereunder. In the event that Lazard exhausts its remedies pursuant to Section 1(c) and you thereafter are required to make a payment of any Excise Tax, the Accounting Firm shall determine the amount of the Underpayment that has occurred and any such Underpayment shall be promptly paid by Lazard to or for your benefit.</w:t>
      </w:r>
    </w:p>
    <w:p>
      <w:pPr>
        <w:spacing w:after="0" w:line="140" w:lineRule="exact"/>
        <w:rPr>
          <w:rFonts w:ascii="Times New Roman" w:cs="Times New Roman" w:eastAsia="Times New Roman" w:hAnsi="Times New Roman"/>
          <w:sz w:val="18"/>
          <w:szCs w:val="18"/>
          <w:color w:val="auto"/>
        </w:rPr>
      </w:pPr>
    </w:p>
    <w:p>
      <w:pPr>
        <w:ind w:right="40" w:firstLine="464"/>
        <w:spacing w:after="0" w:line="256"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notify Lazard in writing of any claim by the Internal Revenue Service that, if successful, would require the payment of the Gross-Up Payment. Such notification shall be given as soon as practicable but no later than ten business days after you are informed in writing of such claim, and shall apprise Lazard of the nature of such claim and the date on which such claim is requested to be paid. You shall not pay such claim prior to the expiration of the 30-day period following the date on which it gives such notice to Lazard (or such shorter period ending on the date that any payment of taxes with respect to such claim is due). If Lazard notifies you in writing prior to the expiration of such period that it desires to contest such claim, you shall:</w:t>
      </w:r>
    </w:p>
    <w:p>
      <w:pPr>
        <w:spacing w:after="0" w:line="57"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Lazard any information reasonably requested by Lazard relating to such claim,</w:t>
      </w:r>
    </w:p>
    <w:p>
      <w:pPr>
        <w:spacing w:after="0" w:line="90" w:lineRule="exact"/>
        <w:rPr>
          <w:rFonts w:ascii="Times New Roman" w:cs="Times New Roman" w:eastAsia="Times New Roman" w:hAnsi="Times New Roman"/>
          <w:sz w:val="18"/>
          <w:szCs w:val="18"/>
          <w:color w:val="auto"/>
        </w:rPr>
      </w:pPr>
    </w:p>
    <w:p>
      <w:pPr>
        <w:ind w:left="460" w:right="380" w:firstLine="443"/>
        <w:spacing w:after="0" w:line="275" w:lineRule="auto"/>
        <w:tabs>
          <w:tab w:leader="none" w:pos="11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Lazard shall reasonably request in writing from time to time, including, without limitation, accepting legal representation with respect to such claim by an attorney reasonably selected by Lazard,</w:t>
      </w:r>
    </w:p>
    <w:p>
      <w:pPr>
        <w:sectPr>
          <w:pgSz w:w="11900" w:h="16838" w:orient="portrait"/>
          <w:cols w:equalWidth="0" w:num="1">
            <w:col w:w="11420"/>
          </w:cols>
          <w:pgMar w:left="240" w:top="272" w:right="239" w:bottom="1440" w:gutter="0" w:footer="0" w:header="0"/>
        </w:sectPr>
      </w:pPr>
    </w:p>
    <w:bookmarkStart w:id="83" w:name="page84"/>
    <w:bookmarkEnd w:id="83"/>
    <w:p>
      <w:pPr>
        <w:ind w:left="1200" w:hanging="297"/>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cooperate with Lazard in good faith in order to effectively contest such claim, and</w:t>
      </w:r>
    </w:p>
    <w:p>
      <w:pPr>
        <w:spacing w:after="0" w:line="90"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Lazard to participate in any proceedings relating to such claim;</w:t>
      </w:r>
    </w:p>
    <w:p>
      <w:pPr>
        <w:spacing w:after="0" w:line="17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Lazard shall bear and pay directly all costs and expenses (including additional interest and penalties) incurred in connection with such contest, and shall indemnify and hold you harmless, on an after-tax basis, for any Excise Tax or income tax (including interest and penalties with respect thereto) imposed as a result of such representation and payment of costs and expenses. Without limitation on the foregoing provisions of this Section 1(c), Lazard shall control all proceedings taken in connection with such contest, and, at its sole discretion, may pursue or forgo any and all administrative appeals, proceedings, hearings and conferences with the applicable taxing authority in respect of such claim and may, at its sole discretion, either pay the tax claimed to the appropriate taxing authority on your behalf and direct you to sue for a refund or contest the claim in any permissible manner, and you agree to prosecute such contest to a determination before any administrative tribunal, in a court of initial jurisdiction and in one or more appellate courts, as Lazard shall determine;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Lazard pays such claim and directs you to sue for a refund, Lazard shall indemnify and hold you harmless, on an after-tax basis, from any Excise Tax or income tax (including interest or penalties) imposed with respect to such payment or with respect to any imputed income with respect to such payment;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that any extension of the statute of limitations relating to payment of taxes for your taxable year with respect to which such contested amount is claimed to be due is limited solely to such contested amount. Furthermore, Lazard’s control of the contest shall be limited to issues with respect to which the Gross-Up Payment would be payable hereunder, and you shall be entitled to settle or contest, as the case may be, any other issue raised by the Internal Revenue Service or any other taxing authority.</w:t>
      </w:r>
    </w:p>
    <w:p>
      <w:pPr>
        <w:spacing w:after="0" w:line="146" w:lineRule="exact"/>
        <w:rPr>
          <w:sz w:val="20"/>
          <w:szCs w:val="20"/>
          <w:color w:val="auto"/>
        </w:rPr>
      </w:pPr>
    </w:p>
    <w:p>
      <w:pPr>
        <w:ind w:firstLine="464"/>
        <w:spacing w:after="0" w:line="293" w:lineRule="auto"/>
        <w:tabs>
          <w:tab w:leader="none" w:pos="70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your receipt of a Gross-Up Payment or payment by Lazard of an amount on your behalf pursuant to Section 1(c), you become entitled to receive any refund with respect to the Excise Tax to which such Gross-Up Payment relates or with respect to such claim, you shall (subject to Lazard’s complying with the requirements of Section 1(c), if applicable) promptly pay to Lazard the amount of such refund (together with any interest paid or credited thereon after taxes applicable thereto). If, after payment by Lazard of an amount on your behalf pursuant to Section 1(c), a determination is made that you shall not be entitled to any refund with respect to such claim and Lazard does not notify you in writing of its intent to contest such denial of refund prior to the expiration of 30 days after such determination, then the amount previously paid shall offset, to the extent thereof, the amount of Gross-Up Payment required to be paid.</w:t>
      </w:r>
    </w:p>
    <w:p>
      <w:pPr>
        <w:spacing w:after="0" w:line="110" w:lineRule="exact"/>
        <w:rPr>
          <w:rFonts w:ascii="Times New Roman" w:cs="Times New Roman" w:eastAsia="Times New Roman" w:hAnsi="Times New Roman"/>
          <w:sz w:val="16"/>
          <w:szCs w:val="16"/>
          <w:color w:val="auto"/>
        </w:rPr>
      </w:pPr>
    </w:p>
    <w:p>
      <w:pPr>
        <w:ind w:right="20" w:firstLine="464"/>
        <w:spacing w:after="0" w:line="254"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Gross-Up Payment, as determined pursuant to this Section 1, shall be paid by Lazard to you within five days of the receipt of the Accounting Firm’s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Gross-Up Payment shall in all events be paid no later than the end of your taxable year next following your taxable year in which the Excise Tax (and any income or other related taxes or interest or penalties thereon) on a Payment are remitted to the Internal Revenue Service or any other applicable taxing authority or, in the case of amounts relating to a claim described in Section 1(c) that does not result in the remittance of any federal, state, local and foreign income, excise, social security and other taxes, the calendar year in which the claim is finally settled or otherwise resolved. Notwithstanding any other provision of this Section 1, Lazard may, in its sole discretion, withhold and pay over to the Internal Revenue Service or any other applicable taxing authority, for your benefit, all or any portion of any Gross-Up Payment, and you hereby consent to such withholding.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Non-Disparagement</w:t>
      </w:r>
    </w:p>
    <w:p>
      <w:pPr>
        <w:spacing w:after="0" w:line="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Lazard agrees that it and its affiliates shall not at any time, and Lazard Ltd shall instruct its directors and executive officers not to, make any comments or statements to the press, employees of Lazard or its affiliates, any individual or entity with whom the Company has a business relationship or any other person, if such comment or statement is disparaging to you or your reputation, except for truthful statement as may be required by law.</w:t>
      </w:r>
    </w:p>
    <w:p>
      <w:pPr>
        <w:sectPr>
          <w:pgSz w:w="11900" w:h="16838" w:orient="portrait"/>
          <w:cols w:equalWidth="0" w:num="1">
            <w:col w:w="11420"/>
          </w:cols>
          <w:pgMar w:left="240" w:top="274"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10.53</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as Borrower,</w:t>
      </w:r>
    </w:p>
    <w:p>
      <w:pPr>
        <w:spacing w:after="0" w:line="15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CITIBANK, N.A.,</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5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Lead Arranger</w:t>
      </w:r>
    </w:p>
    <w:p>
      <w:pPr>
        <w:sectPr>
          <w:pgSz w:w="11900" w:h="16838" w:orient="portrait"/>
          <w:cols w:equalWidth="0" w:num="1">
            <w:col w:w="10220"/>
          </w:cols>
          <w:pgMar w:left="1440" w:top="123"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8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0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10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10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AMOUNT AND TERMS OF LOAN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Rates and Interest Payment Dates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 for Borrowing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Optional Prepayments of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2.10</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Rata Treatment and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Non-Receipt of Funds by the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2.12</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2.13</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Adequacy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2.14</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2.15</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2.16</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Requirements of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2.17</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2.18</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 Reductions and Mandatory Prepayments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2.19</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Defaulting Lender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2.20</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10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10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Condition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Existence; Compliance with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Legal Bar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Material 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Regulations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ERISA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Act; Other Regulations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0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Significant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420"/>
          </w:cols>
          <w:pgMar w:left="240" w:top="27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0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Accuracy of Information,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of Initial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All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 and Maintenance of Existence; Compliance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NEGATIVE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Condition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Indebtedness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Fundamental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Optional Payments and Modifications of Subordinated Indebtedness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Clauses Restricting Subsidiary Distributions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Disposition of Designated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11.3</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11.4</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 by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Non-Reliance on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11.7</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10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12.1</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and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12.2</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420"/>
          </w:cols>
          <w:pgMar w:left="240" w:top="27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0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12.3</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12.4</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of Expenses and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12.6</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12.7</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12.8</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Adjustments; Right of 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12.9</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12.10</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12.11</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12.12</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12.13</w:t>
            </w:r>
          </w:p>
        </w:tc>
        <w:tc>
          <w:tcPr>
            <w:tcW w:w="9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4.13</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Significant Subsidiaries</w:t>
            </w:r>
          </w:p>
        </w:tc>
        <w:tc>
          <w:tcPr>
            <w:tcW w:w="280" w:type="dxa"/>
            <w:vAlign w:val="bottom"/>
          </w:tcPr>
          <w:p>
            <w:pPr>
              <w:spacing w:after="0"/>
              <w:rPr>
                <w:sz w:val="18"/>
                <w:szCs w:val="18"/>
                <w:color w:val="auto"/>
              </w:rPr>
            </w:pP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7.2</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Indebtedness</w:t>
            </w:r>
          </w:p>
        </w:tc>
        <w:tc>
          <w:tcPr>
            <w:tcW w:w="280" w:type="dxa"/>
            <w:vAlign w:val="bottom"/>
          </w:tcPr>
          <w:p>
            <w:pPr>
              <w:spacing w:after="0"/>
              <w:rPr>
                <w:sz w:val="19"/>
                <w:szCs w:val="19"/>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Revolving Credit Note</w:t>
            </w: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Opinion of Cravath, Swaine &amp; Moore LLP, Counsel to the Company</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Opinion of General Counsel to the Company</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B-3</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Opinion of Wilmer Cutler Pickering Hale and Dorr LLP</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80" w:type="dxa"/>
            <w:vAlign w:val="bottom"/>
          </w:tcPr>
          <w:p>
            <w:pPr>
              <w:spacing w:after="0"/>
              <w:rPr>
                <w:sz w:val="18"/>
                <w:szCs w:val="18"/>
                <w:color w:val="auto"/>
              </w:rPr>
            </w:pP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w:t>
            </w:r>
          </w:p>
        </w:tc>
        <w:tc>
          <w:tcPr>
            <w:tcW w:w="280" w:type="dxa"/>
            <w:vAlign w:val="bottom"/>
          </w:tcPr>
          <w:p>
            <w:pPr>
              <w:spacing w:after="0"/>
              <w:rPr>
                <w:sz w:val="19"/>
                <w:szCs w:val="19"/>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1420"/>
          </w:cols>
          <w:pgMar w:left="240" w:top="271" w:right="239" w:bottom="1440" w:gutter="0" w:footer="0" w:header="0"/>
        </w:sectPr>
      </w:pPr>
    </w:p>
    <w:bookmarkStart w:id="88" w:name="page89"/>
    <w:bookmarkEnd w:id="88"/>
    <w:p>
      <w:pPr>
        <w:ind w:right="100" w:firstLine="91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April 29, 2010, among LAZARD GROUP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several Banks, financial institutions, or other entities from time to time parties hereto, and CITIBANK, N.A., a national banking association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as administrative agent for the Banks hereunder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W I T N E S S E T H :</w:t>
      </w:r>
    </w:p>
    <w:p>
      <w:pPr>
        <w:spacing w:after="0" w:line="171" w:lineRule="exact"/>
        <w:rPr>
          <w:sz w:val="20"/>
          <w:szCs w:val="20"/>
          <w:color w:val="auto"/>
        </w:rPr>
      </w:pPr>
    </w:p>
    <w:p>
      <w:pPr>
        <w:ind w:right="580" w:firstLine="913"/>
        <w:spacing w:after="0" w:line="275" w:lineRule="auto"/>
        <w:rPr>
          <w:sz w:val="20"/>
          <w:szCs w:val="20"/>
          <w:color w:val="auto"/>
        </w:rPr>
      </w:pPr>
      <w:r>
        <w:rPr>
          <w:rFonts w:ascii="Times New Roman" w:cs="Times New Roman" w:eastAsia="Times New Roman" w:hAnsi="Times New Roman"/>
          <w:sz w:val="18"/>
          <w:szCs w:val="18"/>
          <w:color w:val="auto"/>
        </w:rPr>
        <w:t>WHEREAS, the Company has applied to the Banks for loans in an aggregate principal amount at any one time outstanding not in excess of $150,000,000; and</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Banks are willing to make the loans to the Company upon the terms and subject to the conditions hereinafter set forth;</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the parties hereto hereby agree as follows:</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following meanings:</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Securities and Exchange Act of 1934, as amended from time to time.</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 as defined in the Pricing Grid.</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in its capacity as administrative agent for the Banks hereunder, and its successors in such capacity.</w:t>
      </w:r>
    </w:p>
    <w:p>
      <w:pPr>
        <w:spacing w:after="0" w:line="90" w:lineRule="exact"/>
        <w:rPr>
          <w:sz w:val="20"/>
          <w:szCs w:val="20"/>
          <w:color w:val="auto"/>
        </w:rPr>
      </w:pPr>
    </w:p>
    <w:p>
      <w:pPr>
        <w:ind w:left="46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Credit Agreement, as amended, supplemented or modified from time to time.</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the Applicable Margin will be determined in accordance with the Pricing Grid.</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 defined in Section 12.7.</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an agreement substantially in the form of Exhibit C.</w:t>
      </w:r>
    </w:p>
    <w:p>
      <w:pPr>
        <w:sectPr>
          <w:pgSz w:w="11900" w:h="16838" w:orient="portrait"/>
          <w:cols w:equalWidth="0" w:num="1">
            <w:col w:w="11280"/>
          </w:cols>
          <w:pgMar w:left="240" w:top="274" w:right="379" w:bottom="1440" w:gutter="0" w:footer="0" w:header="0"/>
        </w:sectPr>
      </w:pPr>
    </w:p>
    <w:bookmarkStart w:id="89" w:name="page90"/>
    <w:bookmarkEnd w:id="89"/>
    <w:p>
      <w:pPr>
        <w:ind w:right="4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1"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Banks</w:t>
      </w:r>
      <w:r>
        <w:rPr>
          <w:rFonts w:ascii="Times New Roman" w:cs="Times New Roman" w:eastAsia="Times New Roman" w:hAnsi="Times New Roman"/>
          <w:sz w:val="18"/>
          <w:szCs w:val="18"/>
          <w:color w:val="auto"/>
        </w:rPr>
        <w:t>”: Citibank, State Street Bank and Trust Company and The Bank of New York Mellon, as parties to this Agreement, and permitted assignees pursuant to subsection 12.7 (individually, a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Bank</w:t>
      </w:r>
      <w:r>
        <w:rPr>
          <w:rFonts w:ascii="Times New Roman" w:cs="Times New Roman" w:eastAsia="Times New Roman" w:hAnsi="Times New Roman"/>
          <w:sz w:val="18"/>
          <w:szCs w:val="18"/>
          <w:color w:val="auto"/>
        </w:rPr>
        <w:t>”: as defined in Section 12.8.</w:t>
      </w:r>
    </w:p>
    <w:p>
      <w:pPr>
        <w:spacing w:after="0" w:line="90" w:lineRule="exact"/>
        <w:rPr>
          <w:sz w:val="20"/>
          <w:szCs w:val="20"/>
          <w:color w:val="auto"/>
        </w:rPr>
      </w:pPr>
    </w:p>
    <w:p>
      <w:pPr>
        <w:ind w:right="4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39" w:lineRule="exact"/>
        <w:rPr>
          <w:sz w:val="20"/>
          <w:szCs w:val="20"/>
          <w:color w:val="auto"/>
        </w:rPr>
      </w:pPr>
    </w:p>
    <w:p>
      <w:pPr>
        <w:ind w:right="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the Board of Governors of the Federal Reserve System, or any successor entity to the functions of the Board of Governors of the Federal Reserve System.</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on which the Banks make Loans hereunder, as specified in a notice pursuant to Section 2.6 or Section 2.7.</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Broker-Dealer Indebtedness</w:t>
      </w:r>
      <w:r>
        <w:rPr>
          <w:rFonts w:ascii="Times New Roman" w:cs="Times New Roman" w:eastAsia="Times New Roman" w:hAnsi="Times New Roman"/>
          <w:sz w:val="18"/>
          <w:szCs w:val="18"/>
          <w:color w:val="auto"/>
        </w:rPr>
        <w:t>”: Indebtedness of the Subsidiaries of the Company which are registered broker-dealers.</w:t>
      </w:r>
    </w:p>
    <w:p>
      <w:pPr>
        <w:spacing w:after="0" w:line="90"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 day other than a Saturday, Sunday or other day on which commercial banks in New York City are authorized or required by law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55" w:lineRule="exact"/>
        <w:rPr>
          <w:sz w:val="20"/>
          <w:szCs w:val="20"/>
          <w:color w:val="auto"/>
        </w:rPr>
      </w:pPr>
    </w:p>
    <w:p>
      <w:pPr>
        <w:ind w:right="14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55" w:lineRule="exact"/>
        <w:rPr>
          <w:sz w:val="20"/>
          <w:szCs w:val="20"/>
          <w:color w:val="auto"/>
        </w:rPr>
      </w:pPr>
    </w:p>
    <w:p>
      <w:pPr>
        <w:ind w:right="6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 Management LLC issued pursuant to the Lazard Asset Management LLC Limited Liability Company Agreement.</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700" w:top="274" w:right="259" w:bottom="1440" w:gutter="0" w:footer="0" w:header="0"/>
        </w:sectPr>
      </w:pPr>
    </w:p>
    <w:bookmarkStart w:id="90" w:name="page91"/>
    <w:bookmarkEnd w:id="90"/>
    <w:p>
      <w:pPr>
        <w:ind w:right="240" w:firstLine="438"/>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 w:lineRule="exact"/>
        <w:rPr>
          <w:sz w:val="20"/>
          <w:szCs w:val="20"/>
          <w:color w:val="auto"/>
        </w:rPr>
      </w:pPr>
    </w:p>
    <w:p>
      <w:pPr>
        <w:ind w:firstLine="4"/>
        <w:spacing w:after="0" w:line="281" w:lineRule="auto"/>
        <w:tabs>
          <w:tab w:leader="none" w:pos="24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Bank or of any commercial bank satisfying the requirements of clause</w:t>
      </w:r>
    </w:p>
    <w:p>
      <w:pPr>
        <w:spacing w:after="0" w:line="3" w:lineRule="exact"/>
        <w:rPr>
          <w:rFonts w:ascii="Times New Roman" w:cs="Times New Roman" w:eastAsia="Times New Roman" w:hAnsi="Times New Roman"/>
          <w:sz w:val="16"/>
          <w:szCs w:val="16"/>
          <w:color w:val="auto"/>
        </w:rPr>
      </w:pPr>
    </w:p>
    <w:p>
      <w:pPr>
        <w:ind w:firstLine="4"/>
        <w:spacing w:after="0" w:line="251" w:lineRule="auto"/>
        <w:tabs>
          <w:tab w:leader="none" w:pos="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65"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 the acquisition by any individual or group (other than the Managing Directors, LAZ-MD Holdings, or, in the case of the Company, Holdings or its controlled affiliates) of beneficial ownership of more than 35%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and such Parent Company shall not have an individual or group having beneficial ownership of more than 35% of the Capital Stock of the Parent Company generally entitled to elect the directors of the Parent Company), (b) failure of Continuing Directors to constitute a majority of the Board of Directors of Holdings, (c) failure of the</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91" w:name="page92"/>
    <w:bookmarkEnd w:id="9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Managing Directors to hold, directly or indirectly, Holdings Capital Stock or securities convertible or exchangeable into Holdings Capital Stock (including, without limitation, Exchangeable Interests, restricted stock, restricted stock units or other issuances under Holdings’ equity incentive plan) constituting at least 7.5% (on an as exchanged basis) of the amount of Holdings Capital Stock outstanding as of the Effective Date (or, in the case of the formation of any Parent Company, references to Holdings Capital Stock in this clause (c) shall refer to the Capital Stock of the Parent Company generally entitled to elect the directors of the Parent Company (with such percentage to be based upon the shares of such Capital Stock received by holders of Holdings Capital Stock received pursuant to the formation of such Parent Company)) or (d)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 and the regulations promulgated and the rulings issued thereunder.</w:t>
      </w:r>
    </w:p>
    <w:p>
      <w:pPr>
        <w:spacing w:after="0" w:line="90" w:lineRule="exact"/>
        <w:rPr>
          <w:sz w:val="20"/>
          <w:szCs w:val="20"/>
          <w:color w:val="auto"/>
        </w:rPr>
      </w:pPr>
    </w:p>
    <w:p>
      <w:pPr>
        <w:ind w:right="1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the Commitment Fee Rate will be determined in accordance with the Pricing Grid.</w:t>
      </w:r>
    </w:p>
    <w:p>
      <w:pPr>
        <w:spacing w:after="0" w:line="90"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as to each Bank, the percentage of the amount of the aggregate Commitments constituted by the amount of such Bank’s Commitment.</w:t>
      </w:r>
    </w:p>
    <w:p>
      <w:pPr>
        <w:spacing w:after="0" w:line="39" w:lineRule="exact"/>
        <w:rPr>
          <w:sz w:val="20"/>
          <w:szCs w:val="20"/>
          <w:color w:val="auto"/>
        </w:rPr>
      </w:pPr>
    </w:p>
    <w:p>
      <w:pPr>
        <w:ind w:right="4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39" w:lineRule="exact"/>
        <w:rPr>
          <w:sz w:val="20"/>
          <w:szCs w:val="20"/>
          <w:color w:val="auto"/>
        </w:rPr>
      </w:pPr>
    </w:p>
    <w:p>
      <w:pPr>
        <w:ind w:right="5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Interest</w:t>
      </w:r>
      <w:r>
        <w:rPr>
          <w:rFonts w:ascii="Times New Roman" w:cs="Times New Roman" w:eastAsia="Times New Roman" w:hAnsi="Times New Roman"/>
          <w:sz w:val="18"/>
          <w:szCs w:val="18"/>
          <w:color w:val="auto"/>
        </w:rPr>
        <w:t>”: as defined in the operating agreement of the Company or any other Capital Stock of the Company which shall replace the Common Interest.</w:t>
      </w:r>
    </w:p>
    <w:p>
      <w:pPr>
        <w:spacing w:after="0" w:line="39" w:lineRule="exact"/>
        <w:rPr>
          <w:sz w:val="20"/>
          <w:szCs w:val="20"/>
          <w:color w:val="auto"/>
        </w:rPr>
      </w:pPr>
    </w:p>
    <w:p>
      <w:pPr>
        <w:jc w:val="both"/>
        <w:ind w:right="280" w:firstLine="438"/>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Commonly Controlled Entity</w:t>
      </w:r>
      <w:r>
        <w:rPr>
          <w:rFonts w:ascii="Times New Roman" w:cs="Times New Roman" w:eastAsia="Times New Roman" w:hAnsi="Times New Roman"/>
          <w:sz w:val="16"/>
          <w:szCs w:val="16"/>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EBITDA</w:t>
      </w:r>
      <w:r>
        <w:rPr>
          <w:rFonts w:ascii="Times New Roman" w:cs="Times New Roman" w:eastAsia="Times New Roman" w:hAnsi="Times New Roman"/>
          <w:sz w:val="18"/>
          <w:szCs w:val="18"/>
          <w:color w:val="auto"/>
        </w:rPr>
        <w:t>”: for any period, an amount determined for the Company and its Subsidiaries on a consolidated basis equal to</w:t>
      </w:r>
    </w:p>
    <w:p>
      <w:pPr>
        <w:spacing w:after="0" w:line="21" w:lineRule="exact"/>
        <w:rPr>
          <w:sz w:val="20"/>
          <w:szCs w:val="20"/>
          <w:color w:val="auto"/>
        </w:rPr>
      </w:pPr>
    </w:p>
    <w:p>
      <w:pPr>
        <w:ind w:right="360" w:firstLine="4"/>
        <w:spacing w:after="0" w:line="261" w:lineRule="auto"/>
        <w:tabs>
          <w:tab w:leader="none" w:pos="2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the amounts for such period of (i) Consolidated Net Income, (ii) Consolidated Interest Expense, (iii) provisions for taxes based on income plus tax distributions in accordance with the Company’s operating agreement (computed on a cash</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700" w:top="274" w:right="259" w:bottom="1440" w:gutter="0" w:footer="0" w:header="0"/>
        </w:sectPr>
      </w:pPr>
    </w:p>
    <w:bookmarkStart w:id="92" w:name="page93"/>
    <w:bookmarkEnd w:id="9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basis), (iv) total depreciation expense, (v) total amortization expense, (vi) other non-cash expenses, fees, charges, reserves or losses reducing Consolidated Net Income, including provisions for minority interests to the extent exceeding cash distributions to the related minority interest holders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58"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for any period, the ratio of (a) Consolidated Adjusted EBITDA for such period to (b) Consolidated Interest Expense for such period.</w:t>
      </w:r>
    </w:p>
    <w:p>
      <w:pPr>
        <w:spacing w:after="0" w:line="39" w:lineRule="exact"/>
        <w:rPr>
          <w:sz w:val="20"/>
          <w:szCs w:val="20"/>
          <w:color w:val="auto"/>
        </w:rPr>
      </w:pPr>
    </w:p>
    <w:p>
      <w:pPr>
        <w:ind w:right="120" w:firstLine="43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57" w:lineRule="exact"/>
        <w:rPr>
          <w:sz w:val="20"/>
          <w:szCs w:val="20"/>
          <w:color w:val="auto"/>
        </w:rPr>
      </w:pPr>
    </w:p>
    <w:p>
      <w:pPr>
        <w:ind w:right="4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as at the last day of any fiscal quarter, the ratio of (a) Consolidated Total Debt on such day to (b) Consolidated Adjusted EBITDA for the period of four consecutive fiscal quarters then ended.</w:t>
      </w:r>
    </w:p>
    <w:p>
      <w:pPr>
        <w:spacing w:after="0" w:line="39"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for any period, the net income (or loss) of the Company and its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700" w:top="274" w:right="299" w:bottom="1440" w:gutter="0" w:footer="0" w:header="0"/>
        </w:sectPr>
      </w:pPr>
    </w:p>
    <w:bookmarkStart w:id="93" w:name="page94"/>
    <w:bookmarkEnd w:id="9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In addition, Consolidated Net Income shall be reduced by an amount equal to the tax distributions (computed on a cash basis) in accordance with the Company’s operating agreement.</w:t>
      </w:r>
    </w:p>
    <w:p>
      <w:pPr>
        <w:spacing w:after="0" w:line="58"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xml:space="preserve">”: at any date, the aggregate principal amount of all Indebtedness of the Company and its Subsidiaries at such date,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Indebtedness in respect of (i) the Intesa Notes and (ii) any Indebtedness of equal or junior ranking to the Intesa Notes.</w:t>
      </w:r>
    </w:p>
    <w:p>
      <w:pPr>
        <w:spacing w:after="0" w:line="58" w:lineRule="exact"/>
        <w:rPr>
          <w:sz w:val="20"/>
          <w:szCs w:val="20"/>
          <w:color w:val="auto"/>
        </w:rPr>
      </w:pPr>
    </w:p>
    <w:p>
      <w:pPr>
        <w:ind w:right="40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51" w:lineRule="exact"/>
        <w:rPr>
          <w:sz w:val="20"/>
          <w:szCs w:val="20"/>
          <w:color w:val="auto"/>
        </w:rPr>
      </w:pPr>
    </w:p>
    <w:p>
      <w:pPr>
        <w:ind w:right="2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39" w:lineRule="exact"/>
        <w:rPr>
          <w:sz w:val="20"/>
          <w:szCs w:val="20"/>
          <w:color w:val="auto"/>
        </w:rPr>
      </w:pPr>
    </w:p>
    <w:p>
      <w:pPr>
        <w:ind w:right="1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39" w:lineRule="exact"/>
        <w:rPr>
          <w:sz w:val="20"/>
          <w:szCs w:val="20"/>
          <w:color w:val="auto"/>
        </w:rPr>
      </w:pPr>
    </w:p>
    <w:p>
      <w:pPr>
        <w:ind w:right="4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of the events specified in Section 9, whether or not any requirement for the giving of notice, the lapse of time, or both, has been satisfied.</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Defaulting Lender</w:t>
      </w:r>
      <w:r>
        <w:rPr>
          <w:rFonts w:ascii="Times New Roman" w:cs="Times New Roman" w:eastAsia="Times New Roman" w:hAnsi="Times New Roman"/>
          <w:sz w:val="16"/>
          <w:szCs w:val="16"/>
          <w:color w:val="auto"/>
        </w:rPr>
        <w:t>”: means any Bank, as determined by the Administrative Agent, that has (a) failed to fund any portion of its Loans within three</w:t>
      </w:r>
    </w:p>
    <w:p>
      <w:pPr>
        <w:spacing w:after="0" w:line="44" w:lineRule="exact"/>
        <w:rPr>
          <w:sz w:val="20"/>
          <w:szCs w:val="20"/>
          <w:color w:val="auto"/>
        </w:rPr>
      </w:pPr>
    </w:p>
    <w:p>
      <w:pPr>
        <w:ind w:firstLine="4"/>
        <w:spacing w:after="0" w:line="281" w:lineRule="auto"/>
        <w:tabs>
          <w:tab w:leader="none" w:pos="2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Loans, (d) otherwise failed to pay over to the Administrative Agent or any other Bank any other amount required to be paid by it hereunder within three</w:t>
      </w:r>
    </w:p>
    <w:p>
      <w:pPr>
        <w:spacing w:after="0" w:line="3" w:lineRule="exact"/>
        <w:rPr>
          <w:rFonts w:ascii="Times New Roman" w:cs="Times New Roman" w:eastAsia="Times New Roman" w:hAnsi="Times New Roman"/>
          <w:sz w:val="16"/>
          <w:szCs w:val="16"/>
          <w:color w:val="auto"/>
        </w:rPr>
      </w:pPr>
    </w:p>
    <w:p>
      <w:pPr>
        <w:ind w:left="260" w:hanging="256"/>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w:t>
      </w:r>
    </w:p>
    <w:p>
      <w:pPr>
        <w:spacing w:after="0" w:line="1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700" w:top="274" w:right="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when due, unless the subject of a good faith dispute, or (e) (i) become or is insolvent or has a parent company that has become or is insolvent or</w:t>
      </w:r>
    </w:p>
    <w:p>
      <w:pPr>
        <w:spacing w:after="0" w:line="44" w:lineRule="exact"/>
        <w:rPr>
          <w:sz w:val="20"/>
          <w:szCs w:val="20"/>
          <w:color w:val="auto"/>
        </w:rPr>
      </w:pPr>
    </w:p>
    <w:p>
      <w:pPr>
        <w:jc w:val="both"/>
        <w:ind w:right="140" w:firstLine="4"/>
        <w:spacing w:after="0" w:line="254"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57"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Asset Sale</w:t>
      </w:r>
      <w:r>
        <w:rPr>
          <w:rFonts w:ascii="Times New Roman" w:cs="Times New Roman" w:eastAsia="Times New Roman" w:hAnsi="Times New Roman"/>
          <w:sz w:val="18"/>
          <w:szCs w:val="18"/>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39" w:lineRule="exact"/>
        <w:rPr>
          <w:sz w:val="20"/>
          <w:szCs w:val="20"/>
          <w:color w:val="auto"/>
        </w:rPr>
      </w:pPr>
    </w:p>
    <w:p>
      <w:pPr>
        <w:ind w:right="3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each of Lazard Frères &amp; Co. LLC, Lazard Asset Management LLC, Lazard &amp; Co., Limited and Lazard Frères SAS and each of their respective successors.</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Amount</w:t>
      </w:r>
      <w:r>
        <w:rPr>
          <w:rFonts w:ascii="Times New Roman" w:cs="Times New Roman" w:eastAsia="Times New Roman" w:hAnsi="Times New Roman"/>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date on which all the conditions set forth in Section 5.1 are satisfied.</w:t>
      </w:r>
    </w:p>
    <w:p>
      <w:pPr>
        <w:spacing w:after="0" w:line="90" w:lineRule="exact"/>
        <w:rPr>
          <w:sz w:val="20"/>
          <w:szCs w:val="20"/>
          <w:color w:val="auto"/>
        </w:rPr>
      </w:pPr>
    </w:p>
    <w:p>
      <w:pPr>
        <w:ind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51" w:lineRule="exact"/>
        <w:rPr>
          <w:sz w:val="20"/>
          <w:szCs w:val="20"/>
          <w:color w:val="auto"/>
        </w:rPr>
      </w:pPr>
    </w:p>
    <w:p>
      <w:pPr>
        <w:ind w:right="40"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Requirements</w:t>
      </w:r>
      <w:r>
        <w:rPr>
          <w:rFonts w:ascii="Times New Roman" w:cs="Times New Roman" w:eastAsia="Times New Roman" w:hAnsi="Times New Roman"/>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58" w:lineRule="exact"/>
        <w:rPr>
          <w:sz w:val="20"/>
          <w:szCs w:val="20"/>
          <w:color w:val="auto"/>
        </w:rPr>
      </w:pPr>
    </w:p>
    <w:p>
      <w:pPr>
        <w:ind w:right="80"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Base Rate</w:t>
      </w:r>
      <w:r>
        <w:rPr>
          <w:rFonts w:ascii="Times New Roman" w:cs="Times New Roman" w:eastAsia="Times New Roman" w:hAnsi="Times New Roman"/>
          <w:sz w:val="18"/>
          <w:szCs w:val="18"/>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Times New Roman" w:cs="Times New Roman" w:eastAsia="Times New Roman" w:hAnsi="Times New Roman"/>
          <w:sz w:val="18"/>
          <w:szCs w:val="18"/>
          <w:u w:val="single" w:color="auto"/>
          <w:color w:val="auto"/>
        </w:rPr>
        <w:t>Eurodollar Base Rate</w:t>
      </w:r>
      <w:r>
        <w:rPr>
          <w:rFonts w:ascii="Times New Roman" w:cs="Times New Roman" w:eastAsia="Times New Roman" w:hAnsi="Times New Roman"/>
          <w:sz w:val="18"/>
          <w:szCs w:val="18"/>
          <w:color w:val="auto"/>
        </w:rPr>
        <w:t>” shall be determined by reference to such other comparable publicly available service for displaying eurodollar rates as may</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4" w:right="239" w:bottom="1440" w:gutter="0" w:footer="0" w:header="0"/>
        </w:sectPr>
      </w:pPr>
    </w:p>
    <w:bookmarkStart w:id="95" w:name="page96"/>
    <w:bookmarkEnd w:id="9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selected by the Administrative Agent or, in the absence of such availability, by reference to the rate at which the Administrative Agent is offered Dollar deposits at or about 11:00 A.M., New York City time, two (2)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Loans</w:t>
      </w:r>
      <w:r>
        <w:rPr>
          <w:rFonts w:ascii="Times New Roman" w:cs="Times New Roman" w:eastAsia="Times New Roman" w:hAnsi="Times New Roman"/>
          <w:sz w:val="18"/>
          <w:szCs w:val="18"/>
          <w:color w:val="auto"/>
        </w:rPr>
        <w:t>”: Loans the rate of interest applicable to which is based upon the Eurodollar Rate.</w:t>
      </w:r>
    </w:p>
    <w:p>
      <w:pPr>
        <w:spacing w:after="0" w:line="90" w:lineRule="exact"/>
        <w:rPr>
          <w:sz w:val="20"/>
          <w:szCs w:val="20"/>
          <w:color w:val="auto"/>
        </w:rPr>
      </w:pPr>
    </w:p>
    <w:p>
      <w:pPr>
        <w:ind w:right="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xml:space="preserve">”: with respect to each day during each Interest Period pertaining to a Eurodollar Loan, a rate per annum determined for such day in accordance with the following formula (rounded upward to the nearest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100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1%):</w:t>
      </w:r>
    </w:p>
    <w:p>
      <w:pPr>
        <w:spacing w:after="0" w:line="1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Eurodollar Base Rate</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-130175</wp:posOffset>
            </wp:positionV>
            <wp:extent cx="24701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0" w:lineRule="exact"/>
        <w:rPr>
          <w:sz w:val="20"/>
          <w:szCs w:val="20"/>
          <w:color w:val="auto"/>
        </w:rPr>
      </w:pPr>
    </w:p>
    <w:p>
      <w:pPr>
        <w:ind w:right="2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Section 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the New York Stock Exchange, Inc.</w:t>
      </w:r>
    </w:p>
    <w:p>
      <w:pPr>
        <w:spacing w:after="0" w:line="90" w:lineRule="exact"/>
        <w:rPr>
          <w:sz w:val="20"/>
          <w:szCs w:val="20"/>
          <w:color w:val="auto"/>
        </w:rPr>
      </w:pPr>
    </w:p>
    <w:p>
      <w:pPr>
        <w:ind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Exchangeable Interest</w:t>
      </w:r>
      <w:r>
        <w:rPr>
          <w:rFonts w:ascii="Times New Roman" w:cs="Times New Roman" w:eastAsia="Times New Roman" w:hAnsi="Times New Roman"/>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51" w:lineRule="exact"/>
        <w:rPr>
          <w:sz w:val="20"/>
          <w:szCs w:val="20"/>
          <w:color w:val="auto"/>
        </w:rPr>
      </w:pPr>
    </w:p>
    <w:p>
      <w:pPr>
        <w:ind w:right="1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Senior Revolving Credit Agreement dated as of May 10, 2005, as amended, among the Company, the banks from time to time parties hereto, and JPMorgan Chase Bank, N.A., as administrative agent.</w:t>
      </w:r>
    </w:p>
    <w:p>
      <w:pPr>
        <w:spacing w:after="0" w:line="39"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39" w:lineRule="exact"/>
        <w:rPr>
          <w:sz w:val="20"/>
          <w:szCs w:val="20"/>
          <w:color w:val="auto"/>
        </w:rPr>
      </w:pPr>
    </w:p>
    <w:p>
      <w:pPr>
        <w:ind w:right="160" w:firstLine="43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 Rate</w:t>
      </w:r>
      <w:r>
        <w:rPr>
          <w:rFonts w:ascii="Times New Roman" w:cs="Times New Roman" w:eastAsia="Times New Roman" w:hAnsi="Times New Roman"/>
          <w:sz w:val="18"/>
          <w:szCs w:val="18"/>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 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4" w:right="259" w:bottom="1440" w:gutter="0" w:footer="0" w:header="0"/>
        </w:sectPr>
      </w:pPr>
    </w:p>
    <w:bookmarkStart w:id="96" w:name="page97"/>
    <w:bookmarkEnd w:id="96"/>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100</w:t>
      </w:r>
      <w:r>
        <w:rPr>
          <w:rFonts w:ascii="Times New Roman" w:cs="Times New Roman" w:eastAsia="Times New Roman" w:hAnsi="Times New Roman"/>
          <w:sz w:val="18"/>
          <w:szCs w:val="18"/>
          <w:color w:val="auto"/>
        </w:rPr>
        <w:t xml:space="preserve"> of 1%.</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 Rate Loans</w:t>
      </w:r>
      <w:r>
        <w:rPr>
          <w:rFonts w:ascii="Times New Roman" w:cs="Times New Roman" w:eastAsia="Times New Roman" w:hAnsi="Times New Roman"/>
          <w:sz w:val="18"/>
          <w:szCs w:val="18"/>
          <w:color w:val="auto"/>
        </w:rPr>
        <w:t>”: Loans the rate of interest applicable to which is based upon the Fed Rate.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Fee Letter dated as of March 29, 2010 among the Lead Arranger, the Administrative Agent and the Company.</w:t>
      </w:r>
    </w:p>
    <w:p>
      <w:pPr>
        <w:spacing w:after="0" w:line="90" w:lineRule="exact"/>
        <w:rPr>
          <w:sz w:val="20"/>
          <w:szCs w:val="20"/>
          <w:color w:val="auto"/>
        </w:rPr>
      </w:pPr>
    </w:p>
    <w:p>
      <w:pPr>
        <w:ind w:right="4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FOCUS Report</w:t>
      </w:r>
      <w:r>
        <w:rPr>
          <w:rFonts w:ascii="Times New Roman" w:cs="Times New Roman" w:eastAsia="Times New Roman" w:hAnsi="Times New Roman"/>
          <w:sz w:val="18"/>
          <w:szCs w:val="18"/>
          <w:color w:val="auto"/>
        </w:rPr>
        <w:t>”: a Financial and Operational Combined Uniform Single Report required to be filed on a quarterly basis with the SEC and the NASD or the Exchange, as applicable, or any report which is required in lieu of such report, or any equivalent reporting statement required by the applicable regulatory agency for any Designated Subsidiary.</w:t>
      </w:r>
    </w:p>
    <w:p>
      <w:pPr>
        <w:spacing w:after="0" w:line="51" w:lineRule="exact"/>
        <w:rPr>
          <w:sz w:val="20"/>
          <w:szCs w:val="20"/>
          <w:color w:val="auto"/>
        </w:rPr>
      </w:pPr>
    </w:p>
    <w:p>
      <w:pPr>
        <w:jc w:val="both"/>
        <w:ind w:right="20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each employee benefit plan (within the meaning of Section 3(3) of ERISA, whether or not subject to ERISA) that is not subject to U.S. law and is maintained or contributed to (or within the past five years has been maintained or contributed to) by the Company, any of its Significant Subsidiaries or any Commonly Controlled Entity.</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generally accepted accounting principles in the United States.</w:t>
      </w:r>
    </w:p>
    <w:p>
      <w:pPr>
        <w:spacing w:after="0" w:line="90"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39" w:lineRule="exact"/>
        <w:rPr>
          <w:sz w:val="20"/>
          <w:szCs w:val="20"/>
          <w:color w:val="auto"/>
        </w:rPr>
      </w:pPr>
    </w:p>
    <w:p>
      <w:pPr>
        <w:ind w:right="200" w:firstLine="438"/>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Guarantee Obligation</w:t>
      </w:r>
      <w:r>
        <w:rPr>
          <w:rFonts w:ascii="Times New Roman" w:cs="Times New Roman" w:eastAsia="Times New Roman" w:hAnsi="Times New Roman"/>
          <w:sz w:val="16"/>
          <w:szCs w:val="16"/>
          <w:color w:val="auto"/>
        </w:rPr>
        <w:t>”: as to any Person (the “</w:t>
      </w:r>
      <w:r>
        <w:rPr>
          <w:rFonts w:ascii="Times New Roman" w:cs="Times New Roman" w:eastAsia="Times New Roman" w:hAnsi="Times New Roman"/>
          <w:sz w:val="16"/>
          <w:szCs w:val="16"/>
          <w:u w:val="single" w:color="auto"/>
          <w:color w:val="auto"/>
        </w:rPr>
        <w:t>guaranteeing person</w:t>
      </w:r>
      <w:r>
        <w:rPr>
          <w:rFonts w:ascii="Times New Roman" w:cs="Times New Roman" w:eastAsia="Times New Roman" w:hAnsi="Times New Roman"/>
          <w:sz w:val="16"/>
          <w:szCs w:val="16"/>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6"/>
          <w:szCs w:val="16"/>
          <w:u w:val="single" w:color="auto"/>
          <w:color w:val="auto"/>
        </w:rPr>
        <w:t>primary obligations</w:t>
      </w:r>
      <w:r>
        <w:rPr>
          <w:rFonts w:ascii="Times New Roman" w:cs="Times New Roman" w:eastAsia="Times New Roman" w:hAnsi="Times New Roman"/>
          <w:sz w:val="16"/>
          <w:szCs w:val="16"/>
          <w:color w:val="auto"/>
        </w:rPr>
        <w:t>”) of any other third Person (the “</w:t>
      </w:r>
      <w:r>
        <w:rPr>
          <w:rFonts w:ascii="Times New Roman" w:cs="Times New Roman" w:eastAsia="Times New Roman" w:hAnsi="Times New Roman"/>
          <w:sz w:val="16"/>
          <w:szCs w:val="16"/>
          <w:u w:val="single" w:color="auto"/>
          <w:color w:val="auto"/>
        </w:rPr>
        <w:t>primary obligor</w:t>
      </w:r>
      <w:r>
        <w:rPr>
          <w:rFonts w:ascii="Times New Roman" w:cs="Times New Roman" w:eastAsia="Times New Roman" w:hAnsi="Times New Roman"/>
          <w:sz w:val="16"/>
          <w:szCs w:val="16"/>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ind w:left="220" w:hanging="216"/>
        <w:spacing w:after="0"/>
        <w:tabs>
          <w:tab w:leader="none" w:pos="2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purchase or payment of any such primary obligation or (ii) to maintain working capital or equity capital of the primary obligor or otherwise to</w:t>
      </w:r>
    </w:p>
    <w:p>
      <w:pPr>
        <w:spacing w:after="0" w:line="32" w:lineRule="exact"/>
        <w:rPr>
          <w:rFonts w:ascii="Times New Roman" w:cs="Times New Roman" w:eastAsia="Times New Roman" w:hAnsi="Times New Roman"/>
          <w:sz w:val="16"/>
          <w:szCs w:val="16"/>
          <w:color w:val="auto"/>
        </w:rPr>
      </w:pPr>
    </w:p>
    <w:p>
      <w:pPr>
        <w:ind w:right="2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assurances given in the ordinary course of business for the payment of obligations of customers or suppliers of the Company or any Subsidiary, customary indemnifications, representations and</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700" w:top="274" w:right="27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Capital Stock</w:t>
      </w:r>
      <w:r>
        <w:rPr>
          <w:rFonts w:ascii="Times New Roman" w:cs="Times New Roman" w:eastAsia="Times New Roman" w:hAnsi="Times New Roman"/>
          <w:sz w:val="18"/>
          <w:szCs w:val="18"/>
          <w:color w:val="auto"/>
        </w:rPr>
        <w:t>”: the Class A common stock, par value $.01 per share, of Holdings.</w:t>
      </w:r>
    </w:p>
    <w:p>
      <w:pPr>
        <w:spacing w:after="0" w:line="90" w:lineRule="exact"/>
        <w:rPr>
          <w:sz w:val="20"/>
          <w:szCs w:val="20"/>
          <w:color w:val="auto"/>
        </w:rPr>
      </w:pPr>
    </w:p>
    <w:p>
      <w:pPr>
        <w:ind w:right="100" w:firstLine="438"/>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spacing w:after="0" w:line="1" w:lineRule="exact"/>
        <w:rPr>
          <w:sz w:val="20"/>
          <w:szCs w:val="20"/>
          <w:color w:val="auto"/>
        </w:rPr>
      </w:pPr>
    </w:p>
    <w:p>
      <w:pPr>
        <w:ind w:right="180" w:firstLine="4"/>
        <w:spacing w:after="0" w:line="281" w:lineRule="auto"/>
        <w:tabs>
          <w:tab w:leader="none" w:pos="23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2" w:lineRule="exact"/>
        <w:rPr>
          <w:rFonts w:ascii="Times New Roman" w:cs="Times New Roman" w:eastAsia="Times New Roman" w:hAnsi="Times New Roman"/>
          <w:sz w:val="16"/>
          <w:szCs w:val="16"/>
          <w:color w:val="auto"/>
        </w:rPr>
      </w:pPr>
    </w:p>
    <w:p>
      <w:pPr>
        <w:ind w:firstLine="4"/>
        <w:spacing w:after="0" w:line="286" w:lineRule="auto"/>
        <w:tabs>
          <w:tab w:leader="none" w:pos="21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(y) any Cash and Cash Equivalents of the Company and its Subsidiaries to the extent such Cash and Cash Equivalents are greater than $50,000,000.</w:t>
      </w:r>
    </w:p>
    <w:p>
      <w:pPr>
        <w:spacing w:after="0" w:line="3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700" w:top="274" w:right="23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 ERISA.</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90" w:lineRule="exact"/>
        <w:rPr>
          <w:sz w:val="20"/>
          <w:szCs w:val="20"/>
          <w:color w:val="auto"/>
        </w:rPr>
      </w:pPr>
    </w:p>
    <w:p>
      <w:pPr>
        <w:ind w:right="3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Notes</w:t>
      </w:r>
      <w:r>
        <w:rPr>
          <w:rFonts w:ascii="Times New Roman" w:cs="Times New Roman" w:eastAsia="Times New Roman" w:hAnsi="Times New Roman"/>
          <w:sz w:val="18"/>
          <w:szCs w:val="18"/>
          <w:color w:val="auto"/>
        </w:rPr>
        <w:t>”: Indebtedness issued by the Company or any Subsidiary to facilitate the deferral by clients of capital gains which result from securities transactions.</w:t>
      </w:r>
    </w:p>
    <w:p>
      <w:pPr>
        <w:spacing w:after="0" w:line="39" w:lineRule="exact"/>
        <w:rPr>
          <w:sz w:val="20"/>
          <w:szCs w:val="20"/>
          <w:color w:val="auto"/>
        </w:rPr>
      </w:pPr>
    </w:p>
    <w:p>
      <w:pPr>
        <w:ind w:right="18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with respect to any Eurodollar Loan:</w:t>
      </w:r>
    </w:p>
    <w:p>
      <w:pPr>
        <w:spacing w:after="0" w:line="90" w:lineRule="exact"/>
        <w:rPr>
          <w:sz w:val="20"/>
          <w:szCs w:val="20"/>
          <w:color w:val="auto"/>
        </w:rPr>
      </w:pPr>
    </w:p>
    <w:p>
      <w:pPr>
        <w:ind w:left="460" w:right="180" w:firstLine="421"/>
        <w:spacing w:after="0" w:line="258" w:lineRule="auto"/>
        <w:tabs>
          <w:tab w:leader="none" w:pos="11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55" w:lineRule="exact"/>
        <w:rPr>
          <w:rFonts w:ascii="Times New Roman" w:cs="Times New Roman" w:eastAsia="Times New Roman" w:hAnsi="Times New Roman"/>
          <w:sz w:val="18"/>
          <w:szCs w:val="18"/>
          <w:color w:val="auto"/>
        </w:rPr>
      </w:pPr>
    </w:p>
    <w:p>
      <w:pPr>
        <w:ind w:left="460" w:right="240" w:firstLine="421"/>
        <w:spacing w:after="0" w:line="310" w:lineRule="auto"/>
        <w:tabs>
          <w:tab w:leader="none" w:pos="112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262" w:lineRule="auto"/>
        <w:tabs>
          <w:tab w:leader="none" w:pos="10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51"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extend beyond the Maturity Date shall end on the Maturity Date; and</w:t>
      </w:r>
    </w:p>
    <w:p>
      <w:pPr>
        <w:spacing w:after="0" w:line="90" w:lineRule="exact"/>
        <w:rPr>
          <w:rFonts w:ascii="Times New Roman" w:cs="Times New Roman" w:eastAsia="Times New Roman" w:hAnsi="Times New Roman"/>
          <w:sz w:val="18"/>
          <w:szCs w:val="18"/>
          <w:color w:val="auto"/>
        </w:rPr>
      </w:pPr>
    </w:p>
    <w:p>
      <w:pPr>
        <w:ind w:left="460" w:firstLine="421"/>
        <w:spacing w:after="0" w:line="339" w:lineRule="auto"/>
        <w:tabs>
          <w:tab w:leader="none" w:pos="11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spacing w:after="0" w:line="6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4" w:right="239" w:bottom="1440" w:gutter="0" w:footer="0" w:header="0"/>
        </w:sectPr>
      </w:pPr>
    </w:p>
    <w:bookmarkStart w:id="99" w:name="page100"/>
    <w:bookmarkEnd w:id="99"/>
    <w:p>
      <w:pPr>
        <w:ind w:right="200"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Intesa Notes</w:t>
      </w:r>
      <w:r>
        <w:rPr>
          <w:rFonts w:ascii="Times New Roman" w:cs="Times New Roman" w:eastAsia="Times New Roman" w:hAnsi="Times New Roman"/>
          <w:sz w:val="18"/>
          <w:szCs w:val="18"/>
          <w:color w:val="auto"/>
        </w:rPr>
        <w:t>”: that certain subordinated convertible promissory note, dated March 26, 2003 and amended and restated as of May 15, 2006, in the principal amount of $150,000,000, issued by Lazard Funding Limited LLC in favor of Banca Intesa S.p.A.</w:t>
      </w:r>
    </w:p>
    <w:p>
      <w:pPr>
        <w:spacing w:after="0" w:line="39"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Intesa Strategic Alliance</w:t>
      </w:r>
      <w:r>
        <w:rPr>
          <w:rFonts w:ascii="Times New Roman" w:cs="Times New Roman" w:eastAsia="Times New Roman" w:hAnsi="Times New Roman"/>
          <w:sz w:val="18"/>
          <w:szCs w:val="18"/>
          <w:color w:val="auto"/>
        </w:rPr>
        <w:t>”: that certain strategic alliance entered into between the Company and Banca Intesa S.p.A. in September 2002, pursuant to which Banca Intesa S.p.A. acquired a 40% interest in Lazard &amp; Co. S.r.l.</w:t>
      </w:r>
    </w:p>
    <w:p>
      <w:pPr>
        <w:spacing w:after="0" w:line="39"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LAZ-MD Holdings</w:t>
      </w:r>
      <w:r>
        <w:rPr>
          <w:rFonts w:ascii="Times New Roman" w:cs="Times New Roman" w:eastAsia="Times New Roman" w:hAnsi="Times New Roman"/>
          <w:sz w:val="18"/>
          <w:szCs w:val="18"/>
          <w:color w:val="auto"/>
        </w:rPr>
        <w:t>”: LAZ-MD Holdings LLC, a Delaware limited liability company.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LFNY</w:t>
      </w:r>
      <w:r>
        <w:rPr>
          <w:rFonts w:ascii="Times New Roman" w:cs="Times New Roman" w:eastAsia="Times New Roman" w:hAnsi="Times New Roman"/>
          <w:sz w:val="18"/>
          <w:szCs w:val="18"/>
          <w:color w:val="auto"/>
        </w:rPr>
        <w:t>”: Lazard Frères &amp; Co. LLC, a New York limited liability company.</w:t>
      </w:r>
    </w:p>
    <w:p>
      <w:pPr>
        <w:spacing w:after="0" w:line="90" w:lineRule="exact"/>
        <w:rPr>
          <w:sz w:val="20"/>
          <w:szCs w:val="20"/>
          <w:color w:val="auto"/>
        </w:rPr>
      </w:pPr>
    </w:p>
    <w:p>
      <w:pPr>
        <w:ind w:right="4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collective reference to the Loans.</w:t>
      </w:r>
    </w:p>
    <w:p>
      <w:pPr>
        <w:spacing w:after="0" w:line="90" w:lineRule="exact"/>
        <w:rPr>
          <w:sz w:val="20"/>
          <w:szCs w:val="20"/>
          <w:color w:val="auto"/>
        </w:rPr>
      </w:pPr>
    </w:p>
    <w:p>
      <w:pPr>
        <w:ind w:right="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Lease Commitment</w:t>
      </w:r>
      <w:r>
        <w:rPr>
          <w:rFonts w:ascii="Times New Roman" w:cs="Times New Roman" w:eastAsia="Times New Roman" w:hAnsi="Times New Roman"/>
          <w:sz w:val="18"/>
          <w:szCs w:val="18"/>
          <w:color w:val="auto"/>
        </w:rPr>
        <w:t>”: as to the Company, its liability for certain operating lease commitments related to its office facilities in London with no assured substantive future use or benefit to the Company.</w:t>
      </w:r>
    </w:p>
    <w:p>
      <w:pPr>
        <w:spacing w:after="0" w:line="39"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Indebtedness</w:t>
      </w:r>
      <w:r>
        <w:rPr>
          <w:rFonts w:ascii="Times New Roman" w:cs="Times New Roman" w:eastAsia="Times New Roman" w:hAnsi="Times New Roman"/>
          <w:sz w:val="18"/>
          <w:szCs w:val="18"/>
          <w:color w:val="auto"/>
        </w:rPr>
        <w:t>”: at any date of determination, Indebtedness (including Capital Lease Obligations) of the Company maturing after twelve months from such date.</w:t>
      </w:r>
    </w:p>
    <w:p>
      <w:pPr>
        <w:spacing w:after="0" w:line="39"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Investments</w:t>
      </w:r>
      <w:r>
        <w:rPr>
          <w:rFonts w:ascii="Times New Roman" w:cs="Times New Roman" w:eastAsia="Times New Roman" w:hAnsi="Times New Roman"/>
          <w:sz w:val="18"/>
          <w:szCs w:val="18"/>
          <w:color w:val="auto"/>
        </w:rPr>
        <w:t>”: Investments of the Company other than those Investments which are listed on a national exchange and for which there is an active quoted price.</w:t>
      </w:r>
    </w:p>
    <w:p>
      <w:pPr>
        <w:spacing w:after="0" w:line="39" w:lineRule="exact"/>
        <w:rPr>
          <w:sz w:val="20"/>
          <w:szCs w:val="20"/>
          <w:color w:val="auto"/>
        </w:rPr>
      </w:pPr>
    </w:p>
    <w:p>
      <w:pPr>
        <w:ind w:right="2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Directors</w:t>
      </w:r>
      <w:r>
        <w:rPr>
          <w:rFonts w:ascii="Times New Roman" w:cs="Times New Roman" w:eastAsia="Times New Roman" w:hAnsi="Times New Roman"/>
          <w:sz w:val="18"/>
          <w:szCs w:val="18"/>
          <w:color w:val="auto"/>
        </w:rPr>
        <w:t>”: the collective reference to each of the managing directors of Holdings, the Company, LFCM Holdings LLC or any of their respective controlled affiliates who holds, directly or indirectly, an equity interest of Holdings or securities</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700" w:top="274" w:right="299" w:bottom="1440" w:gutter="0" w:footer="0" w:header="0"/>
        </w:sectPr>
      </w:pPr>
    </w:p>
    <w:bookmarkStart w:id="100" w:name="page101"/>
    <w:bookmarkEnd w:id="100"/>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as defined in Regulation U of the Board of Governors as in effect from time to time.</w:t>
      </w:r>
    </w:p>
    <w:p>
      <w:pPr>
        <w:spacing w:after="0" w:line="90"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Separation Agreement</w:t>
      </w:r>
      <w:r>
        <w:rPr>
          <w:rFonts w:ascii="Times New Roman" w:cs="Times New Roman" w:eastAsia="Times New Roman" w:hAnsi="Times New Roman"/>
          <w:sz w:val="18"/>
          <w:szCs w:val="18"/>
          <w:color w:val="auto"/>
        </w:rPr>
        <w:t>”: means the Master Separation Agreement, dated as of May 10, 2005, by and among Holdings, LAZ-MD Holdings, the Company and LFCM Holdings LLC, as amended from time to time.</w:t>
      </w:r>
    </w:p>
    <w:p>
      <w:pPr>
        <w:spacing w:after="0" w:line="39" w:lineRule="exact"/>
        <w:rPr>
          <w:sz w:val="20"/>
          <w:szCs w:val="20"/>
          <w:color w:val="auto"/>
        </w:rPr>
      </w:pPr>
    </w:p>
    <w:p>
      <w:pPr>
        <w:ind w:right="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date which is the third anniversary of the Effective Date.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 Equity</w:t>
      </w:r>
      <w:r>
        <w:rPr>
          <w:rFonts w:ascii="Times New Roman" w:cs="Times New Roman" w:eastAsia="Times New Roman" w:hAnsi="Times New Roman"/>
          <w:sz w:val="18"/>
          <w:szCs w:val="18"/>
          <w:color w:val="auto"/>
        </w:rPr>
        <w:t>”: ownership equity of the Company represented by common members’ interests.</w:t>
      </w:r>
    </w:p>
    <w:p>
      <w:pPr>
        <w:spacing w:after="0" w:line="90" w:lineRule="exact"/>
        <w:rPr>
          <w:sz w:val="20"/>
          <w:szCs w:val="20"/>
          <w:color w:val="auto"/>
        </w:rPr>
      </w:pPr>
    </w:p>
    <w:p>
      <w:pPr>
        <w:ind w:right="60" w:firstLine="438"/>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Minority Interests</w:t>
      </w:r>
      <w:r>
        <w:rPr>
          <w:rFonts w:ascii="Times New Roman" w:cs="Times New Roman" w:eastAsia="Times New Roman" w:hAnsi="Times New Roman"/>
          <w:sz w:val="16"/>
          <w:szCs w:val="16"/>
          <w:color w:val="auto"/>
        </w:rPr>
        <w:t>”: the collective reference to any capital contributions made by a third party to the Company and any profit participation interests and the equity units of Lazard Asset Management LLC issued pursuant to the Lazard Asset Management LLC Limited Liability Company Agreement.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multiemployer plan as defined in Section 4001(a)(3) of ERISA.</w:t>
      </w:r>
    </w:p>
    <w:p>
      <w:pPr>
        <w:spacing w:after="0" w:line="90" w:lineRule="exact"/>
        <w:rPr>
          <w:sz w:val="20"/>
          <w:szCs w:val="20"/>
          <w:color w:val="auto"/>
        </w:rPr>
      </w:pPr>
    </w:p>
    <w:p>
      <w:pPr>
        <w:ind w:right="3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w:t>
      </w:r>
      <w:r>
        <w:rPr>
          <w:rFonts w:ascii="Times New Roman" w:cs="Times New Roman" w:eastAsia="Times New Roman" w:hAnsi="Times New Roman"/>
          <w:sz w:val="18"/>
          <w:szCs w:val="18"/>
          <w:color w:val="auto"/>
        </w:rPr>
        <w:t>”: the National Association of Securities Dealers, Inc., or any other self-regulatory body which succeeds to the functions of the National Association of Securities Dealers, Inc.</w:t>
      </w:r>
    </w:p>
    <w:p>
      <w:pPr>
        <w:spacing w:after="0" w:line="39" w:lineRule="exact"/>
        <w:rPr>
          <w:sz w:val="20"/>
          <w:szCs w:val="20"/>
          <w:color w:val="auto"/>
        </w:rPr>
      </w:pPr>
    </w:p>
    <w:p>
      <w:pPr>
        <w:ind w:right="1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Capital</w:t>
      </w:r>
      <w:r>
        <w:rPr>
          <w:rFonts w:ascii="Times New Roman" w:cs="Times New Roman" w:eastAsia="Times New Roman" w:hAnsi="Times New Roman"/>
          <w:sz w:val="18"/>
          <w:szCs w:val="18"/>
          <w:color w:val="auto"/>
        </w:rPr>
        <w:t>”: as defined in Rule 15c3-1, including the appendices thereto, as promulgated by the SEC under the Act (17 CFR 240.15c3-1), as such rule may be amended from time to time, or any rule or regulation of the SEC which replaces Rule 15c3-1.</w:t>
      </w:r>
    </w:p>
    <w:p>
      <w:pPr>
        <w:spacing w:after="0" w:line="39" w:lineRule="exact"/>
        <w:rPr>
          <w:sz w:val="20"/>
          <w:szCs w:val="20"/>
          <w:color w:val="auto"/>
        </w:rPr>
      </w:pPr>
    </w:p>
    <w:p>
      <w:pPr>
        <w:ind w:right="40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700" w:top="274" w:right="279" w:bottom="1440" w:gutter="0" w:footer="0" w:header="0"/>
        </w:sectPr>
      </w:pPr>
    </w:p>
    <w:bookmarkStart w:id="101" w:name="page102"/>
    <w:bookmarkEnd w:id="10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Cash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66" w:lineRule="exact"/>
        <w:rPr>
          <w:sz w:val="20"/>
          <w:szCs w:val="20"/>
          <w:color w:val="auto"/>
        </w:rPr>
      </w:pPr>
    </w:p>
    <w:p>
      <w:pPr>
        <w:ind w:right="180" w:firstLine="438"/>
        <w:spacing w:after="0" w:line="258" w:lineRule="auto"/>
        <w:rPr>
          <w:sz w:val="20"/>
          <w:szCs w:val="20"/>
          <w:color w:val="auto"/>
        </w:rPr>
      </w:pPr>
      <w:r>
        <w:rPr>
          <w:rFonts w:ascii="Times New Roman" w:cs="Times New Roman" w:eastAsia="Times New Roman" w:hAnsi="Times New Roman"/>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as defined in Section 2.2; collectively, the “Notes”.</w:t>
      </w:r>
    </w:p>
    <w:p>
      <w:pPr>
        <w:spacing w:after="0" w:line="90"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700" w:top="274" w:right="279" w:bottom="1440" w:gutter="0" w:footer="0" w:header="0"/>
        </w:sectPr>
      </w:pPr>
    </w:p>
    <w:bookmarkStart w:id="102" w:name="page103"/>
    <w:bookmarkEnd w:id="102"/>
    <w:p>
      <w:pPr>
        <w:ind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Paris House</w:t>
      </w:r>
      <w:r>
        <w:rPr>
          <w:rFonts w:ascii="Times New Roman" w:cs="Times New Roman" w:eastAsia="Times New Roman" w:hAnsi="Times New Roman"/>
          <w:sz w:val="18"/>
          <w:szCs w:val="18"/>
          <w:color w:val="auto"/>
        </w:rPr>
        <w:t>”: the business operations of the Company headquartered in Paris.</w:t>
      </w:r>
    </w:p>
    <w:p>
      <w:pPr>
        <w:spacing w:after="0" w:line="90" w:lineRule="exact"/>
        <w:rPr>
          <w:sz w:val="20"/>
          <w:szCs w:val="20"/>
          <w:color w:val="auto"/>
        </w:rPr>
      </w:pPr>
    </w:p>
    <w:p>
      <w:pPr>
        <w:ind w:right="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Paris Lease</w:t>
      </w:r>
      <w:r>
        <w:rPr>
          <w:rFonts w:ascii="Times New Roman" w:cs="Times New Roman" w:eastAsia="Times New Roman" w:hAnsi="Times New Roman"/>
          <w:sz w:val="18"/>
          <w:szCs w:val="18"/>
          <w:color w:val="auto"/>
        </w:rPr>
        <w:t>”: the sale and lease-back of the real properties located at 121 Boulevard Haussmann, 75008, Paris, 119 Boulevard Haussmann, 75008, Paris, and 10 Avenue Percier, 75008, Paris.</w:t>
      </w:r>
    </w:p>
    <w:p>
      <w:pPr>
        <w:spacing w:after="0" w:line="39" w:lineRule="exact"/>
        <w:rPr>
          <w:sz w:val="20"/>
          <w:szCs w:val="20"/>
          <w:color w:val="auto"/>
        </w:rPr>
      </w:pPr>
    </w:p>
    <w:p>
      <w:pPr>
        <w:ind w:right="14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Paris Profit Sharing Plan</w:t>
      </w:r>
      <w:r>
        <w:rPr>
          <w:rFonts w:ascii="Times New Roman" w:cs="Times New Roman" w:eastAsia="Times New Roman" w:hAnsi="Times New Roman"/>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Financings</w:t>
      </w:r>
      <w:r>
        <w:rPr>
          <w:rFonts w:ascii="Times New Roman" w:cs="Times New Roman" w:eastAsia="Times New Roman" w:hAnsi="Times New Roman"/>
          <w:sz w:val="18"/>
          <w:szCs w:val="18"/>
          <w:color w:val="auto"/>
        </w:rPr>
        <w:t>”: any Receivables Financing of a Receivables Subsidiary that meets the following conditions:</w:t>
      </w:r>
    </w:p>
    <w:p>
      <w:pPr>
        <w:spacing w:after="0" w:line="90" w:lineRule="exact"/>
        <w:rPr>
          <w:sz w:val="20"/>
          <w:szCs w:val="20"/>
          <w:color w:val="auto"/>
        </w:rPr>
      </w:pPr>
    </w:p>
    <w:p>
      <w:pPr>
        <w:ind w:right="100" w:firstLine="443"/>
        <w:spacing w:after="0" w:line="262" w:lineRule="auto"/>
        <w:tabs>
          <w:tab w:leader="none" w:pos="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1" w:lineRule="exact"/>
        <w:rPr>
          <w:rFonts w:ascii="Times New Roman" w:cs="Times New Roman" w:eastAsia="Times New Roman" w:hAnsi="Times New Roman"/>
          <w:sz w:val="18"/>
          <w:szCs w:val="18"/>
          <w:color w:val="auto"/>
        </w:rPr>
      </w:pPr>
    </w:p>
    <w:p>
      <w:pPr>
        <w:ind w:right="700" w:firstLine="443"/>
        <w:spacing w:after="0" w:line="334" w:lineRule="auto"/>
        <w:tabs>
          <w:tab w:leader="none" w:pos="68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spacing w:after="0" w:line="1" w:lineRule="exact"/>
        <w:rPr>
          <w:rFonts w:ascii="Times New Roman" w:cs="Times New Roman" w:eastAsia="Times New Roman" w:hAnsi="Times New Roman"/>
          <w:sz w:val="16"/>
          <w:szCs w:val="16"/>
          <w:color w:val="auto"/>
        </w:rPr>
      </w:pPr>
    </w:p>
    <w:p>
      <w:pPr>
        <w:ind w:right="340" w:firstLine="443"/>
        <w:spacing w:after="0" w:line="275" w:lineRule="auto"/>
        <w:tabs>
          <w:tab w:leader="none" w:pos="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terms, covenants, termination events and other provisions thereof shall be market terms (as determined in good faith by senior management or the Board of Directors of the Company).</w:t>
      </w:r>
    </w:p>
    <w:p>
      <w:pPr>
        <w:spacing w:after="0" w:line="39" w:lineRule="exact"/>
        <w:rPr>
          <w:sz w:val="20"/>
          <w:szCs w:val="20"/>
          <w:color w:val="auto"/>
        </w:rPr>
      </w:pPr>
    </w:p>
    <w:p>
      <w:pPr>
        <w:ind w:right="100" w:firstLine="43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any Indebtedness issued in exchange for, or the net proceeds of which are used to extend, refinance, renew,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w:t>
      </w:r>
    </w:p>
    <w:p>
      <w:pPr>
        <w:spacing w:after="0" w:line="1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40"/>
          </w:cols>
          <w:pgMar w:left="700" w:top="274" w:right="359" w:bottom="1440" w:gutter="0" w:footer="0" w:header="0"/>
        </w:sectPr>
      </w:pPr>
    </w:p>
    <w:bookmarkStart w:id="103" w:name="page104"/>
    <w:bookmarkEnd w:id="10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58"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business trust, joint stock company, trust, unincorporated association, joint venture, Governmental Authority or other entity of whatever nature.</w:t>
      </w:r>
    </w:p>
    <w:p>
      <w:pPr>
        <w:spacing w:after="0" w:line="39" w:lineRule="exact"/>
        <w:rPr>
          <w:sz w:val="20"/>
          <w:szCs w:val="20"/>
          <w:color w:val="auto"/>
        </w:rPr>
      </w:pPr>
    </w:p>
    <w:p>
      <w:pPr>
        <w:ind w:right="60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Grid</w:t>
      </w:r>
      <w:r>
        <w:rPr>
          <w:rFonts w:ascii="Times New Roman" w:cs="Times New Roman" w:eastAsia="Times New Roman" w:hAnsi="Times New Roman"/>
          <w:sz w:val="18"/>
          <w:szCs w:val="18"/>
          <w:color w:val="auto"/>
        </w:rPr>
        <w:t>”: the table set forth below.</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Commitment</w:t>
            </w: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Eurodollar</w:t>
            </w:r>
          </w:p>
        </w:tc>
        <w:tc>
          <w:tcPr>
            <w:tcW w:w="8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Federal Funds</w:t>
            </w:r>
          </w:p>
        </w:tc>
        <w:tc>
          <w:tcPr>
            <w:tcW w:w="5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Ratings</w:t>
            </w: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Rate Loans</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02"/>
        </w:trPr>
        <w:tc>
          <w:tcPr>
            <w:tcW w:w="480" w:type="dxa"/>
            <w:vAlign w:val="bottom"/>
            <w:tcBorders>
              <w:top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³ BBB or Baa2</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275 bps</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175 bps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³ BBB- or Baa3</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300 bps</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200 bps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³ BB+ or Ba1</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325 bps</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225 bps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 BB+ or Ba1</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350 bps</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250 bps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bps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0" w:firstLine="438"/>
        <w:spacing w:after="0" w:line="256" w:lineRule="auto"/>
        <w:rPr>
          <w:sz w:val="20"/>
          <w:szCs w:val="20"/>
          <w:color w:val="auto"/>
        </w:rPr>
      </w:pPr>
      <w:r>
        <w:rPr>
          <w:rFonts w:ascii="Times New Roman" w:cs="Times New Roman" w:eastAsia="Times New Roman" w:hAnsi="Times New Roman"/>
          <w:sz w:val="18"/>
          <w:szCs w:val="18"/>
          <w:color w:val="auto"/>
        </w:rPr>
        <w:t>For the purposes of the Pricing Grid, the Company shall provide prompt written notice to the Administrative Agent of any change in any Rating by either Moody’s or S&amp;P (or, if applicable, such other rating agency determined in accordance with the definition of “Ratings”). The Applicable Margin and the Commitment Fee Rate resulting from changes in the Ratings shall be effective on the date (the “</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 that is three (3) Business Days after the date of such change and shall remain in effect until the next change to be effected pursuant to this paragraph. In the event that Ratings established by Moody’s and S&amp;P are split, the Pricing Grid will be based on the higher rating.</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Transaction</w:t>
      </w:r>
      <w:r>
        <w:rPr>
          <w:rFonts w:ascii="Times New Roman" w:cs="Times New Roman" w:eastAsia="Times New Roman" w:hAnsi="Times New Roman"/>
          <w:sz w:val="18"/>
          <w:szCs w:val="18"/>
          <w:color w:val="auto"/>
        </w:rPr>
        <w:t>”: has the meaning assigned to such term in Section 406 of ERISA and Section 4975(f)(3) of the Code.</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700" w:top="274" w:right="279" w:bottom="1440" w:gutter="0" w:footer="0" w:header="0"/>
        </w:sectPr>
      </w:pPr>
    </w:p>
    <w:bookmarkStart w:id="104" w:name="page105"/>
    <w:bookmarkEnd w:id="104"/>
    <w:p>
      <w:pPr>
        <w:ind w:firstLine="43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a rating of the Company’s senior unsecured non-credit enhanced indebtedness for borrowed money assigned by S&amp;P or Moody’s;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if the Company shall have no senior unsecured non-credit enhanced indebtedness for borrowed money, the Company’s corporate credit rating shall be used;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Moody’s or S&amp;P, or both,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58" w:lineRule="exact"/>
        <w:rPr>
          <w:sz w:val="20"/>
          <w:szCs w:val="20"/>
          <w:color w:val="auto"/>
        </w:rPr>
      </w:pPr>
    </w:p>
    <w:p>
      <w:pPr>
        <w:ind w:right="40" w:firstLine="43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Financing</w:t>
      </w:r>
      <w:r>
        <w:rPr>
          <w:rFonts w:ascii="Times New Roman" w:cs="Times New Roman" w:eastAsia="Times New Roman" w:hAnsi="Times New Roman"/>
          <w:sz w:val="18"/>
          <w:szCs w:val="18"/>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58" w:lineRule="exact"/>
        <w:rPr>
          <w:sz w:val="20"/>
          <w:szCs w:val="20"/>
          <w:color w:val="auto"/>
        </w:rPr>
      </w:pPr>
    </w:p>
    <w:p>
      <w:pPr>
        <w:ind w:right="160" w:firstLine="43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58" w:lineRule="exact"/>
        <w:rPr>
          <w:sz w:val="20"/>
          <w:szCs w:val="20"/>
          <w:color w:val="auto"/>
        </w:rPr>
      </w:pPr>
    </w:p>
    <w:p>
      <w:pPr>
        <w:ind w:right="300" w:firstLine="443"/>
        <w:spacing w:after="0" w:line="258" w:lineRule="auto"/>
        <w:tabs>
          <w:tab w:leader="none" w:pos="6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55" w:lineRule="exact"/>
        <w:rPr>
          <w:rFonts w:ascii="Times New Roman" w:cs="Times New Roman" w:eastAsia="Times New Roman" w:hAnsi="Times New Roman"/>
          <w:sz w:val="18"/>
          <w:szCs w:val="18"/>
          <w:color w:val="auto"/>
        </w:rPr>
      </w:pPr>
    </w:p>
    <w:p>
      <w:pPr>
        <w:ind w:right="20" w:firstLine="443"/>
        <w:spacing w:after="0" w:line="262" w:lineRule="auto"/>
        <w:tabs>
          <w:tab w:leader="none" w:pos="68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700" w:top="274" w:right="239" w:bottom="1440" w:gutter="0" w:footer="0" w:header="0"/>
        </w:sectPr>
      </w:pPr>
    </w:p>
    <w:bookmarkStart w:id="105" w:name="page106"/>
    <w:bookmarkEnd w:id="105"/>
    <w:p>
      <w:pPr>
        <w:ind w:right="580" w:firstLine="443"/>
        <w:spacing w:after="0" w:line="275" w:lineRule="auto"/>
        <w:tabs>
          <w:tab w:leader="none" w:pos="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which neither the Company nor any other Subsidiary of the Company has any obligation to maintain or preserve such entity’s financial condition or cause such entity to achieve certain levels of operating results.</w:t>
      </w:r>
    </w:p>
    <w:p>
      <w:pPr>
        <w:spacing w:after="0" w:line="39" w:lineRule="exact"/>
        <w:rPr>
          <w:sz w:val="20"/>
          <w:szCs w:val="20"/>
          <w:color w:val="auto"/>
        </w:rPr>
      </w:pPr>
    </w:p>
    <w:p>
      <w:pPr>
        <w:ind w:right="260" w:firstLine="438"/>
        <w:spacing w:after="0" w:line="262" w:lineRule="auto"/>
        <w:rPr>
          <w:sz w:val="20"/>
          <w:szCs w:val="20"/>
          <w:color w:val="auto"/>
        </w:rPr>
      </w:pPr>
      <w:r>
        <w:rPr>
          <w:rFonts w:ascii="Times New Roman" w:cs="Times New Roman" w:eastAsia="Times New Roman" w:hAnsi="Times New Roman"/>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Reorganization</w:t>
      </w:r>
      <w:r>
        <w:rPr>
          <w:rFonts w:ascii="Times New Roman" w:cs="Times New Roman" w:eastAsia="Times New Roman" w:hAnsi="Times New Roman"/>
          <w:sz w:val="16"/>
          <w:szCs w:val="16"/>
          <w:color w:val="auto"/>
        </w:rPr>
        <w:t>”: with respect to any Multiemployer Plan, the condition that such plan is in reorganization within the meaning of Section 4241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78" w:lineRule="exact"/>
        <w:rPr>
          <w:sz w:val="20"/>
          <w:szCs w:val="20"/>
          <w:color w:val="auto"/>
        </w:rPr>
      </w:pPr>
    </w:p>
    <w:p>
      <w:pPr>
        <w:ind w:right="4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those events as to which the thirty day notice period is waived under subsections .27, .28, .29, .30, .31, .32, .34 or .35 of PBGC Reg. § 4043.</w:t>
      </w:r>
    </w:p>
    <w:p>
      <w:pPr>
        <w:spacing w:after="0" w:line="39" w:lineRule="exact"/>
        <w:rPr>
          <w:sz w:val="20"/>
          <w:szCs w:val="20"/>
          <w:color w:val="auto"/>
        </w:rPr>
      </w:pPr>
    </w:p>
    <w:p>
      <w:pPr>
        <w:ind w:right="2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at any time, the holders of more than 50% of (a) the sum of the Commitments then in effect or, if the Commitments have terminated, (b) the sum of the aggregate unpaid principal amount of the Loans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when there are two or more non-affiliated Banks party hereto, in no event shall the Required Lenders consist of fewer than two non-affiliated Banks.</w:t>
      </w:r>
    </w:p>
    <w:p>
      <w:pPr>
        <w:spacing w:after="0" w:line="51" w:lineRule="exact"/>
        <w:rPr>
          <w:sz w:val="20"/>
          <w:szCs w:val="20"/>
          <w:color w:val="auto"/>
        </w:rPr>
      </w:pPr>
    </w:p>
    <w:p>
      <w:pPr>
        <w:jc w:val="both"/>
        <w:ind w:right="6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51" w:lineRule="exact"/>
        <w:rPr>
          <w:sz w:val="20"/>
          <w:szCs w:val="20"/>
          <w:color w:val="auto"/>
        </w:rPr>
      </w:pPr>
    </w:p>
    <w:p>
      <w:pPr>
        <w:ind w:right="3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the chief executive officer, president or chief financial officer of the Company, but in any event, with respect to financial matters, the chief financial officer of the Company.</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as defined in Section 7.8.</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Standard &amp; Poor’s Ratings Services.</w:t>
      </w:r>
    </w:p>
    <w:p>
      <w:pPr>
        <w:spacing w:after="0" w:line="90" w:lineRule="exact"/>
        <w:rPr>
          <w:sz w:val="20"/>
          <w:szCs w:val="20"/>
          <w:color w:val="auto"/>
        </w:rPr>
      </w:pPr>
    </w:p>
    <w:p>
      <w:pPr>
        <w:ind w:right="34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or such other regulatory body which succeeds to the functions of the Securities and Exchange Commission.</w:t>
      </w:r>
    </w:p>
    <w:p>
      <w:pPr>
        <w:spacing w:after="0" w:line="39"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as to the Company, any public filings that the Company or Lazard Ltd has made on form 10K, 10Q or 8K pursuant to the U.S. federal securities statutes, rules or regulations prior to the Effective Date.</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700" w:top="274" w:right="279" w:bottom="1440" w:gutter="0" w:footer="0" w:header="0"/>
        </w:sectPr>
      </w:pPr>
    </w:p>
    <w:bookmarkStart w:id="106" w:name="page107"/>
    <w:bookmarkEnd w:id="106"/>
    <w:p>
      <w:pPr>
        <w:ind w:right="32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Note Indentures</w:t>
      </w:r>
      <w:r>
        <w:rPr>
          <w:rFonts w:ascii="Times New Roman" w:cs="Times New Roman" w:eastAsia="Times New Roman" w:hAnsi="Times New Roman"/>
          <w:sz w:val="18"/>
          <w:szCs w:val="18"/>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51" w:lineRule="exact"/>
        <w:rPr>
          <w:sz w:val="20"/>
          <w:szCs w:val="20"/>
          <w:color w:val="auto"/>
        </w:rPr>
      </w:pPr>
    </w:p>
    <w:p>
      <w:pPr>
        <w:ind w:right="68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the senior notes of the Company, in the principal amount outstanding of $1,150,000,000, issued pursuant to the Senior Note Indentures.</w:t>
      </w:r>
    </w:p>
    <w:p>
      <w:pPr>
        <w:spacing w:after="0" w:line="39"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39"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39" w:lineRule="exact"/>
        <w:rPr>
          <w:sz w:val="20"/>
          <w:szCs w:val="20"/>
          <w:color w:val="auto"/>
        </w:rPr>
      </w:pPr>
    </w:p>
    <w:p>
      <w:pPr>
        <w:ind w:right="60" w:firstLine="4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Non-Recourse Indebtedness</w:t>
      </w:r>
      <w:r>
        <w:rPr>
          <w:rFonts w:ascii="Times New Roman" w:cs="Times New Roman" w:eastAsia="Times New Roman" w:hAnsi="Times New Roman"/>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58" w:lineRule="exact"/>
        <w:rPr>
          <w:sz w:val="20"/>
          <w:szCs w:val="20"/>
          <w:color w:val="auto"/>
        </w:rPr>
      </w:pPr>
    </w:p>
    <w:p>
      <w:pPr>
        <w:ind w:right="4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Recourse Indebtedness</w:t>
      </w:r>
      <w:r>
        <w:rPr>
          <w:rFonts w:ascii="Times New Roman" w:cs="Times New Roman" w:eastAsia="Times New Roman" w:hAnsi="Times New Roman"/>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51" w:lineRule="exact"/>
        <w:rPr>
          <w:sz w:val="20"/>
          <w:szCs w:val="20"/>
          <w:color w:val="auto"/>
        </w:rPr>
      </w:pPr>
    </w:p>
    <w:p>
      <w:pPr>
        <w:ind w:right="10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Street Loans</w:t>
      </w:r>
      <w:r>
        <w:rPr>
          <w:rFonts w:ascii="Times New Roman" w:cs="Times New Roman" w:eastAsia="Times New Roman" w:hAnsi="Times New Roman"/>
          <w:sz w:val="18"/>
          <w:szCs w:val="18"/>
          <w:color w:val="auto"/>
        </w:rPr>
        <w:t>”: short term borrowings made by the Company for the purpose of purchasing or carrying securities for the Company, or for customers of the Company.</w:t>
      </w:r>
    </w:p>
    <w:p>
      <w:pPr>
        <w:spacing w:after="0" w:line="39" w:lineRule="exact"/>
        <w:rPr>
          <w:sz w:val="20"/>
          <w:szCs w:val="20"/>
          <w:color w:val="auto"/>
        </w:rPr>
      </w:pPr>
    </w:p>
    <w:p>
      <w:pPr>
        <w:ind w:right="40" w:firstLine="438"/>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Indebtedness</w:t>
      </w:r>
      <w:r>
        <w:rPr>
          <w:rFonts w:ascii="Times New Roman" w:cs="Times New Roman" w:eastAsia="Times New Roman" w:hAnsi="Times New Roman"/>
          <w:sz w:val="16"/>
          <w:szCs w:val="16"/>
          <w:color w:val="auto"/>
        </w:rPr>
        <w:t xml:space="preserve">”: Indebtedness of the Company that is subordinated in right of payment to the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22" w:lineRule="exact"/>
        <w:rPr>
          <w:sz w:val="20"/>
          <w:szCs w:val="20"/>
          <w:color w:val="auto"/>
        </w:rPr>
      </w:pPr>
    </w:p>
    <w:p>
      <w:pPr>
        <w:ind w:right="22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a corporation, limited liability company or other similar business entity of which shares of stock or other equity interests having ordinary voting power (other than stock or other equity interests having such power only</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4" w:right="239" w:bottom="1440" w:gutter="0" w:footer="0" w:header="0"/>
        </w:sectPr>
      </w:pPr>
    </w:p>
    <w:bookmarkStart w:id="107" w:name="page108"/>
    <w:bookmarkEnd w:id="107"/>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58" w:lineRule="exact"/>
        <w:rPr>
          <w:sz w:val="20"/>
          <w:szCs w:val="20"/>
          <w:color w:val="auto"/>
        </w:rPr>
      </w:pPr>
    </w:p>
    <w:p>
      <w:pPr>
        <w:ind w:right="160" w:firstLine="43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51" w:lineRule="exact"/>
        <w:rPr>
          <w:sz w:val="20"/>
          <w:szCs w:val="20"/>
          <w:color w:val="auto"/>
        </w:rPr>
      </w:pPr>
    </w:p>
    <w:p>
      <w:pPr>
        <w:ind w:right="120" w:firstLine="4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Debt</w:t>
      </w:r>
      <w:r>
        <w:rPr>
          <w:rFonts w:ascii="Times New Roman" w:cs="Times New Roman" w:eastAsia="Times New Roman" w:hAnsi="Times New Roman"/>
          <w:sz w:val="18"/>
          <w:szCs w:val="18"/>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its nature as a Fed Rate Loan or a Eurodollar Loan.</w:t>
      </w:r>
    </w:p>
    <w:p>
      <w:pPr>
        <w:spacing w:after="0" w:line="90"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Uniting and Strengthening America by Providing Appropriate Tools Required to Intercept and Obstruct Terrorism Act of 2001, as amended from time to time.</w:t>
      </w:r>
    </w:p>
    <w:p>
      <w:pPr>
        <w:spacing w:after="0" w:line="39" w:lineRule="exact"/>
        <w:rPr>
          <w:sz w:val="20"/>
          <w:szCs w:val="20"/>
          <w:color w:val="auto"/>
        </w:rPr>
      </w:pPr>
    </w:p>
    <w:p>
      <w:pPr>
        <w:ind w:firstLine="43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39" w:lineRule="exact"/>
        <w:rPr>
          <w:sz w:val="20"/>
          <w:szCs w:val="20"/>
          <w:color w:val="auto"/>
        </w:rPr>
      </w:pPr>
    </w:p>
    <w:p>
      <w:pPr>
        <w:ind w:right="20" w:firstLine="43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xml:space="preserve">”: as reflected on the balance sheet of the Company at any date of determination, the Members’ Equity and any other Capital Stock of the Company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without duplication, the sum of (a) “mandatory” convertible or exchangeable indebtedness, (b) Long Term Indebtedness,</w:t>
      </w:r>
    </w:p>
    <w:p>
      <w:pPr>
        <w:spacing w:after="0" w:line="1" w:lineRule="exact"/>
        <w:rPr>
          <w:sz w:val="20"/>
          <w:szCs w:val="20"/>
          <w:color w:val="auto"/>
        </w:rPr>
      </w:pPr>
    </w:p>
    <w:p>
      <w:pPr>
        <w:ind w:right="40" w:firstLine="4"/>
        <w:spacing w:after="0" w:line="290" w:lineRule="auto"/>
        <w:tabs>
          <w:tab w:leader="none" w:pos="23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Indebtedness, (d) Minority Interests, (e) reserves for the London Lease Commitment, (f) other liabilities related to retiree medical and pension liabilities and deferred compensation relating to the Company’s statutory profit sharing plan in its Paris House, (g) deferred income related to the Intesa Strategic Alliance or similar arrangements that may be entered into in the future, (h) deferred income tax liabilities, (i) valuations attributable to any Swap Agreement and (j) issuances of preferred stock after the Effective Date to the extent not included in Members’ Equity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there shall be excluded from each of clauses (a) through (j) any obligations maturing within twelve months of such date),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without duplication, the sum of (i) Long Term Investments, (ii) intangibles (including, but not limited to, goodwill), (iii) deferred financing costs, (iv) property, plant, equipment and</w:t>
      </w:r>
    </w:p>
    <w:p>
      <w:pPr>
        <w:spacing w:after="0" w:line="9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700" w:top="274" w:right="299" w:bottom="1440" w:gutter="0" w:footer="0" w:header="0"/>
        </w:sectPr>
      </w:pPr>
    </w:p>
    <w:bookmarkStart w:id="108" w:name="page109"/>
    <w:bookmarkEnd w:id="108"/>
    <w:p>
      <w:pPr>
        <w:ind w:left="46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leasehold improvements, (v) amounts related to deferred income tax assets, (vi) any assets related to bonuses, pension and other post-retirement benefit obligations, (vii) valuations attributable to any Swap Agreement, (viii) any advances or prepayments and (ix) any assets that will not convert into cash within twelve months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deductions in clauses (i) through (ix) shall be reduced by any reserves or accumulated amortization or accumulated depreciation for such items).</w:t>
      </w:r>
    </w:p>
    <w:p>
      <w:pPr>
        <w:spacing w:after="0" w:line="136"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20" w:lineRule="exact"/>
        <w:rPr>
          <w:sz w:val="20"/>
          <w:szCs w:val="20"/>
          <w:color w:val="auto"/>
        </w:rPr>
      </w:pPr>
    </w:p>
    <w:p>
      <w:pPr>
        <w:ind w:right="40" w:firstLine="921"/>
        <w:spacing w:after="0" w:line="254" w:lineRule="auto"/>
        <w:tabs>
          <w:tab w:leader="none" w:pos="116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38" w:lineRule="exact"/>
        <w:rPr>
          <w:rFonts w:ascii="Times New Roman" w:cs="Times New Roman" w:eastAsia="Times New Roman" w:hAnsi="Times New Roman"/>
          <w:sz w:val="18"/>
          <w:szCs w:val="18"/>
          <w:color w:val="auto"/>
        </w:rPr>
      </w:pPr>
    </w:p>
    <w:p>
      <w:pPr>
        <w:ind w:firstLine="921"/>
        <w:spacing w:after="0" w:line="284" w:lineRule="auto"/>
        <w:tabs>
          <w:tab w:leader="none" w:pos="115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2. AMOUNT AND TERMS OF LOAN COMMITMENTS</w:t>
      </w:r>
    </w:p>
    <w:p>
      <w:pPr>
        <w:spacing w:after="0" w:line="171" w:lineRule="exact"/>
        <w:rPr>
          <w:sz w:val="20"/>
          <w:szCs w:val="20"/>
          <w:color w:val="auto"/>
        </w:rPr>
      </w:pPr>
    </w:p>
    <w:p>
      <w:pPr>
        <w:ind w:right="6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(a) Subject to the terms and conditions hereof, each Bank severally agrees to make revolving credit loans (individually, a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to the Company from time to time during the Commitment Period in an aggregate principal amount at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4" w:right="239" w:bottom="1440" w:gutter="0" w:footer="0" w:header="0"/>
        </w:sectPr>
      </w:pPr>
    </w:p>
    <w:bookmarkStart w:id="109" w:name="page110"/>
    <w:bookmarkEnd w:id="109"/>
    <w:p>
      <w:pPr>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32" w:lineRule="exact"/>
        <w:rPr>
          <w:sz w:val="20"/>
          <w:szCs w:val="20"/>
          <w:color w:val="auto"/>
        </w:rPr>
      </w:pPr>
    </w:p>
    <w:p>
      <w:pPr>
        <w:ind w:right="80" w:firstLine="921"/>
        <w:spacing w:after="0" w:line="262" w:lineRule="auto"/>
        <w:tabs>
          <w:tab w:leader="none" w:pos="11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Loan shall be continued as or converted into a Eurodollar Loan after the day that is one month prior to the Maturity Date.</w:t>
      </w:r>
    </w:p>
    <w:p>
      <w:pPr>
        <w:spacing w:after="0" w:line="132"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Each Bank may request that the Loans made by such Bank pursuant hereto shall be evidenced by a promissory note of the Company, substantially in the form of Exhibit A hereto, with appropriate insertions as to date and principal amount (individually a “Note”; collectively, the “Notes”), payable to the order of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38" w:lineRule="exact"/>
        <w:rPr>
          <w:sz w:val="20"/>
          <w:szCs w:val="20"/>
          <w:color w:val="auto"/>
        </w:rPr>
      </w:pPr>
    </w:p>
    <w:p>
      <w:pPr>
        <w:ind w:right="3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Interest Rates and Interest Payment Dates</w:t>
      </w:r>
      <w:r>
        <w:rPr>
          <w:rFonts w:ascii="Times New Roman" w:cs="Times New Roman" w:eastAsia="Times New Roman" w:hAnsi="Times New Roman"/>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Each Fed Rate Loan shall bear interest for each day at a rate per annum equal to the Fed Rate determined for such day plus the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w:t>
      </w:r>
    </w:p>
    <w:p>
      <w:pPr>
        <w:spacing w:after="0" w:line="159" w:lineRule="exact"/>
        <w:rPr>
          <w:sz w:val="20"/>
          <w:szCs w:val="20"/>
          <w:color w:val="auto"/>
        </w:rPr>
      </w:pPr>
    </w:p>
    <w:p>
      <w:pPr>
        <w:ind w:right="160" w:firstLine="921"/>
        <w:spacing w:after="0" w:line="275" w:lineRule="auto"/>
        <w:tabs>
          <w:tab w:leader="none" w:pos="11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paragraph (d) of this Section shall be payable from time to time on demand.</w:t>
      </w:r>
    </w:p>
    <w:p>
      <w:pPr>
        <w:spacing w:after="0" w:line="119" w:lineRule="exact"/>
        <w:rPr>
          <w:rFonts w:ascii="Times New Roman" w:cs="Times New Roman" w:eastAsia="Times New Roman" w:hAnsi="Times New Roman"/>
          <w:sz w:val="18"/>
          <w:szCs w:val="18"/>
          <w:color w:val="auto"/>
        </w:rPr>
      </w:pPr>
    </w:p>
    <w:p>
      <w:pPr>
        <w:ind w:right="120" w:firstLine="921"/>
        <w:spacing w:after="0" w:line="255" w:lineRule="auto"/>
        <w:tabs>
          <w:tab w:leader="none" w:pos="11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4" w:right="259" w:bottom="1440" w:gutter="0" w:footer="0" w:header="0"/>
        </w:sectPr>
      </w:pPr>
    </w:p>
    <w:bookmarkStart w:id="110" w:name="page111"/>
    <w:bookmarkEnd w:id="110"/>
    <w:p>
      <w:pPr>
        <w:ind w:right="40" w:firstLine="913"/>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103" w:lineRule="exact"/>
        <w:rPr>
          <w:sz w:val="20"/>
          <w:szCs w:val="20"/>
          <w:color w:val="auto"/>
        </w:rPr>
      </w:pPr>
    </w:p>
    <w:p>
      <w:pPr>
        <w:ind w:right="80" w:firstLine="921"/>
        <w:spacing w:after="0" w:line="275" w:lineRule="auto"/>
        <w:tabs>
          <w:tab w:leader="none" w:pos="11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fees in the amounts and on the date as set forth in the Fee Letter and to perform any other obligations contained therein.</w:t>
      </w:r>
    </w:p>
    <w:p>
      <w:pPr>
        <w:spacing w:after="0" w:line="120" w:lineRule="exact"/>
        <w:rPr>
          <w:sz w:val="20"/>
          <w:szCs w:val="20"/>
          <w:color w:val="auto"/>
        </w:rPr>
      </w:pPr>
    </w:p>
    <w:p>
      <w:pPr>
        <w:ind w:right="40" w:firstLine="913"/>
        <w:spacing w:after="0" w:line="296"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Computation of Interest and Fees</w:t>
      </w:r>
      <w:r>
        <w:rPr>
          <w:rFonts w:ascii="Times New Roman" w:cs="Times New Roman" w:eastAsia="Times New Roman" w:hAnsi="Times New Roman"/>
          <w:sz w:val="16"/>
          <w:szCs w:val="16"/>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08" w:lineRule="exact"/>
        <w:rPr>
          <w:sz w:val="20"/>
          <w:szCs w:val="20"/>
          <w:color w:val="auto"/>
        </w:rPr>
      </w:pPr>
    </w:p>
    <w:p>
      <w:pPr>
        <w:ind w:right="140" w:firstLine="921"/>
        <w:spacing w:after="0" w:line="310" w:lineRule="auto"/>
        <w:tabs>
          <w:tab w:leader="none" w:pos="116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97"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xml:space="preserve">. The Company may borrow Loans under the Commitments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give the Administrative Agent irrevocable notice (which notice must be received by the Administrative Agent prior to 3:00 P.M., New York City time, (a) three (3) Business Days prior to the requested Borrowing Date, if all or any part of the requested Loans are to be initially Eurodollar Loans or (b) one (1) Business Day prior to the requested Borrowing Date, otherwise), specifying (i) the amount to be borrowed, (ii) the requested Borrowing Date, (iii) 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111" w:name="page112"/>
    <w:bookmarkEnd w:id="111"/>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38" w:lineRule="exact"/>
        <w:rPr>
          <w:sz w:val="20"/>
          <w:szCs w:val="20"/>
          <w:color w:val="auto"/>
        </w:rPr>
      </w:pPr>
    </w:p>
    <w:p>
      <w:pPr>
        <w:ind w:right="40" w:firstLine="921"/>
        <w:spacing w:after="0" w:line="255" w:lineRule="auto"/>
        <w:tabs>
          <w:tab w:leader="none" w:pos="11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shall fail to give such notice or if such continuation is not permitted such Loans shall be automatically converted to Fed Rate Loans on the last day of such then expiring Interest Period.</w:t>
      </w:r>
    </w:p>
    <w:p>
      <w:pPr>
        <w:spacing w:after="0" w:line="139"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 xml:space="preserve">. The Company shall have the right, upon not less than three (3) Business Days’ notice to the Banks, to terminate the Commitments or, from time to time, reduce the amount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38"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Optional Prepayments of Loans</w:t>
      </w:r>
      <w:r>
        <w:rPr>
          <w:rFonts w:ascii="Times New Roman" w:cs="Times New Roman" w:eastAsia="Times New Roman" w:hAnsi="Times New Roman"/>
          <w:sz w:val="18"/>
          <w:szCs w:val="18"/>
          <w:color w:val="auto"/>
        </w:rPr>
        <w:t xml:space="preserve">. (a) The Company may, at any time, on the last day of any Interest Period with respect thereto, in the case of Eurodollar Loans (or on any other day if the Company reasonably promptly pays the costs arising therefrom pursuant to Section 2.12), and from time to time, in the case of Fed Rate Loans, and upon three (3) Business Days’ irrevocable notice, in the case of Eurodollar Loans, and upon one (1) Business Day’s notice, in case of Fed Rate Loans, to the Administrative Agent, prepay the Loans on the date specified in such notice, in whole or in part, with accrued interest to the date of such prepayment on the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partial prepayment of Loans shall be in a principal amount of $5,000,000 or a larger integral multiple of $1,000,000.</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4" w:right="239" w:bottom="1440" w:gutter="0" w:footer="0" w:header="0"/>
        </w:sectPr>
      </w:pPr>
    </w:p>
    <w:bookmarkStart w:id="112" w:name="page113"/>
    <w:bookmarkEnd w:id="112"/>
    <w:p>
      <w:pPr>
        <w:ind w:right="320" w:firstLine="921"/>
        <w:spacing w:after="0" w:line="275" w:lineRule="auto"/>
        <w:tabs>
          <w:tab w:leader="none" w:pos="116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of a notice of prepayment of Loans pursuant to Section 2.9(a), the Administrative Agent shall promptly notify each Bank of the contents thereof and of such Bank’s ratable share of such prepayment.</w:t>
      </w:r>
    </w:p>
    <w:p>
      <w:pPr>
        <w:spacing w:after="0" w:line="120"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 (a) Each borrowing of Loans by the Company from the Banks, each payment (including each prepayment) by the Company on account of principal of and interest on the Loans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138" w:lineRule="exact"/>
        <w:rPr>
          <w:sz w:val="20"/>
          <w:szCs w:val="20"/>
          <w:color w:val="auto"/>
        </w:rPr>
      </w:pPr>
    </w:p>
    <w:p>
      <w:pPr>
        <w:ind w:right="20" w:firstLine="921"/>
        <w:spacing w:after="0" w:line="256" w:lineRule="auto"/>
        <w:tabs>
          <w:tab w:leader="none" w:pos="11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shall fail to give any such notice, each Bank shall apply the amount received to the payment of the then outstanding Loans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outstanding principal amounts of such Loans.</w:t>
      </w:r>
    </w:p>
    <w:p>
      <w:pPr>
        <w:spacing w:after="0" w:line="139" w:lineRule="exact"/>
        <w:rPr>
          <w:sz w:val="20"/>
          <w:szCs w:val="20"/>
          <w:color w:val="auto"/>
        </w:rPr>
      </w:pPr>
    </w:p>
    <w:p>
      <w:pPr>
        <w:ind w:firstLine="913"/>
        <w:spacing w:after="0" w:line="290"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Non-Receipt of Funds by the Administrative Agent</w:t>
      </w:r>
      <w:r>
        <w:rPr>
          <w:rFonts w:ascii="Times New Roman" w:cs="Times New Roman" w:eastAsia="Times New Roman" w:hAnsi="Times New Roman"/>
          <w:sz w:val="16"/>
          <w:szCs w:val="16"/>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4" w:right="279" w:bottom="1440" w:gutter="0" w:footer="0" w:header="0"/>
        </w:sectPr>
      </w:pPr>
    </w:p>
    <w:bookmarkStart w:id="113" w:name="page114"/>
    <w:bookmarkEnd w:id="113"/>
    <w:p>
      <w:pPr>
        <w:ind w:right="280" w:firstLine="921"/>
        <w:spacing w:after="0" w:line="275" w:lineRule="auto"/>
        <w:tabs>
          <w:tab w:leader="none" w:pos="11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of the Administrative Agent submitted to any Bank with respect to any amount owing under the foregoing paragraph (a)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20"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39" w:lineRule="exact"/>
        <w:rPr>
          <w:sz w:val="20"/>
          <w:szCs w:val="20"/>
          <w:color w:val="auto"/>
        </w:rPr>
      </w:pPr>
    </w:p>
    <w:p>
      <w:pPr>
        <w:ind w:firstLine="913"/>
        <w:spacing w:after="0" w:line="288" w:lineRule="auto"/>
        <w:rPr>
          <w:sz w:val="20"/>
          <w:szCs w:val="20"/>
          <w:color w:val="auto"/>
        </w:rPr>
      </w:pPr>
      <w:r>
        <w:rPr>
          <w:rFonts w:ascii="Times New Roman" w:cs="Times New Roman" w:eastAsia="Times New Roman" w:hAnsi="Times New Roman"/>
          <w:sz w:val="16"/>
          <w:szCs w:val="16"/>
          <w:color w:val="auto"/>
        </w:rPr>
        <w:t xml:space="preserve">2.13 </w:t>
      </w:r>
      <w:r>
        <w:rPr>
          <w:rFonts w:ascii="Times New Roman" w:cs="Times New Roman" w:eastAsia="Times New Roman" w:hAnsi="Times New Roman"/>
          <w:sz w:val="16"/>
          <w:szCs w:val="16"/>
          <w:u w:val="single" w:color="auto"/>
          <w:color w:val="auto"/>
        </w:rPr>
        <w:t>Capital Adequacy</w:t>
      </w:r>
      <w:r>
        <w:rPr>
          <w:rFonts w:ascii="Times New Roman" w:cs="Times New Roman" w:eastAsia="Times New Roman" w:hAnsi="Times New Roman"/>
          <w:sz w:val="16"/>
          <w:szCs w:val="16"/>
          <w:color w:val="auto"/>
        </w:rPr>
        <w:t>.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generally to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of the facts stated therein.</w:t>
      </w:r>
    </w:p>
    <w:p>
      <w:pPr>
        <w:spacing w:after="0" w:line="331"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4" w:right="259" w:bottom="1440" w:gutter="0" w:footer="0" w:header="0"/>
        </w:sectPr>
      </w:pPr>
    </w:p>
    <w:bookmarkStart w:id="114" w:name="page115"/>
    <w:bookmarkEnd w:id="11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3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herein, if the adoption of or any change in any Requirement of Law or in the interpretation or application thereof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41" w:lineRule="exact"/>
        <w:rPr>
          <w:sz w:val="20"/>
          <w:szCs w:val="20"/>
          <w:color w:val="auto"/>
        </w:rPr>
      </w:pPr>
    </w:p>
    <w:p>
      <w:pPr>
        <w:ind w:right="380" w:firstLine="913"/>
        <w:spacing w:after="0" w:line="26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132" w:lineRule="exact"/>
        <w:rPr>
          <w:sz w:val="20"/>
          <w:szCs w:val="20"/>
          <w:color w:val="auto"/>
        </w:rPr>
      </w:pPr>
    </w:p>
    <w:p>
      <w:pPr>
        <w:ind w:right="80" w:firstLine="921"/>
        <w:spacing w:after="0" w:line="287" w:lineRule="auto"/>
        <w:tabs>
          <w:tab w:leader="none" w:pos="112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subject any Bank to any tax on its capital reserves with respect to this Agreement, any Note or any Eurodollar Loan made by it, (except for Non-Excluded Taxes covered by Section 2.17, changes in the rate of tax on the overall net income of such Bank, any branch profits imposed by the United States of America or any similar tax imposed by any other jurisdiction and any United States withholding taxes imposed by reason of Section 1471 through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1474 of the Code);</w:t>
      </w:r>
    </w:p>
    <w:p>
      <w:pPr>
        <w:spacing w:after="0" w:line="158" w:lineRule="exact"/>
        <w:rPr>
          <w:rFonts w:ascii="Times New Roman" w:cs="Times New Roman" w:eastAsia="Times New Roman" w:hAnsi="Times New Roman"/>
          <w:sz w:val="16"/>
          <w:szCs w:val="16"/>
          <w:color w:val="auto"/>
        </w:rPr>
      </w:pPr>
    </w:p>
    <w:p>
      <w:pPr>
        <w:ind w:right="40" w:firstLine="921"/>
        <w:spacing w:after="0" w:line="262" w:lineRule="auto"/>
        <w:tabs>
          <w:tab w:leader="none" w:pos="11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32"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such Bank any other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4" w:right="239" w:bottom="1440" w:gutter="0" w:footer="0" w:header="0"/>
        </w:sectPr>
      </w:pPr>
    </w:p>
    <w:bookmarkStart w:id="115" w:name="page116"/>
    <w:bookmarkEnd w:id="11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generally to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38"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136" w:lineRule="exact"/>
        <w:rPr>
          <w:sz w:val="20"/>
          <w:szCs w:val="20"/>
          <w:color w:val="auto"/>
        </w:rPr>
      </w:pPr>
    </w:p>
    <w:p>
      <w:pPr>
        <w:ind w:firstLine="921"/>
        <w:spacing w:after="0" w:line="262" w:lineRule="auto"/>
        <w:tabs>
          <w:tab w:leader="none" w:pos="11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132" w:lineRule="exact"/>
        <w:rPr>
          <w:sz w:val="20"/>
          <w:szCs w:val="20"/>
          <w:color w:val="auto"/>
        </w:rPr>
      </w:pPr>
    </w:p>
    <w:p>
      <w:pPr>
        <w:ind w:right="20" w:firstLine="913"/>
        <w:spacing w:after="0" w:line="287" w:lineRule="auto"/>
        <w:rPr>
          <w:sz w:val="20"/>
          <w:szCs w:val="20"/>
          <w:color w:val="auto"/>
        </w:rPr>
      </w:pPr>
      <w:r>
        <w:rPr>
          <w:rFonts w:ascii="Times New Roman" w:cs="Times New Roman" w:eastAsia="Times New Roman" w:hAnsi="Times New Roman"/>
          <w:sz w:val="16"/>
          <w:szCs w:val="16"/>
          <w:color w:val="auto"/>
        </w:rPr>
        <w:t xml:space="preserve">2.17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(a) All payments made by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withholding taxes imposed by reason of Section 1471 through Section 1474 of the Code (other than by reason of a change in law imposed after the date hereof but not including changes in the rate of such withholding taxes); provided, that if any such non-excluded taxes, levies, imposts, duties, charges, fees, deductions or withholdings (“</w:t>
      </w:r>
      <w:r>
        <w:rPr>
          <w:rFonts w:ascii="Times New Roman" w:cs="Times New Roman" w:eastAsia="Times New Roman" w:hAnsi="Times New Roman"/>
          <w:sz w:val="16"/>
          <w:szCs w:val="16"/>
          <w:u w:val="single" w:color="auto"/>
          <w:color w:val="auto"/>
        </w:rPr>
        <w:t>Non-Excluded Taxes</w:t>
      </w:r>
      <w:r>
        <w:rPr>
          <w:rFonts w:ascii="Times New Roman" w:cs="Times New Roman" w:eastAsia="Times New Roman" w:hAnsi="Times New Roman"/>
          <w:sz w:val="16"/>
          <w:szCs w:val="16"/>
          <w:color w:val="auto"/>
        </w:rPr>
        <w:t>”) or Other Taxes are required to be withheld from any amounts payable by the Company to the Administrative Agent or any</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as determined in good faith by the applicable withholding agent, (x) such amounts shall be paid to the relevant Governmental Authority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112" w:lineRule="exact"/>
        <w:rPr>
          <w:sz w:val="20"/>
          <w:szCs w:val="20"/>
          <w:color w:val="auto"/>
        </w:rPr>
      </w:pPr>
    </w:p>
    <w:p>
      <w:pPr>
        <w:ind w:left="1160" w:hanging="239"/>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shall pay any Other Taxes to the relevant Governmental Authority in accordance with applicable law.</w:t>
      </w:r>
    </w:p>
    <w:p>
      <w:pPr>
        <w:spacing w:after="0" w:line="171" w:lineRule="exact"/>
        <w:rPr>
          <w:rFonts w:ascii="Times New Roman" w:cs="Times New Roman" w:eastAsia="Times New Roman" w:hAnsi="Times New Roman"/>
          <w:sz w:val="18"/>
          <w:szCs w:val="18"/>
          <w:color w:val="auto"/>
        </w:rPr>
      </w:pPr>
    </w:p>
    <w:p>
      <w:pPr>
        <w:ind w:right="80" w:firstLine="921"/>
        <w:spacing w:after="0" w:line="256" w:lineRule="auto"/>
        <w:tabs>
          <w:tab w:leader="none" w:pos="11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the Company fails to pay any Non-Excluded Taxes or Other Taxes when due to the appropriate taxing authority, the Company shall indemnify the Administrative Agent and the Banks for any incremental taxes, interest or penalties that may become payable by the Administrative Agent or any Bank as a result of any such failure.</w:t>
      </w:r>
    </w:p>
    <w:p>
      <w:pPr>
        <w:spacing w:after="0" w:line="138" w:lineRule="exact"/>
        <w:rPr>
          <w:rFonts w:ascii="Times New Roman" w:cs="Times New Roman" w:eastAsia="Times New Roman" w:hAnsi="Times New Roman"/>
          <w:sz w:val="18"/>
          <w:szCs w:val="18"/>
          <w:color w:val="auto"/>
        </w:rPr>
      </w:pPr>
    </w:p>
    <w:p>
      <w:pPr>
        <w:ind w:firstLine="921"/>
        <w:spacing w:after="0" w:line="287" w:lineRule="auto"/>
        <w:tabs>
          <w:tab w:leader="none" w:pos="116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reasonable requested by the Company or the Administrative Agent as will permit such payments to be made without withholding or at a reduced rate of withholding (including any documentation necessary to prevent withholding under Section 1471 through Section 1474 of the Code). Without limiting the generality of the foregoing, each Bank (or Assignee) that is not a “U.S. Person” as defined in Section 7701(a)(30) of the Code (a “</w:t>
      </w:r>
      <w:r>
        <w:rPr>
          <w:rFonts w:ascii="Times New Roman" w:cs="Times New Roman" w:eastAsia="Times New Roman" w:hAnsi="Times New Roman"/>
          <w:sz w:val="16"/>
          <w:szCs w:val="16"/>
          <w:u w:val="single" w:color="auto"/>
          <w:color w:val="auto"/>
        </w:rPr>
        <w:t>Non-U.S. Lender</w:t>
      </w:r>
      <w:r>
        <w:rPr>
          <w:rFonts w:ascii="Times New Roman" w:cs="Times New Roman" w:eastAsia="Times New Roman" w:hAnsi="Times New Roman"/>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Form W-8BEN, Form W-8ECI, of Form W-81MY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117" w:name="page118"/>
    <w:bookmarkEnd w:id="11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w:t>
      </w:r>
    </w:p>
    <w:p>
      <w:pPr>
        <w:spacing w:after="0" w:line="139" w:lineRule="exact"/>
        <w:rPr>
          <w:sz w:val="20"/>
          <w:szCs w:val="20"/>
          <w:color w:val="auto"/>
        </w:rPr>
      </w:pPr>
    </w:p>
    <w:p>
      <w:pPr>
        <w:ind w:right="60" w:firstLine="921"/>
        <w:spacing w:after="0" w:line="256" w:lineRule="auto"/>
        <w:tabs>
          <w:tab w:leader="none" w:pos="11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138" w:lineRule="exact"/>
        <w:rPr>
          <w:rFonts w:ascii="Times New Roman" w:cs="Times New Roman" w:eastAsia="Times New Roman" w:hAnsi="Times New Roman"/>
          <w:sz w:val="18"/>
          <w:szCs w:val="18"/>
          <w:color w:val="auto"/>
        </w:rPr>
      </w:pPr>
    </w:p>
    <w:p>
      <w:pPr>
        <w:ind w:right="120" w:firstLine="921"/>
        <w:spacing w:after="0" w:line="289" w:lineRule="auto"/>
        <w:tabs>
          <w:tab w:leader="none" w:pos="113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112" w:lineRule="exact"/>
        <w:rPr>
          <w:rFonts w:ascii="Times New Roman" w:cs="Times New Roman" w:eastAsia="Times New Roman" w:hAnsi="Times New Roman"/>
          <w:sz w:val="16"/>
          <w:szCs w:val="16"/>
          <w:color w:val="auto"/>
        </w:rPr>
      </w:pPr>
    </w:p>
    <w:p>
      <w:pPr>
        <w:ind w:left="1160" w:hanging="239"/>
        <w:spacing w:after="0"/>
        <w:tabs>
          <w:tab w:leader="none" w:pos="1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shall survive the termination of this Agreement and the payment of the Loans and all other amounts payable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15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Commitment Reductions and Mandatory Prepayments</w:t>
      </w:r>
      <w:r>
        <w:rPr>
          <w:rFonts w:ascii="Times New Roman" w:cs="Times New Roman" w:eastAsia="Times New Roman" w:hAnsi="Times New Roman"/>
          <w:sz w:val="18"/>
          <w:szCs w:val="18"/>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Times New Roman" w:cs="Times New Roman" w:eastAsia="Times New Roman" w:hAnsi="Times New Roman"/>
          <w:sz w:val="18"/>
          <w:szCs w:val="18"/>
          <w:u w:val="single" w:color="auto"/>
          <w:color w:val="auto"/>
        </w:rPr>
        <w:t>Disposition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immediately prior to giving effect to such Designated Asset Sale, the Company and its Subsidiaries own in excess of 65% of the Capital Stock of the Designated Subsidiary that is subject to such Designated Asset Sale,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118" w:name="page119"/>
    <w:bookmarkEnd w:id="118"/>
    <w:p>
      <w:pPr>
        <w:jc w:val="both"/>
        <w:ind w:right="18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103" w:lineRule="exact"/>
        <w:rPr>
          <w:sz w:val="20"/>
          <w:szCs w:val="20"/>
          <w:color w:val="auto"/>
        </w:rPr>
      </w:pPr>
    </w:p>
    <w:p>
      <w:pPr>
        <w:ind w:right="5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120" w:lineRule="exact"/>
        <w:rPr>
          <w:sz w:val="20"/>
          <w:szCs w:val="20"/>
          <w:color w:val="auto"/>
        </w:rPr>
      </w:pPr>
    </w:p>
    <w:p>
      <w:pPr>
        <w:ind w:left="1160" w:hanging="239"/>
        <w:spacing w:after="0"/>
        <w:tabs>
          <w:tab w:leader="none" w:pos="11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Commitment of such Defaulting Lender pursuant to Section 2.4;</w:t>
      </w:r>
    </w:p>
    <w:p>
      <w:pPr>
        <w:spacing w:after="0" w:line="171" w:lineRule="exact"/>
        <w:rPr>
          <w:rFonts w:ascii="Times New Roman" w:cs="Times New Roman" w:eastAsia="Times New Roman" w:hAnsi="Times New Roman"/>
          <w:sz w:val="18"/>
          <w:szCs w:val="18"/>
          <w:color w:val="auto"/>
        </w:rPr>
      </w:pPr>
    </w:p>
    <w:p>
      <w:pPr>
        <w:ind w:firstLine="921"/>
        <w:spacing w:after="0" w:line="255" w:lineRule="auto"/>
        <w:tabs>
          <w:tab w:leader="none" w:pos="116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39" w:lineRule="exact"/>
        <w:rPr>
          <w:rFonts w:ascii="Times New Roman" w:cs="Times New Roman" w:eastAsia="Times New Roman" w:hAnsi="Times New Roman"/>
          <w:sz w:val="18"/>
          <w:szCs w:val="18"/>
          <w:color w:val="auto"/>
        </w:rPr>
      </w:pPr>
    </w:p>
    <w:p>
      <w:pPr>
        <w:jc w:val="both"/>
        <w:ind w:right="60" w:firstLine="921"/>
        <w:spacing w:after="0" w:line="287" w:lineRule="auto"/>
        <w:tabs>
          <w:tab w:leader="none" w:pos="1152"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ind w:right="520" w:firstLine="8"/>
        <w:spacing w:after="0" w:line="281" w:lineRule="auto"/>
        <w:tabs>
          <w:tab w:leader="none" w:pos="21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to the payment of any amounts owing by such Defaulting Lender to the Administrative Agent hereunder, (ii)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Times New Roman" w:cs="Times New Roman" w:eastAsia="Times New Roman" w:hAnsi="Times New Roman"/>
          <w:sz w:val="16"/>
          <w:szCs w:val="16"/>
          <w:color w:val="auto"/>
        </w:rPr>
      </w:pPr>
    </w:p>
    <w:p>
      <w:pPr>
        <w:ind w:right="60" w:firstLine="8"/>
        <w:spacing w:after="0" w:line="253" w:lineRule="auto"/>
        <w:tabs>
          <w:tab w:leader="none" w:pos="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Company, held in such account as cash collateral for future funding obligations of the Defaulting Lender in respect of any Loans under this Agreement, (iv)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39"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Notwithstanding Section 2.20, the Company may, upon not less than three (3) Business Day’s notice to a Defaulting Lender and the Administrative Agent (which the Administrative Agent will promptly provide to the other Banks), terminate or reduce the unused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4" w:right="259" w:bottom="1440" w:gutter="0" w:footer="0" w:header="0"/>
        </w:sectPr>
      </w:pPr>
    </w:p>
    <w:bookmarkStart w:id="119" w:name="page120"/>
    <w:bookmarkEnd w:id="1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Commitment of such Defaulting Lender (without being required to terminate or reduce the Commitments of other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3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w:t>
      </w:r>
    </w:p>
    <w:p>
      <w:pPr>
        <w:spacing w:after="0" w:line="139" w:lineRule="exact"/>
        <w:rPr>
          <w:sz w:val="20"/>
          <w:szCs w:val="20"/>
          <w:color w:val="auto"/>
        </w:rPr>
      </w:pPr>
    </w:p>
    <w:p>
      <w:pPr>
        <w:ind w:right="20" w:firstLine="913"/>
        <w:spacing w:after="0" w:line="293" w:lineRule="auto"/>
        <w:rPr>
          <w:sz w:val="20"/>
          <w:szCs w:val="20"/>
          <w:color w:val="auto"/>
        </w:rPr>
      </w:pPr>
      <w:r>
        <w:rPr>
          <w:rFonts w:ascii="Times New Roman" w:cs="Times New Roman" w:eastAsia="Times New Roman" w:hAnsi="Times New Roman"/>
          <w:sz w:val="16"/>
          <w:szCs w:val="16"/>
          <w:color w:val="auto"/>
        </w:rPr>
        <w:t xml:space="preserve">2.20 </w:t>
      </w:r>
      <w:r>
        <w:rPr>
          <w:rFonts w:ascii="Times New Roman" w:cs="Times New Roman" w:eastAsia="Times New Roman" w:hAnsi="Times New Roman"/>
          <w:sz w:val="16"/>
          <w:szCs w:val="16"/>
          <w:u w:val="single" w:color="auto"/>
          <w:color w:val="auto"/>
        </w:rPr>
        <w:t>Mitigation Obligations; Replacement of Lenders</w:t>
      </w:r>
      <w:r>
        <w:rPr>
          <w:rFonts w:ascii="Times New Roman" w:cs="Times New Roman" w:eastAsia="Times New Roman" w:hAnsi="Times New Roman"/>
          <w:sz w:val="16"/>
          <w:szCs w:val="16"/>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11" w:lineRule="exact"/>
        <w:rPr>
          <w:sz w:val="20"/>
          <w:szCs w:val="20"/>
          <w:color w:val="auto"/>
        </w:rPr>
      </w:pPr>
    </w:p>
    <w:p>
      <w:pPr>
        <w:ind w:right="40" w:firstLine="921"/>
        <w:spacing w:after="0" w:line="256" w:lineRule="auto"/>
        <w:tabs>
          <w:tab w:leader="none" w:pos="116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4" w:right="259" w:bottom="1440" w:gutter="0" w:footer="0" w:header="0"/>
        </w:sectPr>
      </w:pPr>
    </w:p>
    <w:bookmarkStart w:id="120" w:name="page121"/>
    <w:bookmarkEnd w:id="12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assignee may be another Bank, if a Bank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171"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In order to induce the Banks to enter into this Agreement and to make the Loans herein provided for, the Company hereby represents and warrants to the Banks and the Administrative Agent that:</w:t>
      </w:r>
    </w:p>
    <w:p>
      <w:pPr>
        <w:spacing w:after="0" w:line="1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audited consolidated balance sheets of the Company and its consolidated Subsidiaries as at December 31,</w:t>
      </w:r>
    </w:p>
    <w:p>
      <w:pPr>
        <w:spacing w:after="0" w:line="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2007, December 31, 2008 and December 31, 2009,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Neither the Company nor any of its Subsidiaries, as of the Effective Date,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w:t>
      </w:r>
    </w:p>
    <w:p>
      <w:pPr>
        <w:spacing w:after="0" w:line="140" w:lineRule="exact"/>
        <w:rPr>
          <w:sz w:val="20"/>
          <w:szCs w:val="20"/>
          <w:color w:val="auto"/>
        </w:rPr>
      </w:pPr>
    </w:p>
    <w:p>
      <w:pPr>
        <w:ind w:right="3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December 31, 2009, there has been no event or development that would reasonably be expected to have a Material Adverse Effect.</w:t>
      </w:r>
    </w:p>
    <w:p>
      <w:pPr>
        <w:spacing w:after="0" w:line="120"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 Compliance with Law</w:t>
      </w:r>
      <w:r>
        <w:rPr>
          <w:rFonts w:ascii="Times New Roman" w:cs="Times New Roman" w:eastAsia="Times New Roman" w:hAnsi="Times New Roman"/>
          <w:sz w:val="18"/>
          <w:szCs w:val="18"/>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4" w:right="259" w:bottom="1440" w:gutter="0" w:footer="0" w:header="0"/>
        </w:sectPr>
      </w:pPr>
    </w:p>
    <w:bookmarkStart w:id="121" w:name="page122"/>
    <w:bookmarkEnd w:id="1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 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47"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46"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Notes, the borrowings hereunder and the use of the proceeds thereof, will not violate the organizational or governing documents of the Company or any of its Significant Subsidiaries,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122" w:name="page123"/>
    <w:bookmarkEnd w:id="122"/>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32" w:lineRule="exact"/>
        <w:rPr>
          <w:sz w:val="20"/>
          <w:szCs w:val="20"/>
          <w:color w:val="auto"/>
        </w:rPr>
      </w:pPr>
    </w:p>
    <w:p>
      <w:pPr>
        <w:ind w:right="1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36" w:lineRule="exact"/>
        <w:rPr>
          <w:sz w:val="20"/>
          <w:szCs w:val="20"/>
          <w:color w:val="auto"/>
        </w:rPr>
      </w:pPr>
    </w:p>
    <w:p>
      <w:pPr>
        <w:ind w:right="4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120" w:lineRule="exact"/>
        <w:rPr>
          <w:sz w:val="20"/>
          <w:szCs w:val="20"/>
          <w:color w:val="auto"/>
        </w:rPr>
      </w:pPr>
    </w:p>
    <w:p>
      <w:pPr>
        <w:ind w:right="280" w:firstLine="913"/>
        <w:spacing w:after="0" w:line="27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120"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139" w:lineRule="exact"/>
        <w:rPr>
          <w:sz w:val="20"/>
          <w:szCs w:val="20"/>
          <w:color w:val="auto"/>
        </w:rPr>
      </w:pPr>
    </w:p>
    <w:p>
      <w:pPr>
        <w:ind w:firstLine="913"/>
        <w:spacing w:after="0" w:line="310"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Federal Regulations</w:t>
      </w:r>
      <w:r>
        <w:rPr>
          <w:rFonts w:ascii="Times New Roman" w:cs="Times New Roman" w:eastAsia="Times New Roman" w:hAnsi="Times New Roman"/>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97"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in the aggregate, could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including but not limited to the occurrence of an “accumulated funding deficiency” (within the meaning of Section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4" w:right="239" w:bottom="1440" w:gutter="0" w:footer="0" w:header="0"/>
        </w:sectPr>
      </w:pPr>
    </w:p>
    <w:bookmarkStart w:id="123" w:name="page124"/>
    <w:bookmarkEnd w:id="123"/>
    <w:p>
      <w:pPr>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 of the Code or Section 302 of ERISA as in effect prior to the effective date of the Pension Protection Act of 2006))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could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w:t>
      </w:r>
    </w:p>
    <w:p>
      <w:pPr>
        <w:spacing w:after="0" w:line="187" w:lineRule="exact"/>
        <w:rPr>
          <w:sz w:val="20"/>
          <w:szCs w:val="20"/>
          <w:color w:val="auto"/>
        </w:rPr>
      </w:pPr>
    </w:p>
    <w:p>
      <w:pPr>
        <w:ind w:right="40" w:firstLine="8"/>
        <w:spacing w:after="0" w:line="252"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142"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 Other Regulations</w:t>
      </w:r>
      <w:r>
        <w:rPr>
          <w:rFonts w:ascii="Times New Roman" w:cs="Times New Roman" w:eastAsia="Times New Roman" w:hAnsi="Times New Roman"/>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36" w:lineRule="exact"/>
        <w:rPr>
          <w:sz w:val="20"/>
          <w:szCs w:val="20"/>
          <w:color w:val="auto"/>
        </w:rPr>
      </w:pPr>
    </w:p>
    <w:p>
      <w:pPr>
        <w:ind w:right="180" w:firstLine="913"/>
        <w:spacing w:after="0" w:line="26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as to each such Significant Subsidiary, the percentage of each class of Capital Stock owned by the Company and (b) there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4" w:right="239" w:bottom="1440" w:gutter="0" w:footer="0" w:header="0"/>
        </w:sectPr>
      </w:pPr>
    </w:p>
    <w:bookmarkStart w:id="124" w:name="page125"/>
    <w:bookmarkEnd w:id="124"/>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32" w:lineRule="exact"/>
        <w:rPr>
          <w:sz w:val="20"/>
          <w:szCs w:val="20"/>
          <w:color w:val="auto"/>
        </w:rPr>
      </w:pPr>
    </w:p>
    <w:p>
      <w:pPr>
        <w:ind w:firstLine="913"/>
        <w:spacing w:after="0" w:line="288" w:lineRule="auto"/>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Accuracy of Information, etc</w:t>
      </w:r>
      <w:r>
        <w:rPr>
          <w:rFonts w:ascii="Times New Roman" w:cs="Times New Roman" w:eastAsia="Times New Roman" w:hAnsi="Times New Roman"/>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 There is no fact known to the Company that could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by the Company for general corporate purposes.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171"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of Initial Loans</w:t>
      </w:r>
      <w:r>
        <w:rPr>
          <w:rFonts w:ascii="Times New Roman" w:cs="Times New Roman" w:eastAsia="Times New Roman" w:hAnsi="Times New Roman"/>
          <w:sz w:val="18"/>
          <w:szCs w:val="18"/>
          <w:color w:val="auto"/>
        </w:rPr>
        <w:t>. The obligation of each Bank to make its initial Loan hereunder and the effectiveness of this Agreement are subject to the satisfaction of the following conditions precedent:</w:t>
      </w:r>
    </w:p>
    <w:p>
      <w:pPr>
        <w:spacing w:after="0" w:line="39" w:lineRule="exact"/>
        <w:rPr>
          <w:sz w:val="20"/>
          <w:szCs w:val="20"/>
          <w:color w:val="auto"/>
        </w:rPr>
      </w:pPr>
    </w:p>
    <w:p>
      <w:pPr>
        <w:ind w:left="460" w:right="300" w:firstLine="443"/>
        <w:spacing w:after="0" w:line="275" w:lineRule="auto"/>
        <w:tabs>
          <w:tab w:leader="none" w:pos="11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Agreement</w:t>
      </w:r>
      <w:r>
        <w:rPr>
          <w:rFonts w:ascii="Times New Roman" w:cs="Times New Roman" w:eastAsia="Times New Roman" w:hAnsi="Times New Roman"/>
          <w:sz w:val="18"/>
          <w:szCs w:val="18"/>
          <w:color w:val="auto"/>
        </w:rPr>
        <w:t>. The Administrative Agent shall have received this Agreement, executed by an authorized officer of each Bank party hereto and by an authorized officer of the Company.</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62" w:lineRule="auto"/>
        <w:tabs>
          <w:tab w:leader="none" w:pos="11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1" w:lineRule="exact"/>
        <w:rPr>
          <w:rFonts w:ascii="Times New Roman" w:cs="Times New Roman" w:eastAsia="Times New Roman" w:hAnsi="Times New Roman"/>
          <w:sz w:val="18"/>
          <w:szCs w:val="18"/>
          <w:color w:val="auto"/>
        </w:rPr>
      </w:pPr>
    </w:p>
    <w:p>
      <w:pPr>
        <w:ind w:left="460" w:right="280" w:firstLine="443"/>
        <w:spacing w:after="0" w:line="262" w:lineRule="auto"/>
        <w:tabs>
          <w:tab w:leader="none" w:pos="11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Prior to or substantially simultaneously with the Effective Date, the commitments under the Existing Credit Agreement shall have been terminated and the Company shall have repaid all outstanding loans, unpaid interest thereon and all fees and expenses owed thereunder.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74" w:right="259" w:bottom="1440" w:gutter="0" w:footer="0" w:header="0"/>
        </w:sectPr>
      </w:pPr>
    </w:p>
    <w:bookmarkStart w:id="125" w:name="page126"/>
    <w:bookmarkEnd w:id="125"/>
    <w:p>
      <w:pPr>
        <w:ind w:left="460" w:right="140" w:firstLine="443"/>
        <w:spacing w:after="0" w:line="258" w:lineRule="auto"/>
        <w:tabs>
          <w:tab w:leader="none" w:pos="11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w:t>
      </w:r>
      <w:r>
        <w:rPr>
          <w:rFonts w:ascii="Times New Roman" w:cs="Times New Roman" w:eastAsia="Times New Roman" w:hAnsi="Times New Roman"/>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55" w:lineRule="exact"/>
        <w:rPr>
          <w:rFonts w:ascii="Times New Roman" w:cs="Times New Roman" w:eastAsia="Times New Roman" w:hAnsi="Times New Roman"/>
          <w:sz w:val="18"/>
          <w:szCs w:val="18"/>
          <w:color w:val="auto"/>
        </w:rPr>
      </w:pPr>
    </w:p>
    <w:p>
      <w:pPr>
        <w:ind w:left="460" w:right="200" w:firstLine="443"/>
        <w:spacing w:after="0" w:line="262" w:lineRule="auto"/>
        <w:tabs>
          <w:tab w:leader="none" w:pos="11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1"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11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and Signatures</w:t>
      </w:r>
      <w:r>
        <w:rPr>
          <w:rFonts w:ascii="Times New Roman" w:cs="Times New Roman" w:eastAsia="Times New Roman" w:hAnsi="Times New Roman"/>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1" w:lineRule="exact"/>
        <w:rPr>
          <w:rFonts w:ascii="Times New Roman" w:cs="Times New Roman" w:eastAsia="Times New Roman" w:hAnsi="Times New Roman"/>
          <w:sz w:val="18"/>
          <w:szCs w:val="18"/>
          <w:color w:val="auto"/>
        </w:rPr>
      </w:pPr>
    </w:p>
    <w:p>
      <w:pPr>
        <w:ind w:left="460" w:right="500" w:firstLine="443"/>
        <w:spacing w:after="0" w:line="275" w:lineRule="auto"/>
        <w:tabs>
          <w:tab w:leader="none" w:pos="11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Administrative Agent shall have received all fees required to be paid to it and each Bank under this Agreement on or prior to the Effective Date.</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All Loans</w:t>
      </w:r>
      <w:r>
        <w:rPr>
          <w:rFonts w:ascii="Times New Roman" w:cs="Times New Roman" w:eastAsia="Times New Roman" w:hAnsi="Times New Roman"/>
          <w:sz w:val="18"/>
          <w:szCs w:val="18"/>
          <w:color w:val="auto"/>
        </w:rPr>
        <w:t>. The making by each Bank of any Loan hereunder (but not the conversion or continuation of any Loan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2.7) is subject to the satisfaction of the following conditions precedent on the relevant Borrowing Date:</w:t>
      </w:r>
    </w:p>
    <w:p>
      <w:pPr>
        <w:spacing w:after="0" w:line="78" w:lineRule="exact"/>
        <w:rPr>
          <w:sz w:val="20"/>
          <w:szCs w:val="20"/>
          <w:color w:val="auto"/>
        </w:rPr>
      </w:pPr>
    </w:p>
    <w:p>
      <w:pPr>
        <w:ind w:left="460" w:firstLine="443"/>
        <w:spacing w:after="0" w:line="258" w:lineRule="auto"/>
        <w:tabs>
          <w:tab w:leader="none" w:pos="113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made by the Company herein or which are contained in any certificate furnished at any time under or in connection herewith shall be true and correct on and as of the Borrowing Date as if made on and as of such date (it being understood and agreed that any representation and warranty which by its terms is made as of a specified date shall be required to be true and correct only as of such specified date).</w:t>
      </w:r>
    </w:p>
    <w:p>
      <w:pPr>
        <w:spacing w:after="0" w:line="55"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Loan to be made on such Borrowing Date.</w:t>
      </w:r>
    </w:p>
    <w:p>
      <w:pPr>
        <w:spacing w:after="0" w:line="38" w:lineRule="exact"/>
        <w:rPr>
          <w:rFonts w:ascii="Times New Roman" w:cs="Times New Roman" w:eastAsia="Times New Roman" w:hAnsi="Times New Roman"/>
          <w:sz w:val="18"/>
          <w:szCs w:val="18"/>
          <w:color w:val="auto"/>
        </w:rPr>
      </w:pPr>
    </w:p>
    <w:p>
      <w:pPr>
        <w:ind w:left="460" w:right="100" w:firstLine="443"/>
        <w:spacing w:after="0" w:line="262" w:lineRule="auto"/>
        <w:tabs>
          <w:tab w:leader="none" w:pos="113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32" w:lineRule="exact"/>
        <w:rPr>
          <w:sz w:val="20"/>
          <w:szCs w:val="20"/>
          <w:color w:val="auto"/>
        </w:rPr>
      </w:pPr>
    </w:p>
    <w:p>
      <w:pPr>
        <w:ind w:right="480" w:firstLine="913"/>
        <w:spacing w:after="0" w:line="275" w:lineRule="auto"/>
        <w:rPr>
          <w:sz w:val="20"/>
          <w:szCs w:val="20"/>
          <w:color w:val="auto"/>
        </w:rPr>
      </w:pPr>
      <w:r>
        <w:rPr>
          <w:rFonts w:ascii="Times New Roman" w:cs="Times New Roman" w:eastAsia="Times New Roman" w:hAnsi="Times New Roman"/>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4" w:right="25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171" w:lineRule="exact"/>
        <w:rPr>
          <w:sz w:val="20"/>
          <w:szCs w:val="20"/>
          <w:color w:val="auto"/>
        </w:rPr>
      </w:pPr>
    </w:p>
    <w:p>
      <w:pPr>
        <w:jc w:val="both"/>
        <w:ind w:right="200" w:firstLine="913"/>
        <w:spacing w:after="0" w:line="26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Loan remains outstanding and unpaid or any other amount is owing to the Banks or the Administrative Agent hereunder, the Company shall and (except in the case of delivery of financial information, reports and notices) shall cause each Significant Subsidiary to:</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for delivery to each Bank:</w:t>
      </w:r>
    </w:p>
    <w:p>
      <w:pPr>
        <w:spacing w:after="0" w:line="90" w:lineRule="exact"/>
        <w:rPr>
          <w:sz w:val="20"/>
          <w:szCs w:val="20"/>
          <w:color w:val="auto"/>
        </w:rPr>
      </w:pPr>
    </w:p>
    <w:p>
      <w:pPr>
        <w:ind w:left="460" w:right="160" w:firstLine="443"/>
        <w:spacing w:after="0" w:line="258" w:lineRule="auto"/>
        <w:tabs>
          <w:tab w:leader="none" w:pos="113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each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and</w:t>
      </w:r>
    </w:p>
    <w:p>
      <w:pPr>
        <w:spacing w:after="0" w:line="55" w:lineRule="exact"/>
        <w:rPr>
          <w:rFonts w:ascii="Times New Roman" w:cs="Times New Roman" w:eastAsia="Times New Roman" w:hAnsi="Times New Roman"/>
          <w:sz w:val="18"/>
          <w:szCs w:val="18"/>
          <w:color w:val="auto"/>
        </w:rPr>
      </w:pPr>
    </w:p>
    <w:p>
      <w:pPr>
        <w:jc w:val="both"/>
        <w:ind w:left="460" w:firstLine="443"/>
        <w:spacing w:after="0" w:line="258" w:lineRule="auto"/>
        <w:tabs>
          <w:tab w:leader="none" w:pos="11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w:t>
      </w:r>
    </w:p>
    <w:p>
      <w:pPr>
        <w:spacing w:after="0" w:line="136" w:lineRule="exact"/>
        <w:rPr>
          <w:sz w:val="20"/>
          <w:szCs w:val="20"/>
          <w:color w:val="auto"/>
        </w:rPr>
      </w:pPr>
    </w:p>
    <w:p>
      <w:pPr>
        <w:jc w:val="both"/>
        <w:ind w:right="640"/>
        <w:spacing w:after="0" w:line="262" w:lineRule="auto"/>
        <w:rPr>
          <w:sz w:val="20"/>
          <w:szCs w:val="20"/>
          <w:color w:val="auto"/>
        </w:rPr>
      </w:pPr>
      <w:r>
        <w:rPr>
          <w:rFonts w:ascii="Times New Roman" w:cs="Times New Roman" w:eastAsia="Times New Roman" w:hAnsi="Times New Roman"/>
          <w:sz w:val="18"/>
          <w:szCs w:val="18"/>
          <w:color w:val="auto"/>
        </w:rPr>
        <w:t>all such financial statements to be complete and correct in all material respects and to be prepared in reasonable detail in accordance with GAAP applied consistently throughout the period reflected therein, and in the case of clause (b) above, subject to normal year-end audit adjustments and the absence of footnotes.</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for delivery to each Bank:</w:t>
      </w:r>
    </w:p>
    <w:p>
      <w:pPr>
        <w:spacing w:after="0" w:line="90" w:lineRule="exact"/>
        <w:rPr>
          <w:sz w:val="20"/>
          <w:szCs w:val="20"/>
          <w:color w:val="auto"/>
        </w:rPr>
      </w:pPr>
    </w:p>
    <w:p>
      <w:pPr>
        <w:ind w:left="460" w:firstLine="443"/>
        <w:spacing w:after="0" w:line="256" w:lineRule="auto"/>
        <w:tabs>
          <w:tab w:leader="none" w:pos="11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 in this Agreement and in the Notes to be observed, performed or satisfied by them, and that such officer has obtained no knowledge of any Event of Default, in each case except as specified in such certificate and (ii) setting forth quarterly computations with respect to compliance with Section 7.1 of this Agreement;</w:t>
      </w:r>
    </w:p>
    <w:p>
      <w:pPr>
        <w:spacing w:after="0" w:line="57"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45 days after the end of each of the quarterly periods of each fiscal year of each Designated Subsidiary, a copy of the Statement of Financial Condition and Computation of Net Capital of such</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274" w:right="279" w:bottom="1440" w:gutter="0" w:footer="0" w:header="0"/>
        </w:sectPr>
      </w:pPr>
    </w:p>
    <w:bookmarkStart w:id="127" w:name="page128"/>
    <w:bookmarkEnd w:id="127"/>
    <w:p>
      <w:pPr>
        <w:ind w:left="460"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Subsidiary as of the end of such quarter included in Part II of such Designated Subsidiary’s FOCUS Report, Annual Audit Report, amendment to Form ADV or amendment to Form BD (as applicable) for such quarter, certified as correct as of the date thereof, subject to changes resulting from subsequent audit adjustments, by an authorized officer of such Designated Subsidiary;</w:t>
      </w:r>
    </w:p>
    <w:p>
      <w:pPr>
        <w:spacing w:after="0" w:line="51" w:lineRule="exact"/>
        <w:rPr>
          <w:sz w:val="20"/>
          <w:szCs w:val="20"/>
          <w:color w:val="auto"/>
        </w:rPr>
      </w:pPr>
    </w:p>
    <w:p>
      <w:pPr>
        <w:ind w:left="460" w:right="20" w:firstLine="443"/>
        <w:spacing w:after="0" w:line="256" w:lineRule="auto"/>
        <w:tabs>
          <w:tab w:leader="none" w:pos="11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w:t>
      </w:r>
    </w:p>
    <w:p>
      <w:pPr>
        <w:spacing w:after="0" w:line="57"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1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confidential or otherwise, as the Banks may from time to time reasonably request and which the Company is not expressly prohibited by law or written contract from disclosing; and</w:t>
      </w:r>
    </w:p>
    <w:p>
      <w:pPr>
        <w:spacing w:after="0" w:line="38" w:lineRule="exact"/>
        <w:rPr>
          <w:rFonts w:ascii="Times New Roman" w:cs="Times New Roman" w:eastAsia="Times New Roman" w:hAnsi="Times New Roman"/>
          <w:sz w:val="18"/>
          <w:szCs w:val="18"/>
          <w:color w:val="auto"/>
        </w:rPr>
      </w:pPr>
    </w:p>
    <w:p>
      <w:pPr>
        <w:jc w:val="both"/>
        <w:ind w:left="460" w:firstLine="443"/>
        <w:spacing w:after="0" w:line="262" w:lineRule="auto"/>
        <w:tabs>
          <w:tab w:leader="none" w:pos="11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 days after the same are sent, copies of all financial statements and reports that Holdings or the Company sends to the holders of any class of its debt securities or public equity securities and, within five (5) days after the same are filed, copies of all financial statements and reports that Holdings or the Company may make to, or file with, the SEC.</w:t>
      </w:r>
    </w:p>
    <w:p>
      <w:pPr>
        <w:spacing w:after="0" w:line="132"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Conduct of Business and Maintenance of Existence; Compliance</w:t>
      </w:r>
      <w:r>
        <w:rPr>
          <w:rFonts w:ascii="Times New Roman" w:cs="Times New Roman" w:eastAsia="Times New Roman" w:hAnsi="Times New Roman"/>
          <w:sz w:val="18"/>
          <w:szCs w:val="18"/>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39"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Keep all property useful and necessary in its business in good working order and condition, ordinary wear and tear excepted;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274" w:right="259" w:bottom="1440" w:gutter="0" w:footer="0" w:header="0"/>
        </w:sectPr>
      </w:pPr>
    </w:p>
    <w:bookmarkStart w:id="128" w:name="page129"/>
    <w:bookmarkEnd w:id="128"/>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3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give notice to the Administrative Agent and each Bank:</w:t>
      </w:r>
    </w:p>
    <w:p>
      <w:pPr>
        <w:spacing w:after="0" w:line="90" w:lineRule="exact"/>
        <w:rPr>
          <w:sz w:val="20"/>
          <w:szCs w:val="20"/>
          <w:color w:val="auto"/>
        </w:rPr>
      </w:pPr>
    </w:p>
    <w:p>
      <w:pPr>
        <w:ind w:left="1140" w:hanging="237"/>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or Event of Default upon obtaining knowledge thereof;</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38" w:lineRule="exact"/>
        <w:rPr>
          <w:rFonts w:ascii="Times New Roman" w:cs="Times New Roman" w:eastAsia="Times New Roman" w:hAnsi="Times New Roman"/>
          <w:sz w:val="18"/>
          <w:szCs w:val="18"/>
          <w:color w:val="auto"/>
        </w:rPr>
      </w:pPr>
    </w:p>
    <w:p>
      <w:pPr>
        <w:ind w:left="460" w:firstLine="443"/>
        <w:spacing w:after="0" w:line="253" w:lineRule="auto"/>
        <w:tabs>
          <w:tab w:leader="none" w:pos="113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5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other development that has had or would reasonably be expected to have a Material Adverse Effect.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274" w:right="279" w:bottom="1440" w:gutter="0" w:footer="0" w:header="0"/>
        </w:sectPr>
      </w:pPr>
    </w:p>
    <w:bookmarkStart w:id="129" w:name="page130"/>
    <w:bookmarkEnd w:id="129"/>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171" w:lineRule="exact"/>
        <w:rPr>
          <w:sz w:val="20"/>
          <w:szCs w:val="20"/>
          <w:color w:val="auto"/>
        </w:rPr>
      </w:pPr>
    </w:p>
    <w:p>
      <w:pPr>
        <w:ind w:right="220" w:firstLine="913"/>
        <w:spacing w:after="0" w:line="26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any Loan remains outstanding and unpaid or any other amount is owing to the Banks or the Administrative Agent hereunder, the Company shall not, and shall not permit any of its Significant Subsidiaries to, directly or indirectly:</w:t>
      </w:r>
    </w:p>
    <w:p>
      <w:pPr>
        <w:spacing w:after="0" w:line="1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 w:firstLine="443"/>
        <w:spacing w:after="0" w:line="275" w:lineRule="auto"/>
        <w:tabs>
          <w:tab w:leader="none" w:pos="11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Permit the Consolidated Leverage Ratio as of the last day of any fiscal quarter, commencing with the fiscal quarter ended June 30, 2010, to be greater than 4.00 to 1.00.</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Permit the Consolidated Interest Coverage Ratio for the period of four consecutive fiscal quarters ending on the last day of any fiscal quarter, commencing with the fiscal quarter ended June 30, 2010, to be less than 3.00 to 1.00.</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under this Agreement or the Notes;</w:t>
      </w:r>
    </w:p>
    <w:p>
      <w:pPr>
        <w:spacing w:after="0" w:line="90" w:lineRule="exact"/>
        <w:rPr>
          <w:rFonts w:ascii="Times New Roman" w:cs="Times New Roman" w:eastAsia="Times New Roman" w:hAnsi="Times New Roman"/>
          <w:sz w:val="18"/>
          <w:szCs w:val="18"/>
          <w:color w:val="auto"/>
        </w:rPr>
      </w:pPr>
    </w:p>
    <w:p>
      <w:pPr>
        <w:ind w:left="460" w:right="400" w:firstLine="443"/>
        <w:spacing w:after="0" w:line="275" w:lineRule="auto"/>
        <w:tabs>
          <w:tab w:leader="none" w:pos="11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to any Wholly Owned Subsidiary and of any Wholly Owned Subsidiary to the Company or any other Wholly Owned Subsidiary;</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hereof and listed on Schedule 7.2 and any Permitted Refinancing Indebtedness incurred to Refinance such Indebtedness;</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0"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1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secured Broker-Dealer Indebtedness and Indebtedness of Lazard Frères Banque;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1" w:lineRule="exact"/>
        <w:rPr>
          <w:rFonts w:ascii="Times New Roman" w:cs="Times New Roman" w:eastAsia="Times New Roman" w:hAnsi="Times New Roman"/>
          <w:sz w:val="18"/>
          <w:szCs w:val="18"/>
          <w:color w:val="auto"/>
        </w:rPr>
      </w:pPr>
    </w:p>
    <w:p>
      <w:pPr>
        <w:ind w:left="460" w:firstLine="443"/>
        <w:spacing w:after="0" w:line="255" w:lineRule="auto"/>
        <w:tabs>
          <w:tab w:leader="none" w:pos="11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the acquisition or assumption of such Indebtedness (other than Permitted Refinancing Indebtedness incurred to Refinance such Indebtedness), the Leverage Ratio shall not be greater than 3.5 to 1.0;</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274" w:right="299" w:bottom="1440" w:gutter="0" w:footer="0" w:header="0"/>
        </w:sectPr>
      </w:pPr>
    </w:p>
    <w:bookmarkStart w:id="130" w:name="page131"/>
    <w:bookmarkEnd w:id="130"/>
    <w:p>
      <w:pPr>
        <w:ind w:firstLine="443"/>
        <w:spacing w:after="0" w:line="262" w:lineRule="auto"/>
        <w:tabs>
          <w:tab w:leader="none" w:pos="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Capital Lease Obligations in connection with the Paris Lease and any Indebtedness the net proceeds of which are used to refinance or replace such Capital Lease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such Indebtedness does not exceed the value of the real property covered by the Paris Lease;</w:t>
      </w:r>
    </w:p>
    <w:p>
      <w:pPr>
        <w:spacing w:after="0" w:line="51"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Lease Obligations in an aggregate principal amount not to exceed $10,000,000 at any one time outstanding;</w:t>
      </w:r>
    </w:p>
    <w:p>
      <w:pPr>
        <w:spacing w:after="0" w:line="90" w:lineRule="exact"/>
        <w:rPr>
          <w:rFonts w:ascii="Times New Roman" w:cs="Times New Roman" w:eastAsia="Times New Roman" w:hAnsi="Times New Roman"/>
          <w:sz w:val="18"/>
          <w:szCs w:val="18"/>
          <w:color w:val="auto"/>
        </w:rPr>
      </w:pPr>
    </w:p>
    <w:p>
      <w:pPr>
        <w:ind w:right="80" w:firstLine="443"/>
        <w:spacing w:after="0" w:line="258"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55" w:lineRule="exact"/>
        <w:rPr>
          <w:rFonts w:ascii="Times New Roman" w:cs="Times New Roman" w:eastAsia="Times New Roman" w:hAnsi="Times New Roman"/>
          <w:sz w:val="18"/>
          <w:szCs w:val="18"/>
          <w:color w:val="auto"/>
        </w:rPr>
      </w:pPr>
    </w:p>
    <w:p>
      <w:pPr>
        <w:ind w:right="960" w:firstLine="443"/>
        <w:spacing w:after="0" w:line="275"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in respect of the Senior Notes and any Permitted Refinancing Indebtedness incurred to Refinance such Indebtedness;</w:t>
      </w:r>
    </w:p>
    <w:p>
      <w:pPr>
        <w:spacing w:after="0" w:line="38" w:lineRule="exact"/>
        <w:rPr>
          <w:rFonts w:ascii="Times New Roman" w:cs="Times New Roman" w:eastAsia="Times New Roman" w:hAnsi="Times New Roman"/>
          <w:sz w:val="18"/>
          <w:szCs w:val="18"/>
          <w:color w:val="auto"/>
        </w:rPr>
      </w:pPr>
    </w:p>
    <w:p>
      <w:pPr>
        <w:ind w:right="160" w:firstLine="443"/>
        <w:spacing w:after="0" w:line="275" w:lineRule="auto"/>
        <w:tabs>
          <w:tab w:leader="none" w:pos="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with Permitted Receivables Financings in an aggregate principal amount not to exceed $50,000,000 at any one time outstanding;</w:t>
      </w:r>
    </w:p>
    <w:p>
      <w:pPr>
        <w:spacing w:after="0" w:line="38" w:lineRule="exact"/>
        <w:rPr>
          <w:rFonts w:ascii="Times New Roman" w:cs="Times New Roman" w:eastAsia="Times New Roman" w:hAnsi="Times New Roman"/>
          <w:sz w:val="18"/>
          <w:szCs w:val="18"/>
          <w:color w:val="auto"/>
        </w:rPr>
      </w:pPr>
    </w:p>
    <w:p>
      <w:pPr>
        <w:ind w:right="700" w:firstLine="443"/>
        <w:spacing w:after="0" w:line="275"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38" w:lineRule="exact"/>
        <w:rPr>
          <w:rFonts w:ascii="Times New Roman" w:cs="Times New Roman" w:eastAsia="Times New Roman" w:hAnsi="Times New Roman"/>
          <w:sz w:val="18"/>
          <w:szCs w:val="18"/>
          <w:color w:val="auto"/>
        </w:rPr>
      </w:pPr>
    </w:p>
    <w:p>
      <w:pPr>
        <w:ind w:left="740" w:hanging="297"/>
        <w:spacing w:after="0"/>
        <w:tabs>
          <w:tab w:leader="none" w:pos="7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of the Company or any of its Subsidiaries (other than LFNY);</w:t>
      </w:r>
    </w:p>
    <w:p>
      <w:pPr>
        <w:spacing w:after="0" w:line="90" w:lineRule="exact"/>
        <w:rPr>
          <w:rFonts w:ascii="Times New Roman" w:cs="Times New Roman" w:eastAsia="Times New Roman" w:hAnsi="Times New Roman"/>
          <w:sz w:val="18"/>
          <w:szCs w:val="18"/>
          <w:color w:val="auto"/>
        </w:rPr>
      </w:pPr>
    </w:p>
    <w:p>
      <w:pPr>
        <w:ind w:right="40" w:firstLine="443"/>
        <w:spacing w:after="0" w:line="262" w:lineRule="auto"/>
        <w:tabs>
          <w:tab w:leader="none" w:pos="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Indebtedness of the Company or any of its Subsidiaries in an aggregate principal amount (for the Company and all Subsidiaries) not to exceed $125,000,000 at any one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the incurrence of such additional Indebtedness, the Leverage Ratio shall not be greater than 3.5 to 1.0;</w:t>
      </w:r>
    </w:p>
    <w:p>
      <w:pPr>
        <w:spacing w:after="0" w:line="51" w:lineRule="exact"/>
        <w:rPr>
          <w:rFonts w:ascii="Times New Roman" w:cs="Times New Roman" w:eastAsia="Times New Roman" w:hAnsi="Times New Roman"/>
          <w:sz w:val="18"/>
          <w:szCs w:val="18"/>
          <w:color w:val="auto"/>
        </w:rPr>
      </w:pPr>
    </w:p>
    <w:p>
      <w:pPr>
        <w:ind w:right="720" w:firstLine="443"/>
        <w:spacing w:after="0" w:line="275" w:lineRule="auto"/>
        <w:tabs>
          <w:tab w:leader="none" w:pos="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Company and its Subsidiaries in respect of Indebtedness of the Company or its Subsidiaries so long as the incurrence of such Indebtedness is permitted under this Agreement;</w:t>
      </w:r>
    </w:p>
    <w:p>
      <w:pPr>
        <w:spacing w:after="0" w:line="38"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Intesa Notes and any Permitted Refinancing Indebtedness incurred to Refinance such Indebtedness; and</w:t>
      </w:r>
    </w:p>
    <w:p>
      <w:pPr>
        <w:spacing w:after="0" w:line="90"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Non-Recourse Indebtedness.</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700" w:top="274" w:right="259" w:bottom="1440" w:gutter="0" w:footer="0" w:header="0"/>
        </w:sectPr>
      </w:pPr>
    </w:p>
    <w:bookmarkStart w:id="131" w:name="page132"/>
    <w:bookmarkEnd w:id="131"/>
    <w:p>
      <w:pPr>
        <w:ind w:right="5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except:</w:t>
      </w:r>
    </w:p>
    <w:p>
      <w:pPr>
        <w:spacing w:after="0" w:line="39" w:lineRule="exact"/>
        <w:rPr>
          <w:sz w:val="20"/>
          <w:szCs w:val="20"/>
          <w:color w:val="auto"/>
        </w:rPr>
      </w:pPr>
    </w:p>
    <w:p>
      <w:pPr>
        <w:ind w:left="460" w:right="20" w:firstLine="443"/>
        <w:spacing w:after="0" w:line="275" w:lineRule="auto"/>
        <w:tabs>
          <w:tab w:leader="none" w:pos="113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38" w:lineRule="exact"/>
        <w:rPr>
          <w:rFonts w:ascii="Times New Roman" w:cs="Times New Roman" w:eastAsia="Times New Roman" w:hAnsi="Times New Roman"/>
          <w:sz w:val="18"/>
          <w:szCs w:val="18"/>
          <w:color w:val="auto"/>
        </w:rPr>
      </w:pPr>
    </w:p>
    <w:p>
      <w:pPr>
        <w:ind w:left="460" w:right="720" w:firstLine="443"/>
        <w:spacing w:after="0" w:line="275" w:lineRule="auto"/>
        <w:tabs>
          <w:tab w:leader="none" w:pos="11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38"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13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38" w:lineRule="exact"/>
        <w:rPr>
          <w:rFonts w:ascii="Times New Roman" w:cs="Times New Roman" w:eastAsia="Times New Roman" w:hAnsi="Times New Roman"/>
          <w:sz w:val="18"/>
          <w:szCs w:val="18"/>
          <w:color w:val="auto"/>
        </w:rPr>
      </w:pPr>
    </w:p>
    <w:p>
      <w:pPr>
        <w:jc w:val="both"/>
        <w:ind w:left="460" w:right="60" w:firstLine="443"/>
        <w:spacing w:after="0" w:line="258" w:lineRule="auto"/>
        <w:tabs>
          <w:tab w:leader="none" w:pos="11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55" w:lineRule="exact"/>
        <w:rPr>
          <w:rFonts w:ascii="Times New Roman" w:cs="Times New Roman" w:eastAsia="Times New Roman" w:hAnsi="Times New Roman"/>
          <w:sz w:val="18"/>
          <w:szCs w:val="18"/>
          <w:color w:val="auto"/>
        </w:rPr>
      </w:pPr>
    </w:p>
    <w:p>
      <w:pPr>
        <w:ind w:left="460" w:right="160" w:firstLine="443"/>
        <w:spacing w:after="0" w:line="275" w:lineRule="auto"/>
        <w:tabs>
          <w:tab w:leader="none" w:pos="113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38" w:lineRule="exact"/>
        <w:rPr>
          <w:rFonts w:ascii="Times New Roman" w:cs="Times New Roman" w:eastAsia="Times New Roman" w:hAnsi="Times New Roman"/>
          <w:sz w:val="18"/>
          <w:szCs w:val="18"/>
          <w:color w:val="auto"/>
        </w:rPr>
      </w:pPr>
    </w:p>
    <w:p>
      <w:pPr>
        <w:ind w:left="460" w:firstLine="443"/>
        <w:spacing w:after="0" w:line="262" w:lineRule="auto"/>
        <w:tabs>
          <w:tab w:leader="none" w:pos="111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1"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real property, leasehold improvements and equipment of the Company securing Specified Non-Recourse Indebtedness and/or Specified Recourse Indebtedness;</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Liens in respect of judgments that do not constitute an Event of Default under clause (h) of Section 9;</w:t>
      </w:r>
    </w:p>
    <w:p>
      <w:pPr>
        <w:spacing w:after="0" w:line="90" w:lineRule="exact"/>
        <w:rPr>
          <w:rFonts w:ascii="Times New Roman" w:cs="Times New Roman" w:eastAsia="Times New Roman" w:hAnsi="Times New Roman"/>
          <w:sz w:val="18"/>
          <w:szCs w:val="18"/>
          <w:color w:val="auto"/>
        </w:rPr>
      </w:pPr>
    </w:p>
    <w:p>
      <w:pPr>
        <w:ind w:left="460" w:firstLine="443"/>
        <w:spacing w:after="0" w:line="262"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20"/>
          </w:cols>
          <w:pgMar w:left="240" w:top="274" w:right="339" w:bottom="1440" w:gutter="0" w:footer="0" w:header="0"/>
        </w:sectPr>
      </w:pPr>
    </w:p>
    <w:bookmarkStart w:id="132" w:name="page133"/>
    <w:bookmarkEnd w:id="132"/>
    <w:p>
      <w:pPr>
        <w:ind w:left="460" w:right="1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contemplation of such acquisition that do not secure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Lien shall extend to or cover any property other than property being acquired, constructed on or improved;</w:t>
      </w:r>
    </w:p>
    <w:p>
      <w:pPr>
        <w:spacing w:after="0" w:line="39" w:lineRule="exact"/>
        <w:rPr>
          <w:sz w:val="20"/>
          <w:szCs w:val="20"/>
          <w:color w:val="auto"/>
        </w:rPr>
      </w:pPr>
    </w:p>
    <w:p>
      <w:pPr>
        <w:ind w:left="460" w:right="20" w:firstLine="443"/>
        <w:spacing w:after="0" w:line="262"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1" w:lineRule="exact"/>
        <w:rPr>
          <w:rFonts w:ascii="Times New Roman" w:cs="Times New Roman" w:eastAsia="Times New Roman" w:hAnsi="Times New Roman"/>
          <w:sz w:val="18"/>
          <w:szCs w:val="18"/>
          <w:color w:val="auto"/>
        </w:rPr>
      </w:pPr>
    </w:p>
    <w:p>
      <w:pPr>
        <w:ind w:left="460" w:right="40" w:firstLine="443"/>
        <w:spacing w:after="0" w:line="334" w:lineRule="auto"/>
        <w:tabs>
          <w:tab w:leader="none" w:pos="114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1" w:lineRule="exact"/>
        <w:rPr>
          <w:rFonts w:ascii="Times New Roman" w:cs="Times New Roman" w:eastAsia="Times New Roman" w:hAnsi="Times New Roman"/>
          <w:sz w:val="16"/>
          <w:szCs w:val="16"/>
          <w:color w:val="auto"/>
        </w:rPr>
      </w:pPr>
    </w:p>
    <w:p>
      <w:pPr>
        <w:ind w:left="460" w:right="20" w:firstLine="443"/>
        <w:spacing w:after="0" w:line="255"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58" w:lineRule="exact"/>
        <w:rPr>
          <w:rFonts w:ascii="Times New Roman" w:cs="Times New Roman" w:eastAsia="Times New Roman" w:hAnsi="Times New Roman"/>
          <w:sz w:val="18"/>
          <w:szCs w:val="18"/>
          <w:color w:val="auto"/>
        </w:rPr>
      </w:pPr>
    </w:p>
    <w:p>
      <w:pPr>
        <w:ind w:left="460" w:right="100" w:firstLine="443"/>
        <w:spacing w:after="0" w:line="275" w:lineRule="auto"/>
        <w:tabs>
          <w:tab w:leader="none" w:pos="11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Indebtedness permitted under Sections 7.2(b) (only to the extent required under Requirements of Law), 7.2(e), 7.2(g), 7.2(h), 7.2(i) and 7.2(k); and</w:t>
      </w:r>
    </w:p>
    <w:p>
      <w:pPr>
        <w:spacing w:after="0" w:line="38" w:lineRule="exact"/>
        <w:rPr>
          <w:rFonts w:ascii="Times New Roman" w:cs="Times New Roman" w:eastAsia="Times New Roman" w:hAnsi="Times New Roman"/>
          <w:sz w:val="18"/>
          <w:szCs w:val="18"/>
          <w:color w:val="auto"/>
        </w:rPr>
      </w:pPr>
    </w:p>
    <w:p>
      <w:pPr>
        <w:ind w:left="460" w:right="440" w:firstLine="443"/>
        <w:spacing w:after="0" w:line="275" w:lineRule="auto"/>
        <w:tabs>
          <w:tab w:leader="none" w:pos="11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or other obligations not prohibited under Section 7.2 in an aggregate principal amount outstanding not to exceed $5,000,000 at any time outstanding.</w:t>
      </w:r>
    </w:p>
    <w:p>
      <w:pPr>
        <w:spacing w:after="0" w:line="120"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Fundamental Changes</w:t>
      </w:r>
      <w:r>
        <w:rPr>
          <w:rFonts w:ascii="Times New Roman" w:cs="Times New Roman" w:eastAsia="Times New Roman" w:hAnsi="Times New Roman"/>
          <w:sz w:val="18"/>
          <w:szCs w:val="18"/>
          <w:color w:val="auto"/>
        </w:rPr>
        <w:t>. Consummate any merger, amalgamation, statutory share exchange or consolidation or similar transaction (collectively, to “</w:t>
      </w:r>
      <w:r>
        <w:rPr>
          <w:rFonts w:ascii="Times New Roman" w:cs="Times New Roman" w:eastAsia="Times New Roman" w:hAnsi="Times New Roman"/>
          <w:sz w:val="18"/>
          <w:szCs w:val="18"/>
          <w:u w:val="single" w:color="auto"/>
          <w:color w:val="auto"/>
        </w:rPr>
        <w:t>Merge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applicable) involving the Company and its Significant Subsidiaries, or a sale or other disposition of all or substantially all of the assets of Company and its Subsidiaries taken as a whole (any of the foregoing,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except that:</w:t>
      </w:r>
    </w:p>
    <w:p>
      <w:pPr>
        <w:spacing w:after="0" w:line="51" w:lineRule="exact"/>
        <w:rPr>
          <w:sz w:val="20"/>
          <w:szCs w:val="20"/>
          <w:color w:val="auto"/>
        </w:rPr>
      </w:pPr>
    </w:p>
    <w:p>
      <w:pPr>
        <w:ind w:left="460" w:right="40" w:firstLine="443"/>
        <w:spacing w:after="0" w:line="275" w:lineRule="auto"/>
        <w:tabs>
          <w:tab w:leader="none" w:pos="113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 may Merge with or into the Company or enter into a Business Combination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the continuing or surviving person) or Merge with or into, or enter into a Business Combination with, any other Subsidiary;</w:t>
      </w:r>
    </w:p>
    <w:p>
      <w:pPr>
        <w:spacing w:after="0" w:line="38" w:lineRule="exact"/>
        <w:rPr>
          <w:rFonts w:ascii="Times New Roman" w:cs="Times New Roman" w:eastAsia="Times New Roman" w:hAnsi="Times New Roman"/>
          <w:sz w:val="18"/>
          <w:szCs w:val="18"/>
          <w:color w:val="auto"/>
        </w:rPr>
      </w:pPr>
    </w:p>
    <w:p>
      <w:pPr>
        <w:jc w:val="both"/>
        <w:ind w:left="460" w:right="200" w:firstLine="443"/>
        <w:spacing w:after="0" w:line="262" w:lineRule="auto"/>
        <w:tabs>
          <w:tab w:leader="none" w:pos="114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274" w:right="279" w:bottom="1440" w:gutter="0" w:footer="0" w:header="0"/>
        </w:sectPr>
      </w:pPr>
    </w:p>
    <w:bookmarkStart w:id="133" w:name="page134"/>
    <w:bookmarkEnd w:id="133"/>
    <w:p>
      <w:pPr>
        <w:ind w:left="460" w:right="20" w:firstLine="443"/>
        <w:spacing w:after="0" w:line="256" w:lineRule="auto"/>
        <w:tabs>
          <w:tab w:leader="none" w:pos="113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13"/>
        <w:spacing w:after="0" w:line="288" w:lineRule="auto"/>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Limitation on Optional Payments and Modifications of Subordinated Indebtedness</w:t>
      </w:r>
      <w:r>
        <w:rPr>
          <w:rFonts w:ascii="Times New Roman" w:cs="Times New Roman" w:eastAsia="Times New Roman" w:hAnsi="Times New Roman"/>
          <w:sz w:val="16"/>
          <w:szCs w:val="16"/>
          <w:color w:val="auto"/>
        </w:rPr>
        <w:t xml:space="preserve">. (a) Make any optional payment or prepayment on, or optional redemption or purchase of, any Subordinated Indebtedness;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3.5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 For the avoidance of doubt, the Intesa Notes can be repaid in accordance with their terms and such payments will not constitute optional payments or prepayments subject to this Section 7.6;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Senior Indebtedness incurred to make such payment or prepayment shall be subject to Section 7.2(n).</w:t>
      </w:r>
    </w:p>
    <w:p>
      <w:pPr>
        <w:spacing w:after="0" w:line="331" w:lineRule="exact"/>
        <w:rPr>
          <w:sz w:val="20"/>
          <w:szCs w:val="20"/>
          <w:color w:val="auto"/>
        </w:rPr>
      </w:pPr>
    </w:p>
    <w:p>
      <w:pPr>
        <w:ind w:right="20" w:firstLine="913"/>
        <w:spacing w:after="0" w:line="291" w:lineRule="auto"/>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Clauses Restricting Subsidiary Distributions</w:t>
      </w:r>
      <w:r>
        <w:rPr>
          <w:rFonts w:ascii="Times New Roman" w:cs="Times New Roman" w:eastAsia="Times New Roman" w:hAnsi="Times New Roman"/>
          <w:sz w:val="16"/>
          <w:szCs w:val="16"/>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4" w:right="239" w:bottom="1440" w:gutter="0" w:footer="0" w:header="0"/>
        </w:sectPr>
      </w:pPr>
    </w:p>
    <w:bookmarkStart w:id="134" w:name="page135"/>
    <w:bookmarkEnd w:id="13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139" w:lineRule="exact"/>
        <w:rPr>
          <w:sz w:val="20"/>
          <w:szCs w:val="20"/>
          <w:color w:val="auto"/>
        </w:rPr>
      </w:pPr>
    </w:p>
    <w:p>
      <w:pPr>
        <w:ind w:right="240" w:firstLine="913"/>
        <w:spacing w:after="0" w:line="296" w:lineRule="auto"/>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Notwithstanding the foregoing, the Company and each Subsidiary may make the following Restricted Payments:</w:t>
      </w:r>
    </w:p>
    <w:p>
      <w:pPr>
        <w:spacing w:after="0" w:line="27" w:lineRule="exact"/>
        <w:rPr>
          <w:sz w:val="20"/>
          <w:szCs w:val="20"/>
          <w:color w:val="auto"/>
        </w:rPr>
      </w:pPr>
    </w:p>
    <w:p>
      <w:pPr>
        <w:ind w:left="1140" w:hanging="237"/>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necessary for tax distributions in accordance with Article VI of the Company’s operating agreement as in effect as of the date hereof;</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made in accordance with the Company’s operating agreement, as in effect as of the date hereof, in respect of profit participation</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77" w:lineRule="exact"/>
        <w:rPr>
          <w:rFonts w:ascii="Times New Roman" w:cs="Times New Roman" w:eastAsia="Times New Roman" w:hAnsi="Times New Roman"/>
          <w:sz w:val="18"/>
          <w:szCs w:val="18"/>
          <w:color w:val="auto"/>
        </w:rPr>
      </w:pPr>
    </w:p>
    <w:p>
      <w:pPr>
        <w:ind w:left="460" w:right="80" w:firstLine="443"/>
        <w:spacing w:after="0" w:line="275" w:lineRule="auto"/>
        <w:tabs>
          <w:tab w:leader="none" w:pos="11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by any Subsidiary of the Company to the Company or any other Subsidiary of the Company or ratably with respect to its Capital Stock;</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to any holders of Capital Stock in a joint venture;</w:t>
      </w:r>
    </w:p>
    <w:p>
      <w:pPr>
        <w:spacing w:after="0" w:line="90" w:lineRule="exact"/>
        <w:rPr>
          <w:rFonts w:ascii="Times New Roman" w:cs="Times New Roman" w:eastAsia="Times New Roman" w:hAnsi="Times New Roman"/>
          <w:sz w:val="18"/>
          <w:szCs w:val="18"/>
          <w:color w:val="auto"/>
        </w:rPr>
      </w:pPr>
    </w:p>
    <w:p>
      <w:pPr>
        <w:ind w:left="460" w:right="80" w:firstLine="443"/>
        <w:spacing w:after="0" w:line="293" w:lineRule="auto"/>
        <w:tabs>
          <w:tab w:leader="none" w:pos="113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Restricted Payments in an amount equal to (i) $38,000,000 per annum,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 a cumulative amount from and after May 10, 2005 equal to the sum of (A) so long as at the time of declaration the Working Capital of the Company is greater than zero, 40% of Consolidated Net Income as determined in accordance with the financial statements for the relevant period or periods,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proceeds received by the Company after the May 10, 2005 from the issuance of its Capital Stock and capital contributions,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(C) the principal amount of any convertible or exchangeable securities actually converted or exchanged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(iii) the aggregate amount of restricted payments made during the period from May 10, 2005, to the Effective Date pursuant to Section 7.8(e) of the Existing Credit Agreement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(iv) at any time, the aggregate amount of payments made pursuant to Section 7.6(a)(ii) hereto;</w:t>
      </w:r>
    </w:p>
    <w:p>
      <w:pPr>
        <w:spacing w:after="0" w:line="29" w:lineRule="exact"/>
        <w:rPr>
          <w:rFonts w:ascii="Times New Roman" w:cs="Times New Roman" w:eastAsia="Times New Roman" w:hAnsi="Times New Roman"/>
          <w:sz w:val="16"/>
          <w:szCs w:val="16"/>
          <w:color w:val="auto"/>
        </w:rPr>
      </w:pPr>
    </w:p>
    <w:p>
      <w:pPr>
        <w:ind w:left="460" w:right="100" w:firstLine="443"/>
        <w:spacing w:after="0" w:line="275" w:lineRule="auto"/>
        <w:tabs>
          <w:tab w:leader="none" w:pos="11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4" w:right="259" w:bottom="1440" w:gutter="0" w:footer="0" w:header="0"/>
        </w:sectPr>
      </w:pPr>
    </w:p>
    <w:bookmarkStart w:id="135" w:name="page136"/>
    <w:bookmarkEnd w:id="135"/>
    <w:p>
      <w:pPr>
        <w:ind w:left="1160" w:hanging="257"/>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 Event of Default has occurred and is continuing, payments of dividends on any preferred stock;</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to employees holding Capital Stock received upon the exercise of compensation options under a benefit plan; and</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Lazard Asset Management Equity Plan.</w:t>
      </w:r>
    </w:p>
    <w:p>
      <w:pPr>
        <w:spacing w:after="0" w:line="17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Disposition of Designated Subsidiaries</w:t>
      </w:r>
      <w:r>
        <w:rPr>
          <w:rFonts w:ascii="Times New Roman" w:cs="Times New Roman" w:eastAsia="Times New Roman" w:hAnsi="Times New Roman"/>
          <w:sz w:val="18"/>
          <w:szCs w:val="18"/>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SECTION 9. EVENTS OF DEFAULT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90" w:lineRule="exact"/>
        <w:rPr>
          <w:sz w:val="20"/>
          <w:szCs w:val="20"/>
          <w:color w:val="auto"/>
        </w:rPr>
      </w:pPr>
    </w:p>
    <w:p>
      <w:pPr>
        <w:ind w:left="460" w:right="20" w:firstLine="443"/>
        <w:spacing w:after="0" w:line="262" w:lineRule="auto"/>
        <w:tabs>
          <w:tab w:leader="none" w:pos="11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1" w:lineRule="exact"/>
        <w:rPr>
          <w:rFonts w:ascii="Times New Roman" w:cs="Times New Roman" w:eastAsia="Times New Roman" w:hAnsi="Times New Roman"/>
          <w:sz w:val="18"/>
          <w:szCs w:val="18"/>
          <w:color w:val="auto"/>
        </w:rPr>
      </w:pPr>
    </w:p>
    <w:p>
      <w:pPr>
        <w:ind w:left="460" w:right="180" w:firstLine="443"/>
        <w:spacing w:after="0" w:line="334" w:lineRule="auto"/>
        <w:tabs>
          <w:tab w:leader="none" w:pos="114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spacing w:after="0" w:line="1" w:lineRule="exact"/>
        <w:rPr>
          <w:rFonts w:ascii="Times New Roman" w:cs="Times New Roman" w:eastAsia="Times New Roman" w:hAnsi="Times New Roman"/>
          <w:sz w:val="16"/>
          <w:szCs w:val="16"/>
          <w:color w:val="auto"/>
        </w:rPr>
      </w:pPr>
    </w:p>
    <w:p>
      <w:pPr>
        <w:ind w:left="460" w:right="160" w:firstLine="443"/>
        <w:spacing w:after="0" w:line="275" w:lineRule="auto"/>
        <w:tabs>
          <w:tab w:leader="none" w:pos="11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w:t>
      </w:r>
    </w:p>
    <w:p>
      <w:pPr>
        <w:spacing w:after="0" w:line="38" w:lineRule="exact"/>
        <w:rPr>
          <w:rFonts w:ascii="Times New Roman" w:cs="Times New Roman" w:eastAsia="Times New Roman" w:hAnsi="Times New Roman"/>
          <w:sz w:val="18"/>
          <w:szCs w:val="18"/>
          <w:color w:val="auto"/>
        </w:rPr>
      </w:pPr>
    </w:p>
    <w:p>
      <w:pPr>
        <w:ind w:left="460" w:right="300" w:firstLine="443"/>
        <w:spacing w:after="0" w:line="334" w:lineRule="auto"/>
        <w:tabs>
          <w:tab w:leader="none" w:pos="114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spacing w:after="0" w:line="1" w:lineRule="exact"/>
        <w:rPr>
          <w:rFonts w:ascii="Times New Roman" w:cs="Times New Roman" w:eastAsia="Times New Roman" w:hAnsi="Times New Roman"/>
          <w:sz w:val="16"/>
          <w:szCs w:val="16"/>
          <w:color w:val="auto"/>
        </w:rPr>
      </w:pPr>
    </w:p>
    <w:p>
      <w:pPr>
        <w:ind w:left="460" w:right="360" w:firstLine="443"/>
        <w:spacing w:after="0" w:line="262" w:lineRule="auto"/>
        <w:tabs>
          <w:tab w:leader="none" w:pos="11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in the observance or performance of any other agreement contained in this Agreement (other than as provided in paragraphs (a) through (d) of this Section), and such default shall continue unremedied for a period of 30 days following notice thereof by the Administrative Agent to the Company; or</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240" w:top="274" w:right="319" w:bottom="1440" w:gutter="0" w:footer="0" w:header="0"/>
        </w:sectPr>
      </w:pPr>
    </w:p>
    <w:bookmarkStart w:id="136" w:name="page137"/>
    <w:bookmarkEnd w:id="136"/>
    <w:p>
      <w:pPr>
        <w:ind w:right="40" w:firstLine="443"/>
        <w:spacing w:after="0" w:line="254" w:lineRule="auto"/>
        <w:tabs>
          <w:tab w:leader="none" w:pos="6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60" w:lineRule="exact"/>
        <w:rPr>
          <w:rFonts w:ascii="Times New Roman" w:cs="Times New Roman" w:eastAsia="Times New Roman" w:hAnsi="Times New Roman"/>
          <w:sz w:val="18"/>
          <w:szCs w:val="18"/>
          <w:color w:val="auto"/>
        </w:rPr>
      </w:pPr>
    </w:p>
    <w:p>
      <w:pPr>
        <w:ind w:firstLine="443"/>
        <w:spacing w:after="0" w:line="287" w:lineRule="auto"/>
        <w:tabs>
          <w:tab w:leader="none" w:pos="687"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ind w:firstLine="4"/>
        <w:spacing w:after="0" w:line="281" w:lineRule="auto"/>
        <w:tabs>
          <w:tab w:leader="none" w:pos="30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w:t>
      </w:r>
    </w:p>
    <w:p>
      <w:pPr>
        <w:spacing w:after="0" w:line="4" w:lineRule="exact"/>
        <w:rPr>
          <w:rFonts w:ascii="Times New Roman" w:cs="Times New Roman" w:eastAsia="Times New Roman" w:hAnsi="Times New Roman"/>
          <w:sz w:val="16"/>
          <w:szCs w:val="16"/>
          <w:color w:val="auto"/>
        </w:rPr>
      </w:pPr>
    </w:p>
    <w:p>
      <w:pPr>
        <w:ind w:right="20" w:firstLine="4"/>
        <w:spacing w:after="0" w:line="288" w:lineRule="auto"/>
        <w:tabs>
          <w:tab w:leader="none" w:pos="34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w:t>
      </w:r>
    </w:p>
    <w:p>
      <w:pPr>
        <w:spacing w:after="0" w:line="1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700" w:top="274" w:right="259" w:bottom="1440" w:gutter="0" w:footer="0" w:header="0"/>
        </w:sectPr>
      </w:pPr>
    </w:p>
    <w:bookmarkStart w:id="137" w:name="page138"/>
    <w:bookmarkEnd w:id="137"/>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51" w:lineRule="exact"/>
        <w:rPr>
          <w:sz w:val="20"/>
          <w:szCs w:val="20"/>
          <w:color w:val="auto"/>
        </w:rPr>
      </w:pPr>
    </w:p>
    <w:p>
      <w:pPr>
        <w:ind w:right="160" w:firstLine="443"/>
        <w:spacing w:after="0" w:line="262" w:lineRule="auto"/>
        <w:tabs>
          <w:tab w:leader="none" w:pos="68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51" w:lineRule="exact"/>
        <w:rPr>
          <w:rFonts w:ascii="Times New Roman" w:cs="Times New Roman" w:eastAsia="Times New Roman" w:hAnsi="Times New Roman"/>
          <w:sz w:val="18"/>
          <w:szCs w:val="18"/>
          <w:color w:val="auto"/>
        </w:rPr>
      </w:pPr>
    </w:p>
    <w:p>
      <w:pPr>
        <w:ind w:firstLine="443"/>
        <w:spacing w:after="0" w:line="285" w:lineRule="auto"/>
        <w:tabs>
          <w:tab w:leader="none" w:pos="648"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ind w:firstLine="4"/>
        <w:spacing w:after="0" w:line="252"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58"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90"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ind w:left="5160" w:right="4680" w:hanging="5156"/>
        <w:spacing w:after="0" w:line="433" w:lineRule="auto"/>
        <w:tabs>
          <w:tab w:leader="none" w:pos="2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Required Lenders, the Administrative Agent may, or upon the 50</w:t>
      </w:r>
    </w:p>
    <w:p>
      <w:pPr>
        <w:sectPr>
          <w:pgSz w:w="11900" w:h="16838" w:orient="portrait"/>
          <w:cols w:equalWidth="0" w:num="1">
            <w:col w:w="10940"/>
          </w:cols>
          <w:pgMar w:left="700" w:top="274" w:right="259" w:bottom="1440" w:gutter="0" w:footer="0" w:header="0"/>
        </w:sectPr>
      </w:pPr>
    </w:p>
    <w:bookmarkStart w:id="138" w:name="page139"/>
    <w:bookmarkEnd w:id="138"/>
    <w:p>
      <w:pPr>
        <w:ind w:left="460" w:right="12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11. THE ADMINISTRATIVE AGENT</w:t>
      </w:r>
    </w:p>
    <w:p>
      <w:pPr>
        <w:spacing w:after="0" w:line="171"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Appointment</w:t>
      </w:r>
      <w:r>
        <w:rPr>
          <w:rFonts w:ascii="Times New Roman" w:cs="Times New Roman" w:eastAsia="Times New Roman" w:hAnsi="Times New Roman"/>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11"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32"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officers, directors, employees, agents, attorneys-in-fact or Affiliates shall be (i) liable for any action lawfully taken or omitted to be taken by it or such Person under or in connection with this Agreement (except for its or such Person’s own gross negligence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w:t>
      </w:r>
    </w:p>
    <w:p>
      <w:pPr>
        <w:spacing w:after="0" w:line="138"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4" w:right="239" w:bottom="1440" w:gutter="0" w:footer="0" w:header="0"/>
        </w:sectPr>
      </w:pPr>
    </w:p>
    <w:bookmarkStart w:id="139" w:name="page140"/>
    <w:bookmarkEnd w:id="13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38"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41"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Non-Reliance on Administrative Agent</w:t>
      </w:r>
      <w:r>
        <w:rPr>
          <w:rFonts w:ascii="Times New Roman" w:cs="Times New Roman" w:eastAsia="Times New Roman" w:hAnsi="Times New Roman"/>
          <w:sz w:val="18"/>
          <w:szCs w:val="18"/>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4" w:right="239" w:bottom="1440" w:gutter="0" w:footer="0" w:header="0"/>
        </w:sectPr>
      </w:pPr>
    </w:p>
    <w:bookmarkStart w:id="140" w:name="page141"/>
    <w:bookmarkEnd w:id="140"/>
    <w:p>
      <w:pPr>
        <w:ind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43" w:lineRule="exact"/>
        <w:rPr>
          <w:sz w:val="20"/>
          <w:szCs w:val="20"/>
          <w:color w:val="auto"/>
        </w:rPr>
      </w:pPr>
    </w:p>
    <w:p>
      <w:pPr>
        <w:ind w:right="40" w:firstLine="913"/>
        <w:spacing w:after="0" w:line="301"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Agent in Its Individual Capacity</w:t>
      </w:r>
      <w:r>
        <w:rPr>
          <w:rFonts w:ascii="Times New Roman" w:cs="Times New Roman" w:eastAsia="Times New Roman" w:hAnsi="Times New Roman"/>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03"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12. MISCELLANEOUS</w:t>
      </w:r>
    </w:p>
    <w:p>
      <w:pPr>
        <w:spacing w:after="0" w:line="171" w:lineRule="exact"/>
        <w:rPr>
          <w:sz w:val="20"/>
          <w:szCs w:val="20"/>
          <w:color w:val="auto"/>
        </w:rPr>
      </w:pPr>
    </w:p>
    <w:p>
      <w:pPr>
        <w:ind w:right="340" w:firstLine="913"/>
        <w:spacing w:after="0" w:line="310"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274" w:right="299" w:bottom="1440" w:gutter="0" w:footer="0" w:header="0"/>
        </w:sectPr>
      </w:pPr>
    </w:p>
    <w:bookmarkStart w:id="141" w:name="page142"/>
    <w:bookmarkEnd w:id="141"/>
    <w:p>
      <w:pPr>
        <w:ind w:right="18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waiver and no such amendment, supplement or modification shall</w:t>
      </w:r>
    </w:p>
    <w:p>
      <w:pPr>
        <w:spacing w:after="0" w:line="1" w:lineRule="exact"/>
        <w:rPr>
          <w:sz w:val="20"/>
          <w:szCs w:val="20"/>
          <w:color w:val="auto"/>
        </w:rPr>
      </w:pPr>
    </w:p>
    <w:p>
      <w:pPr>
        <w:ind w:firstLine="8"/>
        <w:spacing w:after="0" w:line="251" w:lineRule="auto"/>
        <w:tabs>
          <w:tab w:leader="none" w:pos="2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45" w:lineRule="exact"/>
        <w:rPr>
          <w:sz w:val="20"/>
          <w:szCs w:val="20"/>
          <w:color w:val="auto"/>
        </w:rPr>
      </w:pPr>
    </w:p>
    <w:p>
      <w:pPr>
        <w:ind w:right="160" w:firstLine="913"/>
        <w:spacing w:after="0" w:line="301" w:lineRule="auto"/>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 All notices, requests and demands to or upon the respective parties hereto to be effective shall be in writing (including by facsimile), and, unless otherwise expressly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w:t>
      </w:r>
    </w:p>
    <w:p>
      <w:pPr>
        <w:spacing w:after="0" w:line="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Global Controller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Facsimile: (212) 632-6670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Address: richard.hittner@lazard.com</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Global Treasurer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Facsimile: (212) 632-6670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Address: robert.starr@lazard.com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4" w:right="239"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w:t>
      </w:r>
    </w:p>
    <w:p>
      <w:pPr>
        <w:spacing w:after="0" w:line="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Citibank, N.A.</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1615 Brett Road, OPS 3</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Castle, Delaware 19720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Robert Ross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Facsimile: (212) 994-0961</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Telephone: (302) 323-5499</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Address: Robert.Ross@citigroup.com</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Copy to: GLAgentOfficeOps@citi.com</w:t>
      </w:r>
    </w:p>
    <w:p>
      <w:pPr>
        <w:spacing w:after="0" w:line="78" w:lineRule="exact"/>
        <w:rPr>
          <w:sz w:val="20"/>
          <w:szCs w:val="20"/>
          <w:color w:val="auto"/>
        </w:rPr>
      </w:pPr>
    </w:p>
    <w:p>
      <w:pPr>
        <w:ind w:left="1420" w:right="520" w:hanging="944"/>
        <w:spacing w:after="0" w:line="262" w:lineRule="auto"/>
        <w:tabs>
          <w:tab w:leader="none" w:pos="1400" w:val="left"/>
        </w:tabs>
        <w:rPr>
          <w:sz w:val="20"/>
          <w:szCs w:val="20"/>
          <w:color w:val="auto"/>
        </w:rPr>
      </w:pPr>
      <w:r>
        <w:rPr>
          <w:rFonts w:ascii="Times New Roman" w:cs="Times New Roman" w:eastAsia="Times New Roman" w:hAnsi="Times New Roman"/>
          <w:sz w:val="18"/>
          <w:szCs w:val="18"/>
          <w:color w:val="auto"/>
        </w:rPr>
        <w:t>The Banks:</w:t>
        <w:tab/>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Administrative Agent or any Bank pursuant to Sections 2.6, 2.7, 2.8 and 2.9 shall not be effective until received.</w:t>
      </w:r>
    </w:p>
    <w:p>
      <w:pPr>
        <w:spacing w:after="0" w:line="120" w:lineRule="exact"/>
        <w:rPr>
          <w:sz w:val="20"/>
          <w:szCs w:val="20"/>
          <w:color w:val="auto"/>
        </w:rPr>
      </w:pPr>
    </w:p>
    <w:p>
      <w:pPr>
        <w:ind w:firstLine="921"/>
        <w:spacing w:after="0" w:line="289" w:lineRule="auto"/>
        <w:tabs>
          <w:tab w:leader="none" w:pos="1162"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112" w:lineRule="exact"/>
        <w:rPr>
          <w:rFonts w:ascii="Times New Roman" w:cs="Times New Roman" w:eastAsia="Times New Roman" w:hAnsi="Times New Roman"/>
          <w:sz w:val="16"/>
          <w:szCs w:val="16"/>
          <w:color w:val="auto"/>
        </w:rPr>
      </w:pPr>
    </w:p>
    <w:p>
      <w:pPr>
        <w:ind w:right="1180" w:firstLine="921"/>
        <w:spacing w:after="0" w:line="275" w:lineRule="auto"/>
        <w:tabs>
          <w:tab w:leader="none" w:pos="115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agrees that the receipt of the Communications by the Administrative Agent at its e-mail address set forth in paragraph</w:t>
      </w:r>
    </w:p>
    <w:p>
      <w:pPr>
        <w:spacing w:after="0" w:line="44"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274" w:right="259" w:bottom="1440" w:gutter="0" w:footer="0" w:header="0"/>
        </w:sectPr>
      </w:pPr>
    </w:p>
    <w:bookmarkStart w:id="143" w:name="page144"/>
    <w:bookmarkEnd w:id="14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39" w:lineRule="exact"/>
        <w:rPr>
          <w:sz w:val="20"/>
          <w:szCs w:val="20"/>
          <w:color w:val="auto"/>
        </w:rPr>
      </w:pPr>
    </w:p>
    <w:p>
      <w:pPr>
        <w:ind w:right="420" w:firstLine="921"/>
        <w:spacing w:after="0" w:line="275" w:lineRule="auto"/>
        <w:tabs>
          <w:tab w:leader="none" w:pos="11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20"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39" w:lineRule="exact"/>
        <w:rPr>
          <w:sz w:val="20"/>
          <w:szCs w:val="20"/>
          <w:color w:val="auto"/>
        </w:rPr>
      </w:pPr>
    </w:p>
    <w:p>
      <w:pPr>
        <w:ind w:right="240" w:firstLine="913"/>
        <w:spacing w:after="0" w:line="275"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120"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Payment of Expenses and Taxes</w:t>
      </w:r>
      <w:r>
        <w:rPr>
          <w:rFonts w:ascii="Times New Roman" w:cs="Times New Roman" w:eastAsia="Times New Roman" w:hAnsi="Times New Roman"/>
          <w:sz w:val="18"/>
          <w:szCs w:val="18"/>
          <w:color w:val="auto"/>
        </w:rPr>
        <w:t>. The Company agrees (a) to pay or reimburse the Administrative Agent and the Lead Arranger for all its reasonable out-of-pocket costs and expenses incurred in connection with the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4" w:right="239" w:bottom="1440" w:gutter="0" w:footer="0" w:header="0"/>
        </w:sectPr>
      </w:pPr>
    </w:p>
    <w:bookmarkStart w:id="144" w:name="page145"/>
    <w:bookmarkEnd w:id="14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any such other documents, and (d) to pay, indemnify, and hold each Bank and the Administrative Agent and their respective officers, directors, employees, affiliates, agents and controlling persons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are found by a court of competent jurisdiction to have resulted from the gross negligence or willful misconduct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Banks shall not disclose any information that the Company or any of its Subsidiaries furnishes to the Banks, other than</w:t>
      </w:r>
    </w:p>
    <w:p>
      <w:pPr>
        <w:spacing w:after="0" w:line="21" w:lineRule="exact"/>
        <w:rPr>
          <w:sz w:val="20"/>
          <w:szCs w:val="20"/>
          <w:color w:val="auto"/>
        </w:rPr>
      </w:pPr>
    </w:p>
    <w:p>
      <w:pPr>
        <w:ind w:right="540" w:firstLine="8"/>
        <w:spacing w:after="0" w:line="323" w:lineRule="auto"/>
        <w:tabs>
          <w:tab w:leader="none" w:pos="23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required by any law, rule or regulation or judicial process, (b) as requested by any state, federal or foreign authority or examiner regulating banks or banking, (c) to actual or proposed (with the consent of the Company) assignees, transferees and participants and (d) to its advisors and attorneys.</w:t>
      </w:r>
    </w:p>
    <w:p>
      <w:pPr>
        <w:spacing w:after="0" w:line="87"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138" w:lineRule="exact"/>
        <w:rPr>
          <w:sz w:val="20"/>
          <w:szCs w:val="20"/>
          <w:color w:val="auto"/>
        </w:rPr>
      </w:pPr>
    </w:p>
    <w:p>
      <w:pPr>
        <w:jc w:val="both"/>
        <w:ind w:right="340" w:firstLine="913"/>
        <w:spacing w:after="0" w:line="262" w:lineRule="auto"/>
        <w:rPr>
          <w:sz w:val="20"/>
          <w:szCs w:val="20"/>
          <w:color w:val="auto"/>
        </w:rPr>
      </w:pPr>
      <w:r>
        <w:rPr>
          <w:rFonts w:ascii="Times New Roman" w:cs="Times New Roman" w:eastAsia="Times New Roman" w:hAnsi="Times New Roman"/>
          <w:sz w:val="18"/>
          <w:szCs w:val="18"/>
          <w:color w:val="auto"/>
        </w:rPr>
        <w:t>(b)(i) Subject to the conditions set forth in paragraph (b)(ii) below, any Bank may assign to one or more assignees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of:</w:t>
      </w:r>
    </w:p>
    <w:p>
      <w:pPr>
        <w:spacing w:after="0" w:line="51" w:lineRule="exact"/>
        <w:rPr>
          <w:sz w:val="20"/>
          <w:szCs w:val="20"/>
          <w:color w:val="auto"/>
        </w:rPr>
      </w:pPr>
    </w:p>
    <w:p>
      <w:pPr>
        <w:ind w:left="460" w:right="60" w:firstLine="443"/>
        <w:spacing w:after="0" w:line="262" w:lineRule="auto"/>
        <w:tabs>
          <w:tab w:leader="none" w:pos="11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Company shall be required (x) for an assignment to a Bank, an affiliate of a Bank, or an Approved Fund (as defined below) or (y) if an Event of Default under Sections 9(a) or (i) has occurred; and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40" w:top="274" w:right="299" w:bottom="1440" w:gutter="0" w:footer="0" w:header="0"/>
        </w:sectPr>
      </w:pPr>
    </w:p>
    <w:bookmarkStart w:id="145" w:name="page146"/>
    <w:bookmarkEnd w:id="145"/>
    <w:p>
      <w:pPr>
        <w:ind w:left="460" w:right="360" w:firstLine="443"/>
        <w:spacing w:after="0" w:line="275" w:lineRule="auto"/>
        <w:tabs>
          <w:tab w:leader="none" w:pos="1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all or any portion of a Loan to a Bank, an affiliate of a Bank or an Approved Fund.</w:t>
      </w:r>
    </w:p>
    <w:p>
      <w:pPr>
        <w:spacing w:after="0" w:line="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56" w:lineRule="auto"/>
        <w:tabs>
          <w:tab w:leader="none" w:pos="118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shall be aggregated in respect of each Bank and its affiliates or Approved Funds, if any;</w:t>
      </w:r>
    </w:p>
    <w:p>
      <w:pPr>
        <w:spacing w:after="0" w:line="57"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1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and</w:t>
      </w:r>
    </w:p>
    <w:p>
      <w:pPr>
        <w:spacing w:after="0" w:line="38" w:lineRule="exact"/>
        <w:rPr>
          <w:rFonts w:ascii="Times New Roman" w:cs="Times New Roman" w:eastAsia="Times New Roman" w:hAnsi="Times New Roman"/>
          <w:sz w:val="18"/>
          <w:szCs w:val="18"/>
          <w:color w:val="auto"/>
        </w:rPr>
      </w:pPr>
    </w:p>
    <w:p>
      <w:pPr>
        <w:ind w:left="1180" w:hanging="277"/>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For the purposes of this Section 12.7,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32" w:lineRule="exact"/>
        <w:rPr>
          <w:sz w:val="20"/>
          <w:szCs w:val="20"/>
          <w:color w:val="auto"/>
        </w:rPr>
      </w:pPr>
    </w:p>
    <w:p>
      <w:pPr>
        <w:ind w:right="40" w:firstLine="921"/>
        <w:spacing w:after="0" w:line="291" w:lineRule="auto"/>
        <w:tabs>
          <w:tab w:leader="none" w:pos="12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274" w:right="239" w:bottom="1440" w:gutter="0" w:footer="0" w:header="0"/>
        </w:sectPr>
      </w:pPr>
    </w:p>
    <w:bookmarkStart w:id="146" w:name="page147"/>
    <w:bookmarkEnd w:id="146"/>
    <w:p>
      <w:pPr>
        <w:ind w:firstLine="921"/>
        <w:spacing w:after="0" w:line="255" w:lineRule="auto"/>
        <w:tabs>
          <w:tab w:leader="none" w:pos="12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139" w:lineRule="exact"/>
        <w:rPr>
          <w:rFonts w:ascii="Times New Roman" w:cs="Times New Roman" w:eastAsia="Times New Roman" w:hAnsi="Times New Roman"/>
          <w:sz w:val="18"/>
          <w:szCs w:val="18"/>
          <w:color w:val="auto"/>
        </w:rPr>
      </w:pPr>
    </w:p>
    <w:p>
      <w:pPr>
        <w:ind w:right="320" w:firstLine="921"/>
        <w:spacing w:after="0" w:line="256" w:lineRule="auto"/>
        <w:tabs>
          <w:tab w:leader="none" w:pos="116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9"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(c)(i) Any Bank may, without the consent of the Company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Bank’s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 entitled to the benefits of Section 12.8(b) as though it were a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and such Bank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74" w:right="239" w:bottom="1440" w:gutter="0" w:footer="0" w:header="0"/>
        </w:sectPr>
      </w:pPr>
    </w:p>
    <w:bookmarkStart w:id="147" w:name="page148"/>
    <w:bookmarkEnd w:id="147"/>
    <w:p>
      <w:pPr>
        <w:ind w:firstLine="921"/>
        <w:spacing w:after="0" w:line="262" w:lineRule="auto"/>
        <w:tabs>
          <w:tab w:leader="none" w:pos="117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132" w:lineRule="exact"/>
        <w:rPr>
          <w:sz w:val="20"/>
          <w:szCs w:val="20"/>
          <w:color w:val="auto"/>
        </w:rPr>
      </w:pPr>
    </w:p>
    <w:p>
      <w:pPr>
        <w:ind w:firstLine="921"/>
        <w:spacing w:after="0" w:line="258" w:lineRule="auto"/>
        <w:tabs>
          <w:tab w:leader="none" w:pos="11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136" w:lineRule="exact"/>
        <w:rPr>
          <w:rFonts w:ascii="Times New Roman" w:cs="Times New Roman" w:eastAsia="Times New Roman" w:hAnsi="Times New Roman"/>
          <w:sz w:val="18"/>
          <w:szCs w:val="18"/>
          <w:color w:val="auto"/>
        </w:rPr>
      </w:pPr>
    </w:p>
    <w:p>
      <w:pPr>
        <w:ind w:right="120" w:firstLine="921"/>
        <w:spacing w:after="0" w:line="275" w:lineRule="auto"/>
        <w:tabs>
          <w:tab w:leader="none" w:pos="11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upon receipt of written notice from the relevant Bank, agrees to issue Notes to any Bank requiring Notes to facilitate transactions of the type described in paragraph (d) above.</w:t>
      </w:r>
    </w:p>
    <w:p>
      <w:pPr>
        <w:spacing w:after="0" w:line="119" w:lineRule="exact"/>
        <w:rPr>
          <w:rFonts w:ascii="Times New Roman" w:cs="Times New Roman" w:eastAsia="Times New Roman" w:hAnsi="Times New Roman"/>
          <w:sz w:val="18"/>
          <w:szCs w:val="18"/>
          <w:color w:val="auto"/>
        </w:rPr>
      </w:pPr>
    </w:p>
    <w:p>
      <w:pPr>
        <w:ind w:firstLine="921"/>
        <w:spacing w:after="0" w:line="286" w:lineRule="auto"/>
        <w:tabs>
          <w:tab w:leader="none" w:pos="113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w:t>
      </w:r>
    </w:p>
    <w:p>
      <w:pPr>
        <w:spacing w:after="0" w:line="184" w:lineRule="exact"/>
        <w:rPr>
          <w:rFonts w:ascii="Times New Roman" w:cs="Times New Roman" w:eastAsia="Times New Roman" w:hAnsi="Times New Roman"/>
          <w:sz w:val="16"/>
          <w:szCs w:val="16"/>
          <w:color w:val="auto"/>
        </w:rPr>
      </w:pPr>
    </w:p>
    <w:p>
      <w:pPr>
        <w:ind w:right="180" w:firstLine="8"/>
        <w:spacing w:after="0" w:line="261" w:lineRule="auto"/>
        <w:tabs>
          <w:tab w:leader="none" w:pos="3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agrees that it will perform in accordance with their terms all the obligations that by the terms of this Agreement are required to be performed by it as a Bank.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274" w:right="239" w:bottom="1440" w:gutter="0" w:footer="0" w:header="0"/>
        </w:sectPr>
      </w:pPr>
    </w:p>
    <w:bookmarkStart w:id="148" w:name="page149"/>
    <w:bookmarkEnd w:id="14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12.8 </w:t>
      </w:r>
      <w:r>
        <w:rPr>
          <w:rFonts w:ascii="Times New Roman" w:cs="Times New Roman" w:eastAsia="Times New Roman" w:hAnsi="Times New Roman"/>
          <w:sz w:val="18"/>
          <w:szCs w:val="18"/>
          <w:u w:val="single" w:color="auto"/>
          <w:color w:val="auto"/>
        </w:rPr>
        <w:t>Adjustments; Right of Setoff</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921"/>
        <w:spacing w:after="0" w:line="291" w:lineRule="auto"/>
        <w:tabs>
          <w:tab w:leader="none" w:pos="115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Bank (a “</w:t>
      </w:r>
      <w:r>
        <w:rPr>
          <w:rFonts w:ascii="Times New Roman" w:cs="Times New Roman" w:eastAsia="Times New Roman" w:hAnsi="Times New Roman"/>
          <w:sz w:val="16"/>
          <w:szCs w:val="16"/>
          <w:u w:val="single" w:color="auto"/>
          <w:color w:val="auto"/>
        </w:rPr>
        <w:t>Benefited Bank</w:t>
      </w:r>
      <w:r>
        <w:rPr>
          <w:rFonts w:ascii="Times New Roman" w:cs="Times New Roman" w:eastAsia="Times New Roman" w:hAnsi="Times New Roman"/>
          <w:sz w:val="16"/>
          <w:szCs w:val="16"/>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113" w:lineRule="exact"/>
        <w:rPr>
          <w:rFonts w:ascii="Times New Roman" w:cs="Times New Roman" w:eastAsia="Times New Roman" w:hAnsi="Times New Roman"/>
          <w:sz w:val="16"/>
          <w:szCs w:val="16"/>
          <w:color w:val="auto"/>
        </w:rPr>
      </w:pPr>
    </w:p>
    <w:p>
      <w:pPr>
        <w:ind w:right="60" w:firstLine="921"/>
        <w:spacing w:after="0" w:line="254" w:lineRule="auto"/>
        <w:tabs>
          <w:tab w:leader="none" w:pos="11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Each Bank agrees promptly to notify the Company and the Administrative Agent after any such application made by such Company, provided that the failure to give such notice shall not affect the validity of such application.</w:t>
      </w:r>
    </w:p>
    <w:p>
      <w:pPr>
        <w:spacing w:after="0" w:line="136" w:lineRule="exact"/>
        <w:rPr>
          <w:sz w:val="20"/>
          <w:szCs w:val="20"/>
          <w:color w:val="auto"/>
        </w:rPr>
      </w:pPr>
    </w:p>
    <w:p>
      <w:pPr>
        <w:ind w:right="520" w:firstLine="913"/>
        <w:spacing w:after="0" w:line="264"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 AND THE ADMINISTRATIVE AGENT AND THE BANKS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IRREVOCABLY AND UNCONDITIONALLY WAIVE TRIAL BY JURY IN ANY LEGAL ACTION OR PROCEEDING RELATING TO THIS AGREEMENT AND FOR ANY COUNTERCLAIM THEREIN.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The Company hereby irrevocably and unconditionally:</w:t>
      </w:r>
    </w:p>
    <w:p>
      <w:pPr>
        <w:spacing w:after="0" w:line="90" w:lineRule="exact"/>
        <w:rPr>
          <w:sz w:val="20"/>
          <w:szCs w:val="20"/>
          <w:color w:val="auto"/>
        </w:rPr>
      </w:pPr>
    </w:p>
    <w:p>
      <w:pPr>
        <w:ind w:left="1140" w:hanging="237"/>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or for recognition and enforcement of any</w:t>
      </w:r>
    </w:p>
    <w:p>
      <w:pPr>
        <w:spacing w:after="0" w:line="21" w:lineRule="exact"/>
        <w:rPr>
          <w:rFonts w:ascii="Times New Roman" w:cs="Times New Roman" w:eastAsia="Times New Roman" w:hAnsi="Times New Roman"/>
          <w:sz w:val="18"/>
          <w:szCs w:val="18"/>
          <w:color w:val="auto"/>
        </w:rPr>
      </w:pPr>
    </w:p>
    <w:p>
      <w:pPr>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in respect thereof, to the non-exclusive general jurisdiction of the courts of the State of New York, the courts of the United States for the Southern District of New York, and appellate courts from any thereof;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4" w:right="239" w:bottom="1440" w:gutter="0" w:footer="0" w:header="0"/>
        </w:sectPr>
      </w:pPr>
    </w:p>
    <w:bookmarkStart w:id="149" w:name="page150"/>
    <w:bookmarkEnd w:id="149"/>
    <w:p>
      <w:pPr>
        <w:ind w:left="460" w:right="100" w:firstLine="443"/>
        <w:spacing w:after="0" w:line="262" w:lineRule="auto"/>
        <w:tabs>
          <w:tab w:leader="none" w:pos="114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1" w:lineRule="exact"/>
        <w:rPr>
          <w:rFonts w:ascii="Times New Roman" w:cs="Times New Roman" w:eastAsia="Times New Roman" w:hAnsi="Times New Roman"/>
          <w:sz w:val="18"/>
          <w:szCs w:val="18"/>
          <w:color w:val="auto"/>
        </w:rPr>
      </w:pPr>
    </w:p>
    <w:p>
      <w:pPr>
        <w:jc w:val="both"/>
        <w:ind w:left="460" w:right="200" w:firstLine="443"/>
        <w:spacing w:after="0" w:line="262" w:lineRule="auto"/>
        <w:tabs>
          <w:tab w:leader="none" w:pos="113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1"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38"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13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20" w:lineRule="exact"/>
        <w:rPr>
          <w:sz w:val="20"/>
          <w:szCs w:val="20"/>
          <w:color w:val="auto"/>
        </w:rPr>
      </w:pPr>
    </w:p>
    <w:p>
      <w:pPr>
        <w:jc w:val="both"/>
        <w:ind w:firstLine="913"/>
        <w:spacing w:after="0" w:line="26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0" w:lineRule="exact"/>
        <w:rPr>
          <w:sz w:val="20"/>
          <w:szCs w:val="20"/>
          <w:color w:val="auto"/>
        </w:rPr>
      </w:pPr>
    </w:p>
    <w:p>
      <w:pPr>
        <w:ind w:right="80" w:firstLine="913"/>
        <w:spacing w:after="0" w:line="277"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and the Notes and the rights and obligations of the parties under this Agreement and the Notes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governed by, and construed and interpreted in accordance with, the law of the State of New York.</w:t>
      </w:r>
    </w:p>
    <w:p>
      <w:pPr>
        <w:spacing w:after="0" w:line="118"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4" w:right="239" w:bottom="1440" w:gutter="0" w:footer="0" w:header="0"/>
        </w:sectPr>
      </w:pPr>
    </w:p>
    <w:bookmarkStart w:id="150" w:name="page151"/>
    <w:bookmarkEnd w:id="150"/>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Michael J. Castellano</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Credit Agreement</w:t>
      </w:r>
      <w:r>
        <w:rPr>
          <w:rFonts w:ascii="Times New Roman" w:cs="Times New Roman" w:eastAsia="Times New Roman" w:hAnsi="Times New Roman"/>
          <w:sz w:val="18"/>
          <w:szCs w:val="18"/>
          <w:color w:val="auto"/>
        </w:rPr>
        <w:t>]</w:t>
      </w:r>
    </w:p>
    <w:p>
      <w:pPr>
        <w:sectPr>
          <w:pgSz w:w="11900" w:h="16838" w:orient="portrait"/>
          <w:cols w:equalWidth="0" w:num="1">
            <w:col w:w="11080"/>
          </w:cols>
          <w:pgMar w:left="240" w:top="274" w:right="579" w:bottom="1440" w:gutter="0" w:footer="0" w:header="0"/>
        </w:sectPr>
      </w:pPr>
    </w:p>
    <w:bookmarkStart w:id="151" w:name="page152"/>
    <w:bookmarkEnd w:id="15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Administrative Agent and as a Bank</w:t>
      </w:r>
    </w:p>
    <w:p>
      <w:pPr>
        <w:spacing w:after="0" w:line="2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Maureen R.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Maureen R. Maroney</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3" w:right="1440" w:bottom="1440" w:gutter="0" w:footer="0" w:header="0"/>
        </w:sectPr>
      </w:pPr>
    </w:p>
    <w:bookmarkStart w:id="152" w:name="page153"/>
    <w:bookmarkEnd w:id="152"/>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Bank</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John T. Daley</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4" w:right="1440" w:bottom="1440" w:gutter="0" w:footer="0" w:header="0"/>
        </w:sectPr>
      </w:pPr>
    </w:p>
    <w:bookmarkStart w:id="153" w:name="page154"/>
    <w:bookmarkEnd w:id="153"/>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Bank</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Terence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Terence Law</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4" w:right="144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10.54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document constitutes part of a prospectus covering securities that have been registered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173"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THIS AGREEMENT, dated as of [—], between Lazard Ltd, a Bermuda exempted company (the “Company”), on behalf of its applicable Affiliate (as defined under the definitional rules of Section 1(a) below), and [—] (the “Employee”).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1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consideration of the mutual promises and covenants made herein and the mutual benefits to be derived here from, the parties hereto agree as follows:</w:t>
      </w:r>
    </w:p>
    <w:p>
      <w:pPr>
        <w:spacing w:after="0" w:line="250" w:lineRule="exact"/>
        <w:rPr>
          <w:sz w:val="20"/>
          <w:szCs w:val="20"/>
          <w:color w:val="auto"/>
        </w:rPr>
      </w:pPr>
    </w:p>
    <w:p>
      <w:pPr>
        <w:ind w:left="180" w:hanging="172"/>
        <w:spacing w:after="0"/>
        <w:tabs>
          <w:tab w:leader="none" w:pos="1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and Vesting of Restricted Stock.</w:t>
      </w:r>
    </w:p>
    <w:p>
      <w:pPr>
        <w:spacing w:after="0" w:line="92" w:lineRule="exact"/>
        <w:rPr>
          <w:rFonts w:ascii="Times New Roman" w:cs="Times New Roman" w:eastAsia="Times New Roman" w:hAnsi="Times New Roman"/>
          <w:sz w:val="18"/>
          <w:szCs w:val="18"/>
          <w:b w:val="1"/>
          <w:bCs w:val="1"/>
          <w:color w:val="auto"/>
        </w:rPr>
      </w:pPr>
    </w:p>
    <w:p>
      <w:pPr>
        <w:jc w:val="both"/>
        <w:ind w:right="380" w:firstLine="464"/>
        <w:spacing w:after="0" w:line="258" w:lineRule="auto"/>
        <w:tabs>
          <w:tab w:leader="none" w:pos="69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shall grant to the Employee, as of [—] (the “Grant Date”), [—] shares of Lazard Ltd Class A Common Stock (“Shares”) that shall be subject to certain transfer restrictions, forfeiture provisions and other terms and conditions specified herein and in the Plan (the “Restricted Stock”).</w:t>
      </w:r>
    </w:p>
    <w:p>
      <w:pPr>
        <w:spacing w:after="0" w:line="136" w:lineRule="exact"/>
        <w:rPr>
          <w:rFonts w:ascii="Times New Roman" w:cs="Times New Roman" w:eastAsia="Times New Roman" w:hAnsi="Times New Roman"/>
          <w:sz w:val="18"/>
          <w:szCs w:val="18"/>
          <w:color w:val="auto"/>
        </w:rPr>
      </w:pPr>
    </w:p>
    <w:p>
      <w:pPr>
        <w:ind w:right="160" w:firstLine="464"/>
        <w:spacing w:after="0" w:line="275" w:lineRule="auto"/>
        <w:tabs>
          <w:tab w:leader="none" w:pos="7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to the provisions of the Plan, the Restricted Stock shall vest and no longer be subject to any restriction (such period during which restrictions apply to the Restricted Stock is the “Restriction Period”) on [—] (the “Vesting Date”).</w:t>
      </w:r>
    </w:p>
    <w:p>
      <w:pPr>
        <w:spacing w:after="0" w:line="119" w:lineRule="exact"/>
        <w:rPr>
          <w:rFonts w:ascii="Times New Roman" w:cs="Times New Roman" w:eastAsia="Times New Roman" w:hAnsi="Times New Roman"/>
          <w:sz w:val="18"/>
          <w:szCs w:val="18"/>
          <w:color w:val="auto"/>
        </w:rPr>
      </w:pPr>
    </w:p>
    <w:p>
      <w:pPr>
        <w:ind w:right="560" w:firstLine="464"/>
        <w:spacing w:after="0" w:line="275" w:lineRule="auto"/>
        <w:tabs>
          <w:tab w:leader="none" w:pos="69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incurs a Termination of Employment during the Restriction Period for any reason not set forth in Section 1(d), all Restricted Stock shall be forfeited by the Employee effective immediately upon such Termination of Employment</w:t>
      </w:r>
    </w:p>
    <w:p>
      <w:pPr>
        <w:spacing w:after="0" w:line="12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(d)(i) In the event that the Employee incurs a Termination of Employment during the Restriction Period due to the Employee’s Disability or due to a Termination of Employment by the Company other than for Cause (each, a “Qualifying Termination”), subject to Section 1(e), all Restricted Stock shall remain outstanding and continue to vest on the Vesting Date.</w:t>
      </w:r>
    </w:p>
    <w:p>
      <w:pPr>
        <w:spacing w:after="0" w:line="132" w:lineRule="exact"/>
        <w:rPr>
          <w:sz w:val="20"/>
          <w:szCs w:val="20"/>
          <w:color w:val="auto"/>
        </w:rPr>
      </w:pPr>
    </w:p>
    <w:p>
      <w:pPr>
        <w:ind w:right="560" w:firstLine="464"/>
        <w:spacing w:after="0" w:line="262" w:lineRule="auto"/>
        <w:tabs>
          <w:tab w:leader="none" w:pos="7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incurs a Termination of Employment during the Restriction Period due to the Employee’s death or, subject to Section 1(e), dies during the Restriction Period subsequent to a Termination of Employment described in the preceding sentence, all Restricted Stock shall immediately vest.</w:t>
      </w:r>
    </w:p>
    <w:p>
      <w:pPr>
        <w:spacing w:after="0" w:line="132" w:lineRule="exact"/>
        <w:rPr>
          <w:sz w:val="20"/>
          <w:szCs w:val="20"/>
          <w:color w:val="auto"/>
        </w:rPr>
      </w:pPr>
    </w:p>
    <w:p>
      <w:pPr>
        <w:ind w:right="20" w:firstLine="464"/>
        <w:spacing w:after="0" w:line="275"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violates any of the provisions of Appendix A, which is incorporated herein by reference, all outstanding Restricted Stock shall be forfeited and canceled.</w:t>
      </w:r>
    </w:p>
    <w:p>
      <w:pPr>
        <w:sectPr>
          <w:pgSz w:w="11900" w:h="16838" w:orient="portrait"/>
          <w:cols w:equalWidth="0" w:num="1">
            <w:col w:w="11420"/>
          </w:cols>
          <w:pgMar w:left="240" w:top="123" w:right="239" w:bottom="1440" w:gutter="0" w:footer="0" w:header="0"/>
        </w:sectPr>
      </w:pPr>
    </w:p>
    <w:bookmarkStart w:id="155" w:name="page156"/>
    <w:bookmarkEnd w:id="155"/>
    <w:p>
      <w:pPr>
        <w:ind w:right="460" w:firstLine="464"/>
        <w:spacing w:after="0" w:line="275" w:lineRule="auto"/>
        <w:tabs>
          <w:tab w:leader="none" w:pos="67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the event of a Change in Control, all outstanding Restricted Stock shall automatically vest as of the date of such Change in Control.</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Restricted Stock.</w:t>
      </w:r>
    </w:p>
    <w:p>
      <w:pPr>
        <w:spacing w:after="0" w:line="92" w:lineRule="exact"/>
        <w:rPr>
          <w:sz w:val="20"/>
          <w:szCs w:val="20"/>
          <w:color w:val="auto"/>
        </w:rPr>
      </w:pPr>
    </w:p>
    <w:p>
      <w:pPr>
        <w:jc w:val="both"/>
        <w:ind w:right="220" w:firstLine="456"/>
        <w:spacing w:after="0" w:line="310" w:lineRule="auto"/>
        <w:rPr>
          <w:sz w:val="20"/>
          <w:szCs w:val="20"/>
          <w:color w:val="auto"/>
        </w:rPr>
      </w:pPr>
      <w:r>
        <w:rPr>
          <w:rFonts w:ascii="Times New Roman" w:cs="Times New Roman" w:eastAsia="Times New Roman" w:hAnsi="Times New Roman"/>
          <w:sz w:val="16"/>
          <w:szCs w:val="16"/>
          <w:color w:val="auto"/>
        </w:rPr>
        <w:t>The Restricted Stock shall be evidenced in such manner as the Committee may deem appropriate, including book-entry registration or issuance of one or more stock certificates. Any certificate or book entry credit issued or entered in respect of the Restricted Stock shall be registered in the name of the Employee and shall bear an appropriate legend referring to the terms, conditions and restrictions applicable to the Restricted Stock, substantially in the following form:</w:t>
      </w:r>
    </w:p>
    <w:p>
      <w:pPr>
        <w:spacing w:after="0" w:line="16" w:lineRule="exact"/>
        <w:rPr>
          <w:sz w:val="20"/>
          <w:szCs w:val="20"/>
          <w:color w:val="auto"/>
        </w:rPr>
      </w:pPr>
    </w:p>
    <w:p>
      <w:pPr>
        <w:ind w:left="460" w:right="160"/>
        <w:spacing w:after="0" w:line="262"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Committee is likely to require that the certificates or book entry credits evidencing title of such Restricted Stock be held in custody by the Company until the restrictions thereon shall have lapsed and that, as a condition of receiving the Restricted Stock, the Employee shall have delivered to the Company a stock power, endorsed in blank, relating to such Restricted Stock. If and when the Vesting Date occurs with respect to the Restricted Stock, or the Restricted Stock otherwise becomes vested in accordance with Section 1(d)(ii) or 1(f), provided that the Restricted Stock has not been forfeited pursuant to Section 1(c) or 1(e), the legend set forth above shall be removed from the certificates or book entry credits evidencing such Shares. Notwithstanding the foregoing, the Company shall be entitled to hold the Restricted Stock until the Company shall have received from the Employee a duly executed Form W-9 or W-8, as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Nontransferability of the Restricted Stock.</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Except as set forth in Sections 1(d)(ii) and 1(f) above, all Restricted Stock shall remain subject to the restrictions set forth in this Agreement, including the forfeiture provisions set forth in Sections 1(c) and 1(e), until the Vesting Date. Prior to the Vesting Date, the Restricted Stock shall not be transferable by the Employee, and neither the Employee nor its creditors shall have the right to subject the Restricted Stock to any anticipation, alienation, sale, transfer, assignment, pledge, encumbrance, hedge, exchange, attachment or garnishment or any similar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Dividend Equivalents; Voting Rights.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the Company declares and pays ordinary quarterly cash dividends on Shares during the Restriction Period, the Employee shall be credited with cash, which shall be held by the Company or an escrow agent that is designated by the Company and shall vest concurrently with the underlying Restricted Stock (it being understood that the provisions of this sentence shall not apply to any extraordinary dividends or distributions). The Employee shall have, with respect to the Restricted Stock, the same right to vote the Shares as a shareholder of Shares.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Payment of Transfer Taxes, Fees and Other Expenses.</w:t>
      </w:r>
    </w:p>
    <w:p>
      <w:pPr>
        <w:spacing w:after="0" w:line="92" w:lineRule="exact"/>
        <w:rPr>
          <w:sz w:val="20"/>
          <w:szCs w:val="20"/>
          <w:color w:val="auto"/>
        </w:rPr>
      </w:pPr>
    </w:p>
    <w:p>
      <w:pPr>
        <w:jc w:val="both"/>
        <w:ind w:right="700" w:firstLine="456"/>
        <w:spacing w:after="0" w:line="262" w:lineRule="auto"/>
        <w:rPr>
          <w:sz w:val="20"/>
          <w:szCs w:val="20"/>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received by an Employee in connection with the Restricted Stock, together with any and all other fees and expenses necessarily incurred by the Company in connection therewith.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Section 83(b) Election.</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Employee agrees that the Employee will make an election to be taxed immediately on the value of the Restricted Stock (calculated without regard to the restrictions) on the Grant Date. In order to do so, the Employee must file an election with the Internal Revenue Service pursuant to Section 83(b) of the Internal Revenue Code of 1986, as amended (the “Code”), and the applicable Treasury Regulations thereunder with respect to the Restricted Stock within 30 days following the Grant Date. The Employee agrees that any such Section 83(b) election will apply to all Restricted Stock that the Employee receives pursuant to this Agreement. The Employee further agrees that the Employee will provide a copy of such Section 83(b) election to the Company not later than ten (10) days after filing the election with the Internal Revenue Service or other governmental authority. The Company has made no recommendation to the Employee with respect to the advisability of making the Section 83(b) election. The Employee acknowledges that it is the Employee’s sole responsibility to seek advice regarding Section 83(b) of the Code and to determine the effect of making such election. Notwithstanding any provision of this Agreement to the contrary, in no event shall the Company allow the Employee to sell any portion of the Restricted Stock in order to enable the Employee to pay any taxes that the Employee is required to pay as a result of making a Section 83(b) election.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Effect of Agreement.</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employment by the Company or any of its Affiliates or interfere in any way with the right of the Company or any such Affiliates to terminate the Employee’s employment at any time.</w:t>
      </w:r>
    </w:p>
    <w:p>
      <w:pPr>
        <w:spacing w:after="0" w:line="215" w:lineRule="exact"/>
        <w:rPr>
          <w:sz w:val="20"/>
          <w:szCs w:val="20"/>
          <w:color w:val="auto"/>
        </w:rPr>
      </w:pPr>
    </w:p>
    <w:p>
      <w:pPr>
        <w:ind w:left="180" w:hanging="172"/>
        <w:spacing w:after="0"/>
        <w:tabs>
          <w:tab w:leader="none" w:pos="1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Laws Applicable to Construction; Consent to Jurisdiction.</w:t>
      </w:r>
    </w:p>
    <w:p>
      <w:pPr>
        <w:spacing w:after="0" w:line="92" w:lineRule="exact"/>
        <w:rPr>
          <w:rFonts w:ascii="Times New Roman" w:cs="Times New Roman" w:eastAsia="Times New Roman" w:hAnsi="Times New Roman"/>
          <w:sz w:val="18"/>
          <w:szCs w:val="18"/>
          <w:b w:val="1"/>
          <w:bCs w:val="1"/>
          <w:color w:val="auto"/>
        </w:rPr>
      </w:pPr>
    </w:p>
    <w:p>
      <w:pPr>
        <w:ind w:right="20" w:firstLine="464"/>
        <w:spacing w:after="0" w:line="258" w:lineRule="auto"/>
        <w:tabs>
          <w:tab w:leader="none" w:pos="69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Appendix A, the Restricted Stock is subject to the terms and conditions of the Plan, which is hereby incorporated by reference. By signing this Agreement, the Employee agrees to and is bound by the Plan and the restrictive covenants set forth in Appendix A.</w:t>
      </w:r>
    </w:p>
    <w:p>
      <w:pPr>
        <w:spacing w:after="0" w:line="136" w:lineRule="exact"/>
        <w:rPr>
          <w:rFonts w:ascii="Times New Roman" w:cs="Times New Roman" w:eastAsia="Times New Roman" w:hAnsi="Times New Roman"/>
          <w:sz w:val="18"/>
          <w:szCs w:val="18"/>
          <w:color w:val="auto"/>
        </w:rPr>
      </w:pPr>
    </w:p>
    <w:p>
      <w:pPr>
        <w:ind w:right="420" w:firstLine="464"/>
        <w:spacing w:after="0" w:line="275" w:lineRule="auto"/>
        <w:tabs>
          <w:tab w:leader="none" w:pos="70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controversy or claim between the Employee and the Company or its Affiliates arising out of or relating to or concerning the provisions of this Agreement or the Plan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57" w:name="page158"/>
    <w:bookmarkEnd w:id="157"/>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32" w:lineRule="exact"/>
        <w:rPr>
          <w:sz w:val="20"/>
          <w:szCs w:val="20"/>
          <w:color w:val="auto"/>
        </w:rPr>
      </w:pPr>
    </w:p>
    <w:p>
      <w:pPr>
        <w:ind w:firstLine="464"/>
        <w:spacing w:after="0" w:line="252" w:lineRule="auto"/>
        <w:tabs>
          <w:tab w:leader="none" w:pos="69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8(c)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8(c).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8(c). The Employee and the Company undertake not to commence any action arising out of or relating to or concerning this Agreement in any forum other than a forum described in this Section 8(c),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2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and Interpretation.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Amendment.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modification, amendment or waiver to this Agreement that shall materially impair the rights of the Employee with respect to the Restricted Stock shall require an instrument in writing to be signed by both parties hereto, except such a modification, amendment or waiver made to cause the Plan or the Restricted Stock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Headings.</w:t>
      </w:r>
    </w:p>
    <w:p>
      <w:pPr>
        <w:spacing w:after="0" w:line="9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The headings of paragraphs herein are included solely for convenience of reference and shall not affect the meaning or interpretation of any of the provisions of this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Counterparts.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may be executed in counterparts, which together shall constitute one and the same original.</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as of the date first above written, the Company has caused this Agreement to be executed on behalf of its applicable Affiliate by a duly authorized officer and the Employee has hereunto set the Employee’s hand.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31750</wp:posOffset>
            </wp:positionV>
            <wp:extent cx="2573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420370</wp:posOffset>
            </wp:positionV>
            <wp:extent cx="25730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NAME OF EMPLOYEE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2" w:right="259" w:bottom="1440" w:gutter="0" w:footer="0" w:header="0"/>
        </w:sectPr>
      </w:pPr>
    </w:p>
    <w:bookmarkStart w:id="159" w:name="page160"/>
    <w:bookmarkEnd w:id="15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7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Employee acknowledges that the grant of the Restricted Stock pursuant to the Restricted Stock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 1(e) of the Agreement, all outstanding Restricted Stock will be forfeited upon a violation by the Employee of the following covenants:</w:t>
      </w:r>
    </w:p>
    <w:p>
      <w:pPr>
        <w:spacing w:after="0" w:line="58" w:lineRule="exact"/>
        <w:rPr>
          <w:sz w:val="20"/>
          <w:szCs w:val="20"/>
          <w:color w:val="auto"/>
        </w:rPr>
      </w:pPr>
    </w:p>
    <w:p>
      <w:pPr>
        <w:ind w:firstLine="464"/>
        <w:spacing w:after="0" w:line="287" w:lineRule="auto"/>
        <w:tabs>
          <w:tab w:leader="none" w:pos="695"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18" w:lineRule="exact"/>
        <w:rPr>
          <w:rFonts w:ascii="Times New Roman" w:cs="Times New Roman" w:eastAsia="Times New Roman" w:hAnsi="Times New Roman"/>
          <w:sz w:val="16"/>
          <w:szCs w:val="16"/>
          <w:color w:val="auto"/>
        </w:rPr>
      </w:pPr>
    </w:p>
    <w:p>
      <w:pPr>
        <w:ind w:firstLine="464"/>
        <w:spacing w:after="0" w:line="253" w:lineRule="auto"/>
        <w:tabs>
          <w:tab w:leader="none" w:pos="7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the later of (i) three months after the Employee’s date of Termination of Employment for any reason other than a termination by the Firm without Cause or (ii) one month after the date of the Employee’s Termination of Employment by the Firm without Cause (in either case, the date of any such Termination of Employment, the “Date of Termination,” and such period, the “Noncompete Restriction Period”), the Employee shall not, directly or indirectly, on the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60"/>
          </w:cols>
          <w:pgMar w:left="240" w:top="272" w:right="299" w:bottom="1440" w:gutter="0" w:footer="0" w:header="0"/>
        </w:sectPr>
      </w:pPr>
    </w:p>
    <w:bookmarkStart w:id="160" w:name="page161"/>
    <w:bookmarkEnd w:id="16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39" w:lineRule="exact"/>
        <w:rPr>
          <w:sz w:val="20"/>
          <w:szCs w:val="20"/>
          <w:color w:val="auto"/>
        </w:rPr>
      </w:pPr>
    </w:p>
    <w:p>
      <w:pPr>
        <w:ind w:firstLine="464"/>
        <w:spacing w:after="0" w:line="253"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Clients</w:t>
      </w:r>
      <w:r>
        <w:rPr>
          <w:rFonts w:ascii="Times New Roman" w:cs="Times New Roman" w:eastAsia="Times New Roman" w:hAnsi="Times New Roman"/>
          <w:sz w:val="18"/>
          <w:szCs w:val="18"/>
          <w:color w:val="auto"/>
        </w:rPr>
        <w:t>.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38" w:lineRule="exact"/>
        <w:rPr>
          <w:rFonts w:ascii="Times New Roman" w:cs="Times New Roman" w:eastAsia="Times New Roman" w:hAnsi="Times New Roman"/>
          <w:sz w:val="18"/>
          <w:szCs w:val="18"/>
          <w:color w:val="auto"/>
        </w:rPr>
      </w:pPr>
    </w:p>
    <w:p>
      <w:pPr>
        <w:ind w:right="60" w:firstLine="464"/>
        <w:spacing w:after="0" w:line="255" w:lineRule="auto"/>
        <w:tabs>
          <w:tab w:leader="none" w:pos="7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Hire of Employees</w:t>
      </w:r>
      <w:r>
        <w:rPr>
          <w:rFonts w:ascii="Times New Roman" w:cs="Times New Roman" w:eastAsia="Times New Roman" w:hAnsi="Times New Roman"/>
          <w:sz w:val="18"/>
          <w:szCs w:val="18"/>
          <w:color w:val="auto"/>
        </w:rPr>
        <w:t>. The Employee hereby agrees that while employed by the Firm and thereafter until six months after the date of the Termination of Employment for any reason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274" w:right="239" w:bottom="1440" w:gutter="0" w:footer="0" w:header="0"/>
        </w:sectPr>
      </w:pPr>
    </w:p>
    <w:bookmarkStart w:id="161" w:name="page162"/>
    <w:bookmarkEnd w:id="161"/>
    <w:p>
      <w:pPr>
        <w:ind w:right="60" w:firstLine="464"/>
        <w:spacing w:after="0" w:line="255"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r>
        <w:rPr>
          <w:rFonts w:ascii="Times New Roman" w:cs="Times New Roman" w:eastAsia="Times New Roman" w:hAnsi="Times New Roman"/>
          <w:sz w:val="18"/>
          <w:szCs w:val="18"/>
          <w:color w:val="auto"/>
        </w:rPr>
        <w:t>. The Employee shall not at any time (whether prior to or following the Employee’s Termination of Employment), and shall instruct the Employee’s spouse,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39" w:lineRule="exact"/>
        <w:rPr>
          <w:rFonts w:ascii="Times New Roman" w:cs="Times New Roman" w:eastAsia="Times New Roman" w:hAnsi="Times New Roman"/>
          <w:sz w:val="18"/>
          <w:szCs w:val="18"/>
          <w:color w:val="auto"/>
        </w:rPr>
      </w:pPr>
    </w:p>
    <w:p>
      <w:pPr>
        <w:jc w:val="both"/>
        <w:ind w:right="300" w:firstLine="464"/>
        <w:spacing w:after="0" w:line="258" w:lineRule="auto"/>
        <w:tabs>
          <w:tab w:leader="none" w:pos="6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 Required</w:t>
      </w:r>
      <w:r>
        <w:rPr>
          <w:rFonts w:ascii="Times New Roman" w:cs="Times New Roman" w:eastAsia="Times New Roman" w:hAnsi="Times New Roman"/>
          <w:sz w:val="18"/>
          <w:szCs w:val="18"/>
          <w:color w:val="auto"/>
        </w:rPr>
        <w:t>. The Employee agrees to provide three months’ written notice to the Firm prior to the Employee’s Termination of Employment. The Employee hereby agrees that, if, during the three-month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36" w:lineRule="exact"/>
        <w:rPr>
          <w:rFonts w:ascii="Times New Roman" w:cs="Times New Roman" w:eastAsia="Times New Roman" w:hAnsi="Times New Roman"/>
          <w:sz w:val="18"/>
          <w:szCs w:val="18"/>
          <w:color w:val="auto"/>
        </w:rPr>
      </w:pPr>
    </w:p>
    <w:p>
      <w:pPr>
        <w:ind w:firstLine="464"/>
        <w:spacing w:after="0" w:line="252" w:lineRule="auto"/>
        <w:tabs>
          <w:tab w:leader="none" w:pos="7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Generally</w:t>
      </w:r>
      <w:r>
        <w:rPr>
          <w:rFonts w:ascii="Times New Roman" w:cs="Times New Roman" w:eastAsia="Times New Roman" w:hAnsi="Times New Roman"/>
          <w:sz w:val="18"/>
          <w:szCs w:val="18"/>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Covenants will cause the Firm irreparable harm, which cannot be adequately compensated by money damages.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4"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(a)(b)</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Group LLC and its subsidiaries on a consolidated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740"/>
              <w:spacing w:after="0" w:line="135"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4"/>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(181,988)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42,029</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$436,064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$333,676</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345,676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 Fixed charges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132,785</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161,665</w:t>
            </w: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154,790</w:t>
            </w:r>
          </w:p>
        </w:tc>
        <w:tc>
          <w:tcPr>
            <w:tcW w:w="4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before fixed charges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203,694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$590,854</w:t>
            </w:r>
          </w:p>
        </w:tc>
        <w:tc>
          <w:tcPr>
            <w:tcW w:w="4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$453,374</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440,335</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141,413</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$136,529</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$104,348</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20,252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161,665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$154,790</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$ 119,698</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(f)</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(g)</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1.26(h)</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Deficiency in the coverage of operating income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from continuing operations before fixed charges to</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181,988</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-1905000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-1905000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-1905000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-1905000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-1905000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-1905000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-1905000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-1905000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-1905000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-1905000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-1905000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-1905000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-1905000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-1905000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-1905000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-1905000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-1905000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-1047750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-1047750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-1047750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-1047750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-1047750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-1047750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-1047750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-1047750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-1047750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-1047750</wp:posOffset>
            </wp:positionV>
            <wp:extent cx="4330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-1047750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-1047750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-1047750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-1047750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-1047750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-747395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-747395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-747395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-747395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-747395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-747395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-747395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-747395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-747395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-747395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-747395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-747395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-747395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-747395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-747395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-747395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-747395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-747395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-172720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-172720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-172720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presented relates to the Company’s continuing operations.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6" w:lineRule="exact"/>
        <w:rPr>
          <w:rFonts w:ascii="Times New Roman" w:cs="Times New Roman" w:eastAsia="Times New Roman" w:hAnsi="Times New Roman"/>
          <w:sz w:val="18"/>
          <w:szCs w:val="18"/>
          <w:color w:val="auto"/>
        </w:rPr>
      </w:pPr>
    </w:p>
    <w:p>
      <w:pPr>
        <w:ind w:left="780" w:right="180" w:hanging="326"/>
        <w:spacing w:after="0" w:line="262" w:lineRule="auto"/>
        <w:tabs>
          <w:tab w:leader="none" w:pos="7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three month period ended March 31,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37"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from continuing operations and the portion of rental expense from continuing operations which represents an appropriate interest factor.</w:t>
      </w:r>
    </w:p>
    <w:p>
      <w:pPr>
        <w:spacing w:after="0" w:line="25"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76"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25" w:lineRule="exact"/>
        <w:rPr>
          <w:rFonts w:ascii="Times New Roman" w:cs="Times New Roman" w:eastAsia="Times New Roman" w:hAnsi="Times New Roman"/>
          <w:sz w:val="18"/>
          <w:szCs w:val="18"/>
          <w:color w:val="auto"/>
        </w:rPr>
      </w:pPr>
    </w:p>
    <w:p>
      <w:pPr>
        <w:ind w:left="780" w:right="260" w:hanging="326"/>
        <w:spacing w:after="0" w:line="258" w:lineRule="auto"/>
        <w:tabs>
          <w:tab w:leader="none" w:pos="7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Lazard Group’s operating income historically has not reflected payments for services rendered by its managing directors. For periods subsequent to the</w:t>
      </w:r>
    </w:p>
    <w:p>
      <w:pPr>
        <w:sectPr>
          <w:pgSz w:w="11900" w:h="16838" w:orient="portrait"/>
          <w:cols w:equalWidth="0" w:num="1">
            <w:col w:w="11420"/>
          </w:cols>
          <w:pgMar w:left="240" w:top="123" w:right="239" w:bottom="1440" w:gutter="0" w:footer="0" w:header="0"/>
        </w:sectPr>
      </w:pPr>
    </w:p>
    <w:bookmarkStart w:id="163" w:name="page164"/>
    <w:bookmarkEnd w:id="163"/>
    <w:p>
      <w:pPr>
        <w:ind w:left="792"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equity public offering, the consolidated financial statements of Lazard Group include all payments for services rendered by its managing directors in compensation and benefits expense;</w:t>
      </w:r>
    </w:p>
    <w:p>
      <w:pPr>
        <w:spacing w:after="0" w:line="39" w:lineRule="exact"/>
        <w:rPr>
          <w:sz w:val="20"/>
          <w:szCs w:val="20"/>
          <w:color w:val="auto"/>
        </w:rPr>
      </w:pPr>
    </w:p>
    <w:p>
      <w:pPr>
        <w:ind w:left="772" w:hanging="326"/>
        <w:spacing w:after="0"/>
        <w:tabs>
          <w:tab w:leader="none" w:pos="77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the financing transactions; and</w:t>
      </w:r>
    </w:p>
    <w:p>
      <w:pPr>
        <w:spacing w:after="0" w:line="103" w:lineRule="exact"/>
        <w:rPr>
          <w:rFonts w:ascii="Times New Roman" w:cs="Times New Roman" w:eastAsia="Times New Roman" w:hAnsi="Times New Roman"/>
          <w:sz w:val="18"/>
          <w:szCs w:val="18"/>
          <w:color w:val="auto"/>
        </w:rPr>
      </w:pPr>
    </w:p>
    <w:p>
      <w:pPr>
        <w:ind w:left="772" w:hanging="326"/>
        <w:spacing w:after="0"/>
        <w:tabs>
          <w:tab w:leader="none" w:pos="77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incremental expense related to the financing transactions.</w:t>
      </w:r>
    </w:p>
    <w:p>
      <w:pPr>
        <w:spacing w:after="0" w:line="103" w:lineRule="exact"/>
        <w:rPr>
          <w:rFonts w:ascii="Times New Roman" w:cs="Times New Roman" w:eastAsia="Times New Roman" w:hAnsi="Times New Roman"/>
          <w:sz w:val="18"/>
          <w:szCs w:val="18"/>
          <w:color w:val="auto"/>
        </w:rPr>
      </w:pPr>
    </w:p>
    <w:p>
      <w:pPr>
        <w:ind w:left="452" w:hanging="452"/>
        <w:spacing w:after="0" w:line="262" w:lineRule="auto"/>
        <w:tabs>
          <w:tab w:leader="none" w:pos="4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for the three month period ended March 31, 2010 is presented after giving effect to (i) a restructuring expense of $87,108 in the first quarter of 2010 and (ii) a charge of $24,860 relating to the amendment of Lazard’s retirement policy with respect to RSU awards. Excluding the impact of such items, the ratio of earnings to fixed charges would have been 3.46.</w:t>
      </w:r>
    </w:p>
    <w:p>
      <w:pPr>
        <w:spacing w:after="0" w:line="37" w:lineRule="exact"/>
        <w:rPr>
          <w:rFonts w:ascii="Times New Roman" w:cs="Times New Roman" w:eastAsia="Times New Roman" w:hAnsi="Times New Roman"/>
          <w:sz w:val="18"/>
          <w:szCs w:val="18"/>
          <w:color w:val="auto"/>
        </w:rPr>
      </w:pPr>
    </w:p>
    <w:p>
      <w:pPr>
        <w:ind w:left="452" w:right="180" w:hanging="452"/>
        <w:spacing w:after="0" w:line="256" w:lineRule="auto"/>
        <w:tabs>
          <w:tab w:leader="none" w:pos="4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44" w:lineRule="exact"/>
        <w:rPr>
          <w:rFonts w:ascii="Times New Roman" w:cs="Times New Roman" w:eastAsia="Times New Roman" w:hAnsi="Times New Roman"/>
          <w:sz w:val="18"/>
          <w:szCs w:val="18"/>
          <w:color w:val="auto"/>
        </w:rPr>
      </w:pPr>
    </w:p>
    <w:p>
      <w:pPr>
        <w:ind w:left="452" w:right="20" w:hanging="452"/>
        <w:spacing w:after="0" w:line="275" w:lineRule="auto"/>
        <w:tabs>
          <w:tab w:leader="none" w:pos="4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12"/>
          </w:cols>
          <w:pgMar w:left="248" w:top="274"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2010 of Lazard Group LLC (the “Registrant”);</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2010</w:t>
      </w:r>
    </w:p>
    <w:p>
      <w:pPr>
        <w:spacing w:after="0" w:line="3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2010 of Lazard Group LLC (the “Registrant”);</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2010</w:t>
      </w:r>
    </w:p>
    <w:p>
      <w:pPr>
        <w:spacing w:after="0" w:line="3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March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March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3"/>
    </w:lvl>
  </w:abstractNum>
  <w:abstractNum w:abstractNumId="7">
    <w:nsid w:val="7BD3EE7B"/>
    <w:multiLevelType w:val="hybridMultilevel"/>
    <w:lvl w:ilvl="0">
      <w:lvlJc w:val="left"/>
      <w:lvlText w:val="%1."/>
      <w:numFmt w:val="decimal"/>
      <w:start w:val="4"/>
    </w:lvl>
  </w:abstractNum>
  <w:abstractNum w:abstractNumId="8">
    <w:nsid w:val="51D9C564"/>
    <w:multiLevelType w:val="hybridMultilevel"/>
    <w:lvl w:ilvl="0">
      <w:lvlJc w:val="left"/>
      <w:lvlText w:val="%1."/>
      <w:numFmt w:val="decimal"/>
      <w:start w:val="5"/>
    </w:lvl>
  </w:abstractNum>
  <w:abstractNum w:abstractNumId="9">
    <w:nsid w:val="613EFDC5"/>
    <w:multiLevelType w:val="hybridMultilevel"/>
    <w:lvl w:ilvl="0">
      <w:lvlJc w:val="left"/>
      <w:lvlText w:val="%1."/>
      <w:numFmt w:val="decimal"/>
      <w:start w:val="6"/>
    </w:lvl>
  </w:abstractNum>
  <w:abstractNum w:abstractNumId="10">
    <w:nsid w:val="BF72B14"/>
    <w:multiLevelType w:val="hybridMultilevel"/>
    <w:lvl w:ilvl="0">
      <w:lvlJc w:val="left"/>
      <w:lvlText w:val="%1."/>
      <w:numFmt w:val="decimal"/>
      <w:start w:val="7"/>
    </w:lvl>
  </w:abstractNum>
  <w:abstractNum w:abstractNumId="11">
    <w:nsid w:val="11447B73"/>
    <w:multiLevelType w:val="hybridMultilevel"/>
    <w:lvl w:ilvl="0">
      <w:lvlJc w:val="left"/>
      <w:lvlText w:val="%1."/>
      <w:numFmt w:val="decimal"/>
      <w:start w:val="8"/>
    </w:lvl>
  </w:abstractNum>
  <w:abstractNum w:abstractNumId="12">
    <w:nsid w:val="42963E5A"/>
    <w:multiLevelType w:val="hybridMultilevel"/>
    <w:lvl w:ilvl="0">
      <w:lvlJc w:val="left"/>
      <w:lvlText w:val="(%1)"/>
      <w:numFmt w:val="lowerLetter"/>
      <w:start w:val="1"/>
    </w:lvl>
  </w:abstractNum>
  <w:abstractNum w:abstractNumId="13">
    <w:nsid w:val="A0382C5"/>
    <w:multiLevelType w:val="hybridMultilevel"/>
    <w:lvl w:ilvl="0">
      <w:lvlJc w:val="left"/>
      <w:lvlText w:val="%1."/>
      <w:numFmt w:val="decimal"/>
      <w:start w:val="10"/>
    </w:lvl>
  </w:abstractNum>
  <w:abstractNum w:abstractNumId="14">
    <w:nsid w:val="8F2B15E"/>
    <w:multiLevelType w:val="hybridMultilevel"/>
    <w:lvl w:ilvl="0">
      <w:lvlJc w:val="left"/>
      <w:lvlText w:val="%1."/>
      <w:numFmt w:val="decimal"/>
      <w:start w:val="11"/>
    </w:lvl>
  </w:abstractNum>
  <w:abstractNum w:abstractNumId="15">
    <w:nsid w:val="1A32234B"/>
    <w:multiLevelType w:val="hybridMultilevel"/>
    <w:lvl w:ilvl="0">
      <w:lvlJc w:val="left"/>
      <w:lvlText w:val="%1."/>
      <w:numFmt w:val="decimal"/>
      <w:start w:val="12"/>
    </w:lvl>
  </w:abstractNum>
  <w:abstractNum w:abstractNumId="16">
    <w:nsid w:val="3B0FD379"/>
    <w:multiLevelType w:val="hybridMultilevel"/>
    <w:lvl w:ilvl="0">
      <w:lvlJc w:val="left"/>
      <w:lvlText w:val="%1."/>
      <w:numFmt w:val="decimal"/>
      <w:start w:val="13"/>
    </w:lvl>
  </w:abstractNum>
  <w:abstractNum w:abstractNumId="17">
    <w:nsid w:val="68EB2F63"/>
    <w:multiLevelType w:val="hybridMultilevel"/>
    <w:lvl w:ilvl="0">
      <w:lvlJc w:val="left"/>
      <w:lvlText w:val="%1."/>
      <w:numFmt w:val="decimal"/>
      <w:start w:val="14"/>
    </w:lvl>
  </w:abstractNum>
  <w:abstractNum w:abstractNumId="18">
    <w:nsid w:val="4962813B"/>
    <w:multiLevelType w:val="hybridMultilevel"/>
    <w:lvl w:ilvl="0">
      <w:lvlJc w:val="left"/>
      <w:lvlText w:val="%1."/>
      <w:numFmt w:val="decimal"/>
      <w:start w:val="15"/>
    </w:lvl>
  </w:abstractNum>
  <w:abstractNum w:abstractNumId="19">
    <w:nsid w:val="60B6DF70"/>
    <w:multiLevelType w:val="hybridMultilevel"/>
    <w:lvl w:ilvl="0">
      <w:lvlJc w:val="left"/>
      <w:lvlText w:val="%1."/>
      <w:numFmt w:val="decimal"/>
      <w:start w:val="16"/>
    </w:lvl>
  </w:abstractNum>
  <w:abstractNum w:abstractNumId="20">
    <w:nsid w:val="6A5EE64"/>
    <w:multiLevelType w:val="hybridMultilevel"/>
    <w:lvl w:ilvl="0">
      <w:lvlJc w:val="left"/>
      <w:lvlText w:val="%1."/>
      <w:numFmt w:val="decimal"/>
      <w:start w:val="17"/>
    </w:lvl>
  </w:abstractNum>
  <w:abstractNum w:abstractNumId="21">
    <w:nsid w:val="14330624"/>
    <w:multiLevelType w:val="hybridMultilevel"/>
    <w:lvl w:ilvl="0">
      <w:lvlJc w:val="left"/>
      <w:lvlText w:val="%1."/>
      <w:numFmt w:val="decimal"/>
      <w:start w:val="18"/>
    </w:lvl>
  </w:abstractNum>
  <w:abstractNum w:abstractNumId="22">
    <w:nsid w:val="7FFFCA11"/>
    <w:multiLevelType w:val="hybridMultilevel"/>
    <w:lvl w:ilvl="0">
      <w:lvlJc w:val="left"/>
      <w:lvlText w:val="%1."/>
      <w:numFmt w:val="decimal"/>
      <w:start w:val="19"/>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1)"/>
      <w:numFmt w:val="lowerLetter"/>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1)"/>
      <w:numFmt w:val="lowerLetter"/>
      <w:start w:val="1"/>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2"/>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1)"/>
      <w:numFmt w:val="lowerLetter"/>
      <w:start w:val="2"/>
    </w:lvl>
  </w:abstractNum>
  <w:abstractNum w:abstractNumId="45">
    <w:nsid w:val="60EF0119"/>
    <w:multiLevelType w:val="hybridMultilevel"/>
    <w:lvl w:ilvl="0">
      <w:lvlJc w:val="left"/>
      <w:lvlText w:val="(%1)"/>
      <w:numFmt w:val="lowerLetter"/>
      <w:start w:val="6"/>
    </w:lvl>
  </w:abstractNum>
  <w:abstractNum w:abstractNumId="46">
    <w:nsid w:val="26F324BA"/>
    <w:multiLevelType w:val="hybridMultilevel"/>
    <w:lvl w:ilvl="0">
      <w:lvlJc w:val="left"/>
      <w:lvlText w:val="(%1)"/>
      <w:numFmt w:val="lowerLetter"/>
      <w:start w:val="7"/>
    </w:lvl>
  </w:abstractNum>
  <w:abstractNum w:abstractNumId="47">
    <w:nsid w:val="7F01579B"/>
    <w:multiLevelType w:val="hybridMultilevel"/>
    <w:lvl w:ilvl="0">
      <w:lvlJc w:val="left"/>
      <w:lvlText w:val="%1."/>
      <w:numFmt w:val="decimal"/>
      <w:start w:val="2"/>
    </w:lvl>
  </w:abstractNum>
  <w:abstractNum w:abstractNumId="48">
    <w:nsid w:val="49DA307D"/>
    <w:multiLevelType w:val="hybridMultilevel"/>
    <w:lvl w:ilvl="0">
      <w:lvlJc w:val="left"/>
      <w:lvlText w:val="%1."/>
      <w:numFmt w:val="decimal"/>
      <w:start w:val="1"/>
    </w:lvl>
    <w:lvl w:ilvl="1">
      <w:lvlJc w:val="left"/>
      <w:lvlText w:val="%2."/>
      <w:numFmt w:val="upperLetter"/>
      <w:start w:val="1"/>
    </w:lvl>
  </w:abstractNum>
  <w:abstractNum w:abstractNumId="49">
    <w:nsid w:val="7055A5F5"/>
    <w:multiLevelType w:val="hybridMultilevel"/>
    <w:lvl w:ilvl="0">
      <w:lvlJc w:val="left"/>
      <w:lvlText w:val="%1."/>
      <w:numFmt w:val="decimal"/>
      <w:start w:val="2"/>
    </w:lvl>
  </w:abstractNum>
  <w:abstractNum w:abstractNumId="50">
    <w:nsid w:val="5FB8370B"/>
    <w:multiLevelType w:val="hybridMultilevel"/>
    <w:lvl w:ilvl="0">
      <w:lvlJc w:val="left"/>
      <w:lvlText w:val="%1."/>
      <w:numFmt w:val="decimal"/>
      <w:start w:val="7"/>
    </w:lvl>
  </w:abstractNum>
  <w:abstractNum w:abstractNumId="51">
    <w:nsid w:val="50801EE1"/>
    <w:multiLevelType w:val="hybridMultilevel"/>
    <w:lvl w:ilvl="0">
      <w:lvlJc w:val="left"/>
      <w:lvlText w:val="(%1)"/>
      <w:numFmt w:val="lowerLetter"/>
      <w:start w:val="1"/>
    </w:lvl>
    <w:lvl w:ilvl="1">
      <w:lvlJc w:val="left"/>
      <w:lvlText w:val="(%2)"/>
      <w:numFmt w:val="lowerRoman"/>
      <w:start w:val="1"/>
    </w:lvl>
  </w:abstractNum>
  <w:abstractNum w:abstractNumId="52">
    <w:nsid w:val="488AC1A"/>
    <w:multiLevelType w:val="hybridMultilevel"/>
    <w:lvl w:ilvl="0">
      <w:lvlJc w:val="left"/>
      <w:lvlText w:val="(%1)"/>
      <w:numFmt w:val="lowerRoman"/>
      <w:start w:val="3"/>
    </w:lvl>
  </w:abstractNum>
  <w:abstractNum w:abstractNumId="53">
    <w:nsid w:val="5FB8011C"/>
    <w:multiLevelType w:val="hybridMultilevel"/>
    <w:lvl w:ilvl="0">
      <w:lvlJc w:val="left"/>
      <w:lvlText w:val="(%1)"/>
      <w:numFmt w:val="lowerLetter"/>
      <w:start w:val="4"/>
    </w:lvl>
  </w:abstractNum>
  <w:abstractNum w:abstractNumId="54">
    <w:nsid w:val="6AA78F7F"/>
    <w:multiLevelType w:val="hybridMultilevel"/>
    <w:lvl w:ilvl="0">
      <w:lvlJc w:val="left"/>
      <w:lvlText w:val="(%1)"/>
      <w:numFmt w:val="lowerLetter"/>
      <w:start w:val="2"/>
    </w:lvl>
  </w:abstractNum>
  <w:abstractNum w:abstractNumId="55">
    <w:nsid w:val="7672BD23"/>
    <w:multiLevelType w:val="hybridMultilevel"/>
    <w:lvl w:ilvl="0">
      <w:lvlJc w:val="left"/>
      <w:lvlText w:val="(%1)"/>
      <w:numFmt w:val="lowerLetter"/>
      <w:start w:val="2"/>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decimal"/>
      <w:start w:val="3"/>
    </w:lvl>
  </w:abstractNum>
  <w:abstractNum w:abstractNumId="58">
    <w:nsid w:val="7D5E18F8"/>
    <w:multiLevelType w:val="hybridMultilevel"/>
    <w:lvl w:ilvl="0">
      <w:lvlJc w:val="left"/>
      <w:lvlText w:val="(%1)"/>
      <w:numFmt w:val="decimal"/>
      <w:start w:val="3"/>
    </w:lvl>
  </w:abstractNum>
  <w:abstractNum w:abstractNumId="59">
    <w:nsid w:val="5F3534A4"/>
    <w:multiLevelType w:val="hybridMultilevel"/>
    <w:lvl w:ilvl="0">
      <w:lvlJc w:val="left"/>
      <w:lvlText w:val="(%1)"/>
      <w:numFmt w:val="lowerRoman"/>
      <w:start w:val="2"/>
    </w:lvl>
  </w:abstractNum>
  <w:abstractNum w:abstractNumId="60">
    <w:nsid w:val="73A1821B"/>
    <w:multiLevelType w:val="hybridMultilevel"/>
    <w:lvl w:ilvl="0">
      <w:lvlJc w:val="left"/>
      <w:lvlText w:val="(%1)"/>
      <w:numFmt w:val="lowerRoman"/>
      <w:start w:val="1"/>
    </w:lvl>
  </w:abstractNum>
  <w:abstractNum w:abstractNumId="61">
    <w:nsid w:val="7DE67713"/>
    <w:multiLevelType w:val="hybridMultilevel"/>
    <w:lvl w:ilvl="0">
      <w:lvlJc w:val="left"/>
      <w:lvlText w:val="(%1)"/>
      <w:numFmt w:val="lowerLetter"/>
      <w:start w:val="3"/>
    </w:lvl>
  </w:abstractNum>
  <w:abstractNum w:abstractNumId="62">
    <w:nsid w:val="555C55B5"/>
    <w:multiLevelType w:val="hybridMultilevel"/>
    <w:lvl w:ilvl="0">
      <w:lvlJc w:val="left"/>
      <w:lvlText w:val="(%1)"/>
      <w:numFmt w:val="lowerLetter"/>
      <w:start w:val="6"/>
    </w:lvl>
  </w:abstractNum>
  <w:abstractNum w:abstractNumId="63">
    <w:nsid w:val="3FA62ACA"/>
    <w:multiLevelType w:val="hybridMultilevel"/>
    <w:lvl w:ilvl="0">
      <w:lvlJc w:val="left"/>
      <w:lvlText w:val="(%1)"/>
      <w:numFmt w:val="decimal"/>
      <w:start w:val="1"/>
    </w:lvl>
  </w:abstractNum>
  <w:abstractNum w:abstractNumId="64">
    <w:nsid w:val="14FCE74E"/>
    <w:multiLevelType w:val="hybridMultilevel"/>
    <w:lvl w:ilvl="0">
      <w:lvlJc w:val="left"/>
      <w:lvlText w:val="(%1)"/>
      <w:numFmt w:val="lowerRoman"/>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3"/>
    </w:lvl>
  </w:abstractNum>
  <w:abstractNum w:abstractNumId="68">
    <w:nsid w:val="53299938"/>
    <w:multiLevelType w:val="hybridMultilevel"/>
    <w:lvl w:ilvl="0">
      <w:lvlJc w:val="left"/>
      <w:lvlText w:val="(%1)"/>
      <w:numFmt w:val="lowerLetter"/>
      <w:start w:val="3"/>
    </w:lvl>
  </w:abstractNum>
  <w:abstractNum w:abstractNumId="69">
    <w:nsid w:val="1FBFE8E0"/>
    <w:multiLevelType w:val="hybridMultilevel"/>
    <w:lvl w:ilvl="0">
      <w:lvlJc w:val="left"/>
      <w:lvlText w:val="%1"/>
      <w:numFmt w:val="lowerRoman"/>
      <w:start w:val="1"/>
    </w:lvl>
    <w:lvl w:ilvl="1">
      <w:lvlJc w:val="left"/>
      <w:lvlText w:val="(%2)"/>
      <w:numFmt w:val="lowerLetter"/>
      <w:start w:val="2"/>
    </w:lvl>
  </w:abstractNum>
  <w:abstractNum w:abstractNumId="70">
    <w:nsid w:val="5092CA79"/>
    <w:multiLevelType w:val="hybridMultilevel"/>
    <w:lvl w:ilvl="0">
      <w:lvlJc w:val="left"/>
      <w:lvlText w:val="(%1)"/>
      <w:numFmt w:val="lowerRoman"/>
      <w:start w:val="4"/>
    </w:lvl>
    <w:lvl w:ilvl="1">
      <w:lvlJc w:val="left"/>
      <w:lvlText w:val="%2"/>
      <w:numFmt w:val="lowerLetter"/>
      <w:start w:val="1"/>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lowerLetter"/>
      <w:start w:val="3"/>
    </w:lvl>
  </w:abstractNum>
  <w:abstractNum w:abstractNumId="73">
    <w:nsid w:val="288F1A34"/>
    <w:multiLevelType w:val="hybridMultilevel"/>
    <w:lvl w:ilvl="0">
      <w:lvlJc w:val="left"/>
      <w:lvlText w:val="(%1)"/>
      <w:numFmt w:val="lowerLetter"/>
      <w:start w:val="2"/>
    </w:lvl>
  </w:abstractNum>
  <w:abstractNum w:abstractNumId="74">
    <w:nsid w:val="2A155DBC"/>
    <w:multiLevelType w:val="hybridMultilevel"/>
    <w:lvl w:ilvl="0">
      <w:lvlJc w:val="left"/>
      <w:lvlText w:val="(%1)"/>
      <w:numFmt w:val="lowerLetter"/>
      <w:start w:val="2"/>
    </w:lvl>
  </w:abstractNum>
  <w:abstractNum w:abstractNumId="75">
    <w:nsid w:val="1D9F6E5F"/>
    <w:multiLevelType w:val="hybridMultilevel"/>
    <w:lvl w:ilvl="0">
      <w:lvlJc w:val="left"/>
      <w:lvlText w:val="(%1)"/>
      <w:numFmt w:val="lowerLetter"/>
      <w:start w:val="2"/>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lowerLetter"/>
      <w:start w:val="2"/>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Roman"/>
      <w:start w:val="1"/>
    </w:lvl>
  </w:abstractNum>
  <w:abstractNum w:abstractNumId="80">
    <w:nsid w:val="415E286C"/>
    <w:multiLevelType w:val="hybridMultilevel"/>
    <w:lvl w:ilvl="0">
      <w:lvlJc w:val="left"/>
      <w:lvlText w:val="(%1)"/>
      <w:numFmt w:val="lowerLetter"/>
      <w:start w:val="2"/>
    </w:lvl>
  </w:abstractNum>
  <w:abstractNum w:abstractNumId="81">
    <w:nsid w:val="7C58FD05"/>
    <w:multiLevelType w:val="hybridMultilevel"/>
    <w:lvl w:ilvl="0">
      <w:lvlJc w:val="left"/>
      <w:lvlText w:val="(%1)"/>
      <w:numFmt w:val="lowerLetter"/>
      <w:start w:val="2"/>
    </w:lvl>
  </w:abstractNum>
  <w:abstractNum w:abstractNumId="82">
    <w:nsid w:val="23D86AAC"/>
    <w:multiLevelType w:val="hybridMultilevel"/>
    <w:lvl w:ilvl="0">
      <w:lvlJc w:val="left"/>
      <w:lvlText w:val="(%1)"/>
      <w:numFmt w:val="lowerLetter"/>
      <w:start w:val="5"/>
    </w:lvl>
  </w:abstractNum>
  <w:abstractNum w:abstractNumId="83">
    <w:nsid w:val="45E6D486"/>
    <w:multiLevelType w:val="hybridMultilevel"/>
    <w:lvl w:ilvl="0">
      <w:lvlJc w:val="left"/>
      <w:lvlText w:val="%1"/>
      <w:numFmt w:val="lowerLetter"/>
      <w:start w:val="1"/>
    </w:lvl>
    <w:lvl w:ilvl="1">
      <w:lvlJc w:val="left"/>
      <w:lvlText w:val="(%2)"/>
      <w:numFmt w:val="lowerLetter"/>
      <w:start w:val="1"/>
    </w:lvl>
  </w:abstractNum>
  <w:abstractNum w:abstractNumId="84">
    <w:nsid w:val="5C10FE21"/>
    <w:multiLevelType w:val="hybridMultilevel"/>
    <w:lvl w:ilvl="0">
      <w:lvlJc w:val="left"/>
      <w:lvlText w:val="(%1)"/>
      <w:numFmt w:val="lowerLetter"/>
      <w:start w:val="9"/>
    </w:lvl>
    <w:lvl w:ilvl="1">
      <w:lvlJc w:val="left"/>
      <w:lvlText w:val="%2"/>
      <w:numFmt w:val="lowerLetter"/>
      <w:start w:val="1"/>
    </w:lvl>
  </w:abstractNum>
  <w:abstractNum w:abstractNumId="85">
    <w:nsid w:val="E7FFA2B"/>
    <w:multiLevelType w:val="hybridMultilevel"/>
    <w:lvl w:ilvl="0">
      <w:lvlJc w:val="left"/>
      <w:lvlText w:val="(%1)"/>
      <w:numFmt w:val="lowerLetter"/>
      <w:start w:val="61"/>
    </w:lvl>
    <w:lvl w:ilvl="1">
      <w:lvlJc w:val="left"/>
      <w:lvlText w:val="%2"/>
      <w:numFmt w:val="lowerLetter"/>
      <w:start w:val="1"/>
    </w:lvl>
  </w:abstractNum>
  <w:abstractNum w:abstractNumId="86">
    <w:nsid w:val="3C5991AA"/>
    <w:multiLevelType w:val="hybridMultilevel"/>
    <w:lvl w:ilvl="0">
      <w:lvlJc w:val="left"/>
      <w:lvlText w:val="(%1)"/>
      <w:numFmt w:val="lowerLetter"/>
      <w:start w:val="2"/>
    </w:lvl>
  </w:abstractNum>
  <w:abstractNum w:abstractNumId="87">
    <w:nsid w:val="4BD8591A"/>
    <w:multiLevelType w:val="hybridMultilevel"/>
    <w:lvl w:ilvl="0">
      <w:lvlJc w:val="left"/>
      <w:lvlText w:val="(%1)"/>
      <w:numFmt w:val="lowerLetter"/>
      <w:start w:val="6"/>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Letter"/>
      <w:start w:val="4"/>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3"/>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7"/>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0"/>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3"/>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7"/>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Roman"/>
      <w:start w:val="1"/>
    </w:lvl>
    <w:lvl w:ilvl="1">
      <w:lvlJc w:val="left"/>
      <w:lvlText w:val="(%2)"/>
      <w:numFmt w:val="lowerLetter"/>
      <w:start w:val="6"/>
    </w:lvl>
  </w:abstractNum>
  <w:abstractNum w:abstractNumId="106">
    <w:nsid w:val="34FD6B4F"/>
    <w:multiLevelType w:val="hybridMultilevel"/>
    <w:lvl w:ilvl="0">
      <w:lvlJc w:val="left"/>
      <w:lvlText w:val="(%1)"/>
      <w:numFmt w:val="lowerRoman"/>
      <w:start w:val="3"/>
    </w:lvl>
    <w:lvl w:ilvl="1">
      <w:lvlJc w:val="left"/>
      <w:lvlText w:val="%2"/>
      <w:numFmt w:val="lowerLetter"/>
      <w:start w:val="1"/>
    </w:lvl>
  </w:abstractNum>
  <w:abstractNum w:abstractNumId="107">
    <w:nsid w:val="5915FF32"/>
    <w:multiLevelType w:val="hybridMultilevel"/>
    <w:lvl w:ilvl="0">
      <w:lvlJc w:val="left"/>
      <w:lvlText w:val="(%1)"/>
      <w:numFmt w:val="lowerRoman"/>
      <w:start w:val="7"/>
    </w:lvl>
    <w:lvl w:ilvl="1">
      <w:lvlJc w:val="left"/>
      <w:lvlText w:val="%2"/>
      <w:numFmt w:val="lowerLetter"/>
      <w:start w:val="1"/>
    </w:lvl>
  </w:abstractNum>
  <w:abstractNum w:abstractNumId="108">
    <w:nsid w:val="56438D15"/>
    <w:multiLevelType w:val="hybridMultilevel"/>
    <w:lvl w:ilvl="0">
      <w:lvlJc w:val="left"/>
      <w:lvlText w:val="%1"/>
      <w:numFmt w:val="lowerLetter"/>
      <w:start w:val="1"/>
    </w:lvl>
    <w:lvl w:ilvl="1">
      <w:lvlJc w:val="left"/>
      <w:lvlText w:val="(%2)"/>
      <w:numFmt w:val="lowerLetter"/>
      <w:start w:val="8"/>
    </w:lvl>
  </w:abstractNum>
  <w:abstractNum w:abstractNumId="109">
    <w:nsid w:val="519E3149"/>
    <w:multiLevelType w:val="hybridMultilevel"/>
    <w:lvl w:ilvl="0">
      <w:lvlJc w:val="left"/>
      <w:lvlText w:val="(%1)"/>
      <w:numFmt w:val="lowerLetter"/>
      <w:start w:val="35"/>
    </w:lvl>
    <w:lvl w:ilvl="1">
      <w:lvlJc w:val="left"/>
      <w:lvlText w:val="(%2)"/>
      <w:numFmt w:val="lowerLetter"/>
      <w:start w:val="10"/>
    </w:lvl>
  </w:abstractNum>
  <w:abstractNum w:abstractNumId="110">
    <w:nsid w:val="2C6E4AFD"/>
    <w:multiLevelType w:val="hybridMultilevel"/>
    <w:lvl w:ilvl="0">
      <w:lvlJc w:val="left"/>
      <w:lvlText w:val="(%1)"/>
      <w:numFmt w:val="lowerRoman"/>
      <w:start w:val="2"/>
    </w:lvl>
  </w:abstractNum>
  <w:abstractNum w:abstractNumId="111">
    <w:nsid w:val="17A1B582"/>
    <w:multiLevelType w:val="hybridMultilevel"/>
    <w:lvl w:ilvl="0">
      <w:lvlJc w:val="left"/>
      <w:lvlText w:val="(%1)"/>
      <w:numFmt w:val="lowerRoman"/>
      <w:start w:val="1"/>
    </w:lvl>
  </w:abstractNum>
  <w:abstractNum w:abstractNumId="112">
    <w:nsid w:val="4DF72E4E"/>
    <w:multiLevelType w:val="hybridMultilevel"/>
    <w:lvl w:ilvl="0">
      <w:lvlJc w:val="left"/>
      <w:lvlText w:val="%1"/>
      <w:numFmt w:val="lowerLetter"/>
      <w:start w:val="1"/>
    </w:lvl>
    <w:lvl w:ilvl="1">
      <w:lvlJc w:val="left"/>
      <w:lvlText w:val="(%2)"/>
      <w:numFmt w:val="lowerLetter"/>
      <w:start w:val="2"/>
    </w:lvl>
  </w:abstractNum>
  <w:abstractNum w:abstractNumId="113">
    <w:nsid w:val="5046B5A9"/>
    <w:multiLevelType w:val="hybridMultilevel"/>
    <w:lvl w:ilvl="0">
      <w:lvlJc w:val="left"/>
      <w:lvlText w:val="(%1)"/>
      <w:numFmt w:val="lowerLetter"/>
      <w:start w:val="2"/>
    </w:lvl>
    <w:lvl w:ilvl="1">
      <w:lvlJc w:val="left"/>
      <w:lvlText w:val="%2"/>
      <w:numFmt w:val="lowerLetter"/>
      <w:start w:val="1"/>
    </w:lvl>
  </w:abstractNum>
  <w:abstractNum w:abstractNumId="114">
    <w:nsid w:val="5D888A08"/>
    <w:multiLevelType w:val="hybridMultilevel"/>
    <w:lvl w:ilvl="0">
      <w:lvlJc w:val="left"/>
      <w:lvlText w:val="(%1)"/>
      <w:numFmt w:val="lowerLetter"/>
      <w:start w:val="5"/>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upperLetter"/>
      <w:start w:val="1"/>
    </w:lvl>
  </w:abstractNum>
  <w:abstractNum w:abstractNumId="117">
    <w:nsid w:val="19E21BB2"/>
    <w:multiLevelType w:val="hybridMultilevel"/>
    <w:lvl w:ilvl="0">
      <w:lvlJc w:val="left"/>
      <w:lvlText w:val="(%1)"/>
      <w:numFmt w:val="upperLetter"/>
      <w:start w:val="2"/>
    </w:lvl>
  </w:abstractNum>
  <w:abstractNum w:abstractNumId="118">
    <w:nsid w:val="75E0858A"/>
    <w:multiLevelType w:val="hybridMultilevel"/>
    <w:lvl w:ilvl="0">
      <w:lvlJc w:val="left"/>
      <w:lvlText w:val="(%1)"/>
      <w:numFmt w:val="upperLetter"/>
      <w:start w:val="1"/>
    </w:lvl>
  </w:abstractNum>
  <w:abstractNum w:abstractNumId="119">
    <w:nsid w:val="57A61A29"/>
    <w:multiLevelType w:val="hybridMultilevel"/>
    <w:lvl w:ilvl="0">
      <w:lvlJc w:val="left"/>
      <w:lvlText w:val="(%1)"/>
      <w:numFmt w:val="lowerRoman"/>
      <w:start w:val="3"/>
    </w:lvl>
  </w:abstractNum>
  <w:abstractNum w:abstractNumId="120">
    <w:nsid w:val="5399C654"/>
    <w:multiLevelType w:val="hybridMultilevel"/>
    <w:lvl w:ilvl="0">
      <w:lvlJc w:val="left"/>
      <w:lvlText w:val="(%1)"/>
      <w:numFmt w:val="lowerRoman"/>
      <w:start w:val="4"/>
    </w:lvl>
  </w:abstractNum>
  <w:abstractNum w:abstractNumId="121">
    <w:nsid w:val="20EE1348"/>
    <w:multiLevelType w:val="hybridMultilevel"/>
    <w:lvl w:ilvl="0">
      <w:lvlJc w:val="left"/>
      <w:lvlText w:val="(%1)"/>
      <w:numFmt w:val="lowerRoman"/>
      <w:start w:val="2"/>
    </w:lvl>
  </w:abstractNum>
  <w:abstractNum w:abstractNumId="122">
    <w:nsid w:val="4427069A"/>
    <w:multiLevelType w:val="hybridMultilevel"/>
    <w:lvl w:ilvl="0">
      <w:lvlJc w:val="left"/>
      <w:lvlText w:val="%1"/>
      <w:numFmt w:val="lowerRoman"/>
      <w:start w:val="1"/>
    </w:lvl>
    <w:lvl w:ilvl="1">
      <w:lvlJc w:val="left"/>
      <w:lvlText w:val="(%2)"/>
      <w:numFmt w:val="lowerLetter"/>
      <w:start w:val="4"/>
    </w:lvl>
  </w:abstractNum>
  <w:abstractNum w:abstractNumId="123">
    <w:nsid w:val="B37E80A"/>
    <w:multiLevelType w:val="hybridMultilevel"/>
    <w:lvl w:ilvl="0">
      <w:lvlJc w:val="left"/>
      <w:lvlText w:val="(%1)"/>
      <w:numFmt w:val="lowerRoman"/>
      <w:start w:val="7"/>
    </w:lvl>
    <w:lvl w:ilvl="1">
      <w:lvlJc w:val="left"/>
      <w:lvlText w:val="%2"/>
      <w:numFmt w:val="lowerLetter"/>
      <w:start w:val="1"/>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2"/>
    </w:lvl>
  </w:abstractNum>
  <w:abstractNum w:abstractNumId="127">
    <w:nsid w:val="BFFAE18"/>
    <w:multiLevelType w:val="hybridMultilevel"/>
    <w:lvl w:ilvl="0">
      <w:lvlJc w:val="left"/>
      <w:lvlText w:val="%1."/>
      <w:numFmt w:val="decimal"/>
      <w:start w:val="1"/>
    </w:lvl>
    <w:lvl w:ilvl="1">
      <w:lvlJc w:val="left"/>
      <w:lvlText w:val="(%2)"/>
      <w:numFmt w:val="lowerLetter"/>
      <w:start w:val="1"/>
    </w:lvl>
  </w:abstractNum>
  <w:abstractNum w:abstractNumId="128">
    <w:nsid w:val="E3E47A8"/>
    <w:multiLevelType w:val="hybridMultilevel"/>
    <w:lvl w:ilvl="0">
      <w:lvlJc w:val="left"/>
      <w:lvlText w:val="(%1)"/>
      <w:numFmt w:val="lowerRoman"/>
      <w:start w:val="2"/>
    </w:lvl>
  </w:abstractNum>
  <w:abstractNum w:abstractNumId="129">
    <w:nsid w:val="2E48F044"/>
    <w:multiLevelType w:val="hybridMultilevel"/>
    <w:lvl w:ilvl="0">
      <w:lvlJc w:val="left"/>
      <w:lvlText w:val="(%1)"/>
      <w:numFmt w:val="lowerLetter"/>
      <w:start w:val="5"/>
    </w:lvl>
  </w:abstractNum>
  <w:abstractNum w:abstractNumId="130">
    <w:nsid w:val="49D0FEAC"/>
    <w:multiLevelType w:val="hybridMultilevel"/>
    <w:lvl w:ilvl="0">
      <w:lvlJc w:val="left"/>
      <w:lvlText w:val="%1"/>
      <w:numFmt w:val="decimal"/>
      <w:start w:val="1"/>
    </w:lvl>
    <w:lvl w:ilvl="1">
      <w:lvlJc w:val="left"/>
      <w:lvlText w:val="(%2)"/>
      <w:numFmt w:val="lowerLetter"/>
      <w:start w:val="6"/>
    </w:lvl>
  </w:abstractNum>
  <w:abstractNum w:abstractNumId="131">
    <w:nsid w:val="4BEE5A5B"/>
    <w:multiLevelType w:val="hybridMultilevel"/>
    <w:lvl w:ilvl="0">
      <w:lvlJc w:val="left"/>
      <w:lvlText w:val="%1."/>
      <w:numFmt w:val="decimal"/>
      <w:start w:val="2"/>
    </w:lvl>
    <w:lvl w:ilvl="1">
      <w:lvlJc w:val="left"/>
      <w:lvlText w:val="%2"/>
      <w:numFmt w:val="lowerLetter"/>
      <w:start w:val="1"/>
    </w:lvl>
  </w:abstractNum>
  <w:abstractNum w:abstractNumId="132">
    <w:nsid w:val="5551B9F3"/>
    <w:multiLevelType w:val="hybridMultilevel"/>
    <w:lvl w:ilvl="0">
      <w:lvlJc w:val="left"/>
      <w:lvlText w:val="%1."/>
      <w:numFmt w:val="decimal"/>
      <w:start w:val="8"/>
    </w:lvl>
    <w:lvl w:ilvl="1">
      <w:lvlJc w:val="left"/>
      <w:lvlText w:val="(%2)"/>
      <w:numFmt w:val="lowerLetter"/>
      <w:start w:val="1"/>
    </w:lvl>
  </w:abstractNum>
  <w:abstractNum w:abstractNumId="133">
    <w:nsid w:val="24F6AB8E"/>
    <w:multiLevelType w:val="hybridMultilevel"/>
    <w:lvl w:ilvl="0">
      <w:lvlJc w:val="left"/>
      <w:lvlText w:val="%1"/>
      <w:numFmt w:val="decimal"/>
      <w:start w:val="1"/>
    </w:lvl>
    <w:lvl w:ilvl="1">
      <w:lvlJc w:val="left"/>
      <w:lvlText w:val="(%2)"/>
      <w:numFmt w:val="lowerLetter"/>
      <w:start w:val="3"/>
    </w:lvl>
  </w:abstractNum>
  <w:abstractNum w:abstractNumId="134">
    <w:nsid w:val="634C574C"/>
    <w:multiLevelType w:val="hybridMultilevel"/>
    <w:lvl w:ilvl="0">
      <w:lvlJc w:val="left"/>
      <w:lvlText w:val="%1."/>
      <w:numFmt w:val="decimal"/>
      <w:start w:val="9"/>
    </w:lvl>
    <w:lvl w:ilvl="1">
      <w:lvlJc w:val="left"/>
      <w:lvlText w:val="%2"/>
      <w:numFmt w:val="lowerLetter"/>
      <w:start w:val="1"/>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lowerLetter"/>
      <w:start w:val="3"/>
    </w:lvl>
  </w:abstractNum>
  <w:abstractNum w:abstractNumId="137">
    <w:nsid w:val="1849C29B"/>
    <w:multiLevelType w:val="hybridMultilevel"/>
    <w:lvl w:ilvl="0">
      <w:lvlJc w:val="left"/>
      <w:lvlText w:val="(%1)"/>
      <w:numFmt w:val="lowerLetter"/>
      <w:start w:val="5"/>
    </w:lvl>
  </w:abstractNum>
  <w:abstractNum w:abstractNumId="138">
    <w:nsid w:val="7DFF9D09"/>
    <w:multiLevelType w:val="hybridMultilevel"/>
    <w:lvl w:ilvl="0">
      <w:lvlJc w:val="left"/>
      <w:lvlText w:val="(%1)"/>
      <w:numFmt w:val="lowerLetter"/>
      <w:start w:val="1"/>
    </w:lvl>
    <w:lvl w:ilvl="1">
      <w:lvlJc w:val="left"/>
      <w:lvlText w:val="•"/>
      <w:numFmt w:val="bullet"/>
      <w:start w:val="1"/>
    </w:lvl>
  </w:abstractNum>
  <w:abstractNum w:abstractNumId="139">
    <w:nsid w:val="754342"/>
    <w:multiLevelType w:val="hybridMultilevel"/>
    <w:lvl w:ilvl="0">
      <w:lvlJc w:val="left"/>
      <w:lvlText w:val="(%1)"/>
      <w:numFmt w:val="lowerLetter"/>
      <w:start w:val="5"/>
    </w:lvl>
    <w:lvl w:ilvl="1">
      <w:lvlJc w:val="left"/>
      <w:lvlText w:val="•"/>
      <w:numFmt w:val="bullet"/>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2019-12-15T09:48:19Z</dcterms:created>
  <dcterms:modified xsi:type="dcterms:W3CDTF">2019-12-15T09:48:19Z</dcterms:modified>
</cp:coreProperties>
</file>