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56515</wp:posOffset>
            </wp:positionV>
            <wp:extent cx="1672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77470</wp:posOffset>
            </wp:positionV>
            <wp:extent cx="1672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56"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(Mark One)</w:t>
      </w:r>
    </w:p>
    <w:p>
      <w:pPr>
        <w:spacing w:after="0" w:line="8"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63" w:lineRule="exact"/>
        <w:rPr>
          <w:rFonts w:ascii="MS PGothic" w:cs="MS PGothic" w:eastAsia="MS PGothic" w:hAnsi="MS PGothic"/>
          <w:sz w:val="16"/>
          <w:szCs w:val="16"/>
          <w:color w:val="auto"/>
          <w:highlight w:val="black"/>
        </w:rPr>
      </w:pPr>
    </w:p>
    <w:p>
      <w:pPr>
        <w:ind w:left="4360"/>
        <w:spacing w:after="0"/>
        <w:rPr>
          <w:rFonts w:ascii="MS PGothic" w:cs="MS PGothic" w:eastAsia="MS PGothic" w:hAnsi="MS PGothic"/>
          <w:sz w:val="16"/>
          <w:szCs w:val="16"/>
          <w:color w:val="auto"/>
          <w:highlight w:val="black"/>
        </w:rPr>
      </w:pPr>
      <w:r>
        <w:rPr>
          <w:rFonts w:ascii="Arial" w:cs="Arial" w:eastAsia="Arial" w:hAnsi="Arial"/>
          <w:sz w:val="14"/>
          <w:szCs w:val="14"/>
          <w:b w:val="1"/>
          <w:bCs w:val="1"/>
          <w:color w:val="auto"/>
        </w:rPr>
        <w:t>For the fiscal year ended December 31, 2019</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0"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61" w:lineRule="exact"/>
        <w:rPr>
          <w:sz w:val="24"/>
          <w:szCs w:val="24"/>
          <w:color w:val="auto"/>
        </w:rPr>
      </w:pPr>
    </w:p>
    <w:tbl>
      <w:tblPr>
        <w:tblLayout w:type="fixed"/>
        <w:tblInd w:w="4220" w:type="dxa"/>
        <w:tblCellMar>
          <w:top w:w="0" w:type="dxa"/>
          <w:left w:w="0" w:type="dxa"/>
          <w:bottom w:w="0" w:type="dxa"/>
          <w:right w:w="0" w:type="dxa"/>
        </w:tblCellMar>
      </w:tblPr>
      <w:tr>
        <w:trPr>
          <w:trHeight w:val="161"/>
        </w:trPr>
        <w:tc>
          <w:tcPr>
            <w:tcW w:w="2760" w:type="dxa"/>
            <w:vAlign w:val="bottom"/>
            <w:gridSpan w:val="2"/>
          </w:tcPr>
          <w:p>
            <w:pPr>
              <w:spacing w:after="0"/>
              <w:rPr>
                <w:sz w:val="20"/>
                <w:szCs w:val="20"/>
                <w:color w:val="auto"/>
              </w:rPr>
            </w:pPr>
            <w:r>
              <w:rPr>
                <w:rFonts w:ascii="Arial" w:cs="Arial" w:eastAsia="Arial" w:hAnsi="Arial"/>
                <w:sz w:val="14"/>
                <w:szCs w:val="14"/>
                <w:b w:val="1"/>
                <w:bCs w:val="1"/>
                <w:color w:val="auto"/>
              </w:rPr>
              <w:t>For the transition period from</w:t>
            </w: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to</w:t>
            </w:r>
          </w:p>
        </w:tc>
      </w:tr>
      <w:tr>
        <w:trPr>
          <w:trHeight w:val="173"/>
        </w:trPr>
        <w:tc>
          <w:tcPr>
            <w:tcW w:w="1900" w:type="dxa"/>
            <w:vAlign w:val="bottom"/>
          </w:tcPr>
          <w:p>
            <w:pPr>
              <w:jc w:val="right"/>
              <w:spacing w:after="0"/>
              <w:rPr>
                <w:sz w:val="20"/>
                <w:szCs w:val="20"/>
                <w:color w:val="auto"/>
              </w:rPr>
            </w:pPr>
            <w:r>
              <w:rPr>
                <w:rFonts w:ascii="Arial" w:cs="Arial" w:eastAsia="Arial" w:hAnsi="Arial"/>
                <w:sz w:val="14"/>
                <w:szCs w:val="14"/>
                <w:b w:val="1"/>
                <w:bCs w:val="1"/>
                <w:color w:val="auto"/>
              </w:rPr>
              <w:t>333-126751</w:t>
            </w:r>
          </w:p>
        </w:tc>
        <w:tc>
          <w:tcPr>
            <w:tcW w:w="8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r>
      <w:tr>
        <w:trPr>
          <w:trHeight w:val="186"/>
        </w:trPr>
        <w:tc>
          <w:tcPr>
            <w:tcW w:w="2760" w:type="dxa"/>
            <w:vAlign w:val="bottom"/>
            <w:gridSpan w:val="2"/>
          </w:tcPr>
          <w:p>
            <w:pPr>
              <w:jc w:val="center"/>
              <w:ind w:left="148"/>
              <w:spacing w:after="0"/>
              <w:rPr>
                <w:sz w:val="20"/>
                <w:szCs w:val="20"/>
                <w:color w:val="auto"/>
              </w:rPr>
            </w:pPr>
            <w:r>
              <w:rPr>
                <w:rFonts w:ascii="Arial" w:cs="Arial" w:eastAsia="Arial" w:hAnsi="Arial"/>
                <w:sz w:val="14"/>
                <w:szCs w:val="14"/>
                <w:b w:val="1"/>
                <w:bCs w:val="1"/>
                <w:color w:val="auto"/>
                <w:w w:val="93"/>
              </w:rPr>
              <w:t>(Commission File Number)</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41910</wp:posOffset>
            </wp:positionV>
            <wp:extent cx="1672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LAZARD GROUP LLC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64135</wp:posOffset>
            </wp:positionV>
            <wp:extent cx="1672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40" w:lineRule="exact"/>
        <w:rPr>
          <w:sz w:val="24"/>
          <w:szCs w:val="24"/>
          <w:color w:val="auto"/>
        </w:rPr>
      </w:pPr>
    </w:p>
    <w:tbl>
      <w:tblPr>
        <w:tblLayout w:type="fixed"/>
        <w:tblInd w:w="10" w:type="dxa"/>
        <w:tblCellMar>
          <w:top w:w="0" w:type="dxa"/>
          <w:left w:w="0" w:type="dxa"/>
          <w:bottom w:w="0" w:type="dxa"/>
          <w:right w:w="0" w:type="dxa"/>
        </w:tblCellMar>
      </w:tblPr>
      <w:tr>
        <w:trPr>
          <w:trHeight w:val="163"/>
        </w:trPr>
        <w:tc>
          <w:tcPr>
            <w:tcW w:w="4140" w:type="dxa"/>
            <w:vAlign w:val="bottom"/>
            <w:gridSpan w:val="2"/>
          </w:tcPr>
          <w:p>
            <w:pPr>
              <w:jc w:val="center"/>
              <w:ind w:left="1531"/>
              <w:spacing w:after="0"/>
              <w:rPr>
                <w:sz w:val="20"/>
                <w:szCs w:val="20"/>
                <w:color w:val="auto"/>
              </w:rPr>
            </w:pPr>
            <w:r>
              <w:rPr>
                <w:rFonts w:ascii="Arial" w:cs="Arial" w:eastAsia="Arial" w:hAnsi="Arial"/>
                <w:sz w:val="14"/>
                <w:szCs w:val="14"/>
                <w:b w:val="1"/>
                <w:bCs w:val="1"/>
                <w:color w:val="auto"/>
                <w:w w:val="94"/>
              </w:rPr>
              <w:t>Delaware</w:t>
            </w:r>
          </w:p>
        </w:tc>
        <w:tc>
          <w:tcPr>
            <w:tcW w:w="2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40" w:type="dxa"/>
            <w:vAlign w:val="bottom"/>
          </w:tcPr>
          <w:p>
            <w:pPr>
              <w:jc w:val="right"/>
              <w:ind w:right="2368"/>
              <w:spacing w:after="0"/>
              <w:rPr>
                <w:sz w:val="20"/>
                <w:szCs w:val="20"/>
                <w:color w:val="auto"/>
              </w:rPr>
            </w:pPr>
            <w:r>
              <w:rPr>
                <w:rFonts w:ascii="Arial" w:cs="Arial" w:eastAsia="Arial" w:hAnsi="Arial"/>
                <w:sz w:val="14"/>
                <w:szCs w:val="14"/>
                <w:b w:val="1"/>
                <w:bCs w:val="1"/>
                <w:color w:val="auto"/>
              </w:rPr>
              <w:t>51-0278097</w:t>
            </w:r>
          </w:p>
        </w:tc>
        <w:tc>
          <w:tcPr>
            <w:tcW w:w="0" w:type="dxa"/>
            <w:vAlign w:val="bottom"/>
          </w:tcPr>
          <w:p>
            <w:pPr>
              <w:spacing w:after="0"/>
              <w:rPr>
                <w:sz w:val="1"/>
                <w:szCs w:val="1"/>
                <w:color w:val="auto"/>
              </w:rPr>
            </w:pPr>
          </w:p>
        </w:tc>
      </w:tr>
      <w:tr>
        <w:trPr>
          <w:trHeight w:val="135"/>
        </w:trPr>
        <w:tc>
          <w:tcPr>
            <w:tcW w:w="4140" w:type="dxa"/>
            <w:vAlign w:val="bottom"/>
            <w:gridSpan w:val="2"/>
          </w:tcPr>
          <w:p>
            <w:pPr>
              <w:jc w:val="center"/>
              <w:ind w:left="1511"/>
              <w:spacing w:after="0" w:line="135" w:lineRule="exact"/>
              <w:rPr>
                <w:sz w:val="20"/>
                <w:szCs w:val="20"/>
                <w:color w:val="auto"/>
              </w:rPr>
            </w:pPr>
            <w:r>
              <w:rPr>
                <w:rFonts w:ascii="Arial" w:cs="Arial" w:eastAsia="Arial" w:hAnsi="Arial"/>
                <w:sz w:val="12"/>
                <w:szCs w:val="12"/>
                <w:b w:val="1"/>
                <w:bCs w:val="1"/>
                <w:color w:val="auto"/>
                <w:w w:val="89"/>
              </w:rPr>
              <w:t>(State or Other Jurisdiction of Incorporation</w:t>
            </w:r>
          </w:p>
        </w:tc>
        <w:tc>
          <w:tcPr>
            <w:tcW w:w="26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780" w:type="dxa"/>
            <w:vAlign w:val="bottom"/>
            <w:gridSpan w:val="3"/>
          </w:tcPr>
          <w:p>
            <w:pPr>
              <w:jc w:val="right"/>
              <w:ind w:right="1888"/>
              <w:spacing w:after="0" w:line="135" w:lineRule="exact"/>
              <w:rPr>
                <w:sz w:val="20"/>
                <w:szCs w:val="20"/>
                <w:color w:val="auto"/>
              </w:rPr>
            </w:pPr>
            <w:r>
              <w:rPr>
                <w:rFonts w:ascii="Arial" w:cs="Arial" w:eastAsia="Arial" w:hAnsi="Arial"/>
                <w:sz w:val="12"/>
                <w:szCs w:val="12"/>
                <w:b w:val="1"/>
                <w:bCs w:val="1"/>
                <w:color w:val="auto"/>
                <w:w w:val="91"/>
              </w:rPr>
              <w:t>(I.R.S. Employer Identification No.)</w:t>
            </w:r>
          </w:p>
        </w:tc>
        <w:tc>
          <w:tcPr>
            <w:tcW w:w="0" w:type="dxa"/>
            <w:vAlign w:val="bottom"/>
          </w:tcPr>
          <w:p>
            <w:pPr>
              <w:spacing w:after="0"/>
              <w:rPr>
                <w:sz w:val="1"/>
                <w:szCs w:val="1"/>
                <w:color w:val="auto"/>
              </w:rPr>
            </w:pPr>
          </w:p>
        </w:tc>
      </w:tr>
      <w:tr>
        <w:trPr>
          <w:trHeight w:val="150"/>
        </w:trPr>
        <w:tc>
          <w:tcPr>
            <w:tcW w:w="4140" w:type="dxa"/>
            <w:vAlign w:val="bottom"/>
            <w:gridSpan w:val="2"/>
          </w:tcPr>
          <w:p>
            <w:pPr>
              <w:jc w:val="center"/>
              <w:ind w:left="1511"/>
              <w:spacing w:after="0"/>
              <w:rPr>
                <w:sz w:val="20"/>
                <w:szCs w:val="20"/>
                <w:color w:val="auto"/>
              </w:rPr>
            </w:pPr>
            <w:r>
              <w:rPr>
                <w:rFonts w:ascii="Arial" w:cs="Arial" w:eastAsia="Arial" w:hAnsi="Arial"/>
                <w:sz w:val="12"/>
                <w:szCs w:val="12"/>
                <w:b w:val="1"/>
                <w:bCs w:val="1"/>
                <w:color w:val="auto"/>
                <w:w w:val="90"/>
              </w:rPr>
              <w:t>or Organization)</w:t>
            </w:r>
          </w:p>
        </w:tc>
        <w:tc>
          <w:tcPr>
            <w:tcW w:w="26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30 Rockefeller Plaza</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New York, NY 10112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Registrant’s telephone number: (212) 632-6000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140" w:type="dxa"/>
            <w:vAlign w:val="bottom"/>
            <w:gridSpan w:val="2"/>
            <w:vMerge w:val="restart"/>
          </w:tcPr>
          <w:p>
            <w:pPr>
              <w:ind w:left="600"/>
              <w:spacing w:after="0"/>
              <w:rPr>
                <w:sz w:val="20"/>
                <w:szCs w:val="20"/>
                <w:color w:val="auto"/>
              </w:rPr>
            </w:pPr>
            <w:r>
              <w:rPr>
                <w:rFonts w:ascii="Arial" w:cs="Arial" w:eastAsia="Arial" w:hAnsi="Arial"/>
                <w:sz w:val="14"/>
                <w:szCs w:val="14"/>
                <w:color w:val="auto"/>
                <w:w w:val="97"/>
              </w:rPr>
              <w:t>Securities Registered Pursuant to Section 12(b) of the Act:</w:t>
            </w:r>
          </w:p>
        </w:tc>
        <w:tc>
          <w:tcPr>
            <w:tcW w:w="260" w:type="dxa"/>
            <w:vAlign w:val="bottom"/>
          </w:tcPr>
          <w:p>
            <w:pPr>
              <w:spacing w:after="0"/>
              <w:rPr>
                <w:sz w:val="6"/>
                <w:szCs w:val="6"/>
                <w:color w:val="auto"/>
              </w:rPr>
            </w:pPr>
          </w:p>
        </w:tc>
        <w:tc>
          <w:tcPr>
            <w:tcW w:w="2640" w:type="dxa"/>
            <w:vAlign w:val="bottom"/>
            <w:tcBorders>
              <w:bottom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4140" w:type="dxa"/>
            <w:vAlign w:val="bottom"/>
            <w:gridSpan w:val="2"/>
            <w:vMerge w:val="continue"/>
          </w:tcPr>
          <w:p>
            <w:pPr>
              <w:spacing w:after="0"/>
              <w:rPr>
                <w:sz w:val="23"/>
                <w:szCs w:val="23"/>
                <w:color w:val="auto"/>
              </w:rPr>
            </w:pPr>
          </w:p>
        </w:tc>
        <w:tc>
          <w:tcPr>
            <w:tcW w:w="26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7"/>
        </w:trPr>
        <w:tc>
          <w:tcPr>
            <w:tcW w:w="38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060" w:type="dxa"/>
            <w:vAlign w:val="bottom"/>
            <w:tcBorders>
              <w:bottom w:val="single" w:sz="8" w:color="auto"/>
            </w:tcBorders>
            <w:gridSpan w:val="2"/>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3820" w:type="dxa"/>
            <w:vAlign w:val="bottom"/>
            <w:tcBorders>
              <w:left w:val="single" w:sz="8" w:color="auto"/>
              <w:bottom w:val="single" w:sz="8" w:color="auto"/>
              <w:right w:val="single" w:sz="8" w:color="auto"/>
            </w:tcBorders>
          </w:tcPr>
          <w:p>
            <w:pPr>
              <w:ind w:left="1400"/>
              <w:spacing w:after="0"/>
              <w:rPr>
                <w:sz w:val="20"/>
                <w:szCs w:val="20"/>
                <w:color w:val="auto"/>
              </w:rPr>
            </w:pPr>
            <w:r>
              <w:rPr>
                <w:rFonts w:ascii="Arial" w:cs="Arial" w:eastAsia="Arial" w:hAnsi="Arial"/>
                <w:sz w:val="14"/>
                <w:szCs w:val="14"/>
                <w:color w:val="auto"/>
              </w:rPr>
              <w:t>Title of each class</w:t>
            </w:r>
          </w:p>
        </w:tc>
        <w:tc>
          <w:tcPr>
            <w:tcW w:w="3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color w:val="auto"/>
                <w:w w:val="94"/>
              </w:rPr>
              <w:t>Trading Symbol(s)</w:t>
            </w:r>
          </w:p>
        </w:tc>
        <w:tc>
          <w:tcPr>
            <w:tcW w:w="18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440" w:type="dxa"/>
            <w:vAlign w:val="bottom"/>
            <w:tcBorders>
              <w:bottom w:val="single" w:sz="8" w:color="auto"/>
              <w:right w:val="single" w:sz="8" w:color="auto"/>
            </w:tcBorders>
          </w:tcPr>
          <w:p>
            <w:pPr>
              <w:jc w:val="center"/>
              <w:ind w:right="288"/>
              <w:spacing w:after="0"/>
              <w:rPr>
                <w:sz w:val="20"/>
                <w:szCs w:val="20"/>
                <w:color w:val="auto"/>
              </w:rPr>
            </w:pPr>
            <w:r>
              <w:rPr>
                <w:rFonts w:ascii="Arial" w:cs="Arial" w:eastAsia="Arial" w:hAnsi="Arial"/>
                <w:sz w:val="14"/>
                <w:szCs w:val="14"/>
                <w:color w:val="auto"/>
                <w:w w:val="92"/>
              </w:rPr>
              <w:t>Name of each exchange on which registered</w:t>
            </w:r>
          </w:p>
        </w:tc>
        <w:tc>
          <w:tcPr>
            <w:tcW w:w="0" w:type="dxa"/>
            <w:vAlign w:val="bottom"/>
          </w:tcPr>
          <w:p>
            <w:pPr>
              <w:spacing w:after="0"/>
              <w:rPr>
                <w:sz w:val="1"/>
                <w:szCs w:val="1"/>
                <w:color w:val="auto"/>
              </w:rPr>
            </w:pPr>
          </w:p>
        </w:tc>
      </w:tr>
      <w:tr>
        <w:trPr>
          <w:trHeight w:val="196"/>
        </w:trPr>
        <w:tc>
          <w:tcPr>
            <w:tcW w:w="3820" w:type="dxa"/>
            <w:vAlign w:val="bottom"/>
            <w:tcBorders>
              <w:left w:val="single" w:sz="8" w:color="auto"/>
              <w:bottom w:val="single" w:sz="8" w:color="auto"/>
              <w:right w:val="single" w:sz="8" w:color="auto"/>
            </w:tcBorders>
          </w:tcPr>
          <w:p>
            <w:pPr>
              <w:ind w:left="1760"/>
              <w:spacing w:after="0"/>
              <w:rPr>
                <w:sz w:val="20"/>
                <w:szCs w:val="20"/>
                <w:color w:val="auto"/>
              </w:rPr>
            </w:pPr>
            <w:r>
              <w:rPr>
                <w:rFonts w:ascii="Arial" w:cs="Arial" w:eastAsia="Arial" w:hAnsi="Arial"/>
                <w:sz w:val="14"/>
                <w:szCs w:val="14"/>
                <w:color w:val="auto"/>
              </w:rPr>
              <w:t>None</w:t>
            </w:r>
          </w:p>
        </w:tc>
        <w:tc>
          <w:tcPr>
            <w:tcW w:w="3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color w:val="auto"/>
                <w:w w:val="89"/>
              </w:rPr>
              <w:t>None</w:t>
            </w:r>
          </w:p>
        </w:tc>
        <w:tc>
          <w:tcPr>
            <w:tcW w:w="18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440" w:type="dxa"/>
            <w:vAlign w:val="bottom"/>
            <w:tcBorders>
              <w:bottom w:val="single" w:sz="8" w:color="auto"/>
              <w:right w:val="single" w:sz="8" w:color="auto"/>
            </w:tcBorders>
          </w:tcPr>
          <w:p>
            <w:pPr>
              <w:jc w:val="center"/>
              <w:ind w:right="288"/>
              <w:spacing w:after="0"/>
              <w:rPr>
                <w:sz w:val="20"/>
                <w:szCs w:val="20"/>
                <w:color w:val="auto"/>
              </w:rPr>
            </w:pPr>
            <w:r>
              <w:rPr>
                <w:rFonts w:ascii="Arial" w:cs="Arial" w:eastAsia="Arial" w:hAnsi="Arial"/>
                <w:sz w:val="14"/>
                <w:szCs w:val="14"/>
                <w:color w:val="auto"/>
                <w:w w:val="95"/>
              </w:rPr>
              <w:t>None</w:t>
            </w:r>
          </w:p>
        </w:tc>
        <w:tc>
          <w:tcPr>
            <w:tcW w:w="0" w:type="dxa"/>
            <w:vAlign w:val="bottom"/>
          </w:tcPr>
          <w:p>
            <w:pPr>
              <w:spacing w:after="0"/>
              <w:rPr>
                <w:sz w:val="1"/>
                <w:szCs w:val="1"/>
                <w:color w:val="auto"/>
              </w:rPr>
            </w:pPr>
          </w:p>
        </w:tc>
      </w:tr>
      <w:tr>
        <w:trPr>
          <w:trHeight w:val="279"/>
        </w:trPr>
        <w:tc>
          <w:tcPr>
            <w:tcW w:w="7460" w:type="dxa"/>
            <w:vAlign w:val="bottom"/>
            <w:gridSpan w:val="5"/>
          </w:tcPr>
          <w:p>
            <w:pPr>
              <w:ind w:left="600"/>
              <w:spacing w:after="0"/>
              <w:rPr>
                <w:sz w:val="20"/>
                <w:szCs w:val="20"/>
                <w:color w:val="auto"/>
              </w:rPr>
            </w:pPr>
            <w:r>
              <w:rPr>
                <w:rFonts w:ascii="Arial" w:cs="Arial" w:eastAsia="Arial" w:hAnsi="Arial"/>
                <w:sz w:val="14"/>
                <w:szCs w:val="14"/>
                <w:color w:val="auto"/>
              </w:rPr>
              <w:t>Securities Registered Pursuant to Section 12(g) of the Act: None</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7460" w:type="dxa"/>
            <w:vAlign w:val="bottom"/>
            <w:gridSpan w:val="5"/>
          </w:tcPr>
          <w:p>
            <w:pPr>
              <w:ind w:left="600"/>
              <w:spacing w:after="0"/>
              <w:rPr>
                <w:sz w:val="20"/>
                <w:szCs w:val="20"/>
                <w:color w:val="auto"/>
              </w:rPr>
            </w:pPr>
            <w:r>
              <w:rPr>
                <w:rFonts w:ascii="Arial" w:cs="Arial" w:eastAsia="Arial" w:hAnsi="Arial"/>
                <w:sz w:val="14"/>
                <w:szCs w:val="14"/>
                <w:color w:val="auto"/>
                <w:w w:val="93"/>
              </w:rPr>
              <w:t>Indicate by check mark if the Registrant is a well-known seasoned issuer, as defined in Rule 405 of the Securities Act.</w:t>
            </w:r>
          </w:p>
        </w:tc>
        <w:tc>
          <w:tcPr>
            <w:tcW w:w="300" w:type="dxa"/>
            <w:vAlign w:val="bottom"/>
            <w:gridSpan w:val="2"/>
          </w:tcPr>
          <w:p>
            <w:pPr>
              <w:ind w:left="80"/>
              <w:spacing w:after="0"/>
              <w:rPr>
                <w:sz w:val="20"/>
                <w:szCs w:val="20"/>
                <w:color w:val="auto"/>
              </w:rPr>
            </w:pPr>
            <w:r>
              <w:rPr>
                <w:rFonts w:ascii="Arial" w:cs="Arial" w:eastAsia="Arial" w:hAnsi="Arial"/>
                <w:sz w:val="14"/>
                <w:szCs w:val="14"/>
                <w:color w:val="auto"/>
                <w:w w:val="82"/>
              </w:rPr>
              <w:t>Yes</w:t>
            </w:r>
          </w:p>
        </w:tc>
        <w:tc>
          <w:tcPr>
            <w:tcW w:w="220" w:type="dxa"/>
            <w:vAlign w:val="bottom"/>
          </w:tcPr>
          <w:p>
            <w:pPr>
              <w:ind w:left="60"/>
              <w:spacing w:after="0" w:line="141" w:lineRule="exact"/>
              <w:rPr>
                <w:sz w:val="20"/>
                <w:szCs w:val="20"/>
                <w:color w:val="auto"/>
              </w:rPr>
            </w:pPr>
            <w:r>
              <w:rPr>
                <w:rFonts w:ascii="MS PGothic" w:cs="MS PGothic" w:eastAsia="MS PGothic" w:hAnsi="MS PGothic"/>
                <w:sz w:val="14"/>
                <w:szCs w:val="14"/>
                <w:color w:val="auto"/>
                <w:w w:val="99"/>
              </w:rPr>
              <w:t>☒</w:t>
            </w:r>
          </w:p>
        </w:tc>
        <w:tc>
          <w:tcPr>
            <w:tcW w:w="3440" w:type="dxa"/>
            <w:vAlign w:val="bottom"/>
          </w:tcPr>
          <w:p>
            <w:pPr>
              <w:jc w:val="right"/>
              <w:ind w:right="2868"/>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30"/>
        </w:trPr>
        <w:tc>
          <w:tcPr>
            <w:tcW w:w="7460" w:type="dxa"/>
            <w:vAlign w:val="bottom"/>
            <w:gridSpan w:val="5"/>
          </w:tcPr>
          <w:p>
            <w:pPr>
              <w:ind w:left="600"/>
              <w:spacing w:after="0"/>
              <w:rPr>
                <w:sz w:val="20"/>
                <w:szCs w:val="20"/>
                <w:color w:val="auto"/>
              </w:rPr>
            </w:pPr>
            <w:r>
              <w:rPr>
                <w:rFonts w:ascii="Arial" w:cs="Arial" w:eastAsia="Arial" w:hAnsi="Arial"/>
                <w:sz w:val="14"/>
                <w:szCs w:val="14"/>
                <w:color w:val="auto"/>
                <w:w w:val="95"/>
              </w:rPr>
              <w:t>Indicate by check mark if the Registrant is not required to file reports pursuant to Section 13 or 15(d) of the Act.  Yes</w:t>
            </w:r>
          </w:p>
        </w:tc>
        <w:tc>
          <w:tcPr>
            <w:tcW w:w="300" w:type="dxa"/>
            <w:vAlign w:val="bottom"/>
            <w:gridSpan w:val="2"/>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20" w:type="dxa"/>
            <w:vAlign w:val="bottom"/>
          </w:tcPr>
          <w:p>
            <w:pPr>
              <w:ind w:left="20"/>
              <w:spacing w:after="0"/>
              <w:rPr>
                <w:sz w:val="20"/>
                <w:szCs w:val="20"/>
                <w:color w:val="auto"/>
              </w:rPr>
            </w:pPr>
            <w:r>
              <w:rPr>
                <w:rFonts w:ascii="Arial" w:cs="Arial" w:eastAsia="Arial" w:hAnsi="Arial"/>
                <w:sz w:val="14"/>
                <w:szCs w:val="14"/>
                <w:color w:val="auto"/>
              </w:rPr>
              <w:t>No</w:t>
            </w:r>
          </w:p>
        </w:tc>
        <w:tc>
          <w:tcPr>
            <w:tcW w:w="3440" w:type="dxa"/>
            <w:vAlign w:val="bottom"/>
          </w:tcPr>
          <w:p>
            <w:pPr>
              <w:jc w:val="right"/>
              <w:ind w:right="320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bl>
    <w:p>
      <w:pPr>
        <w:spacing w:after="0" w:line="18" w:lineRule="exact"/>
        <w:rPr>
          <w:sz w:val="24"/>
          <w:szCs w:val="24"/>
          <w:color w:val="auto"/>
        </w:rPr>
      </w:pPr>
    </w:p>
    <w:p>
      <w:pPr>
        <w:ind w:right="160" w:firstLine="598"/>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right="180" w:firstLine="598"/>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180" w:firstLine="598"/>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5" w:lineRule="exact"/>
        <w:rPr>
          <w:sz w:val="24"/>
          <w:szCs w:val="24"/>
          <w:color w:val="auto"/>
        </w:rPr>
      </w:pPr>
    </w:p>
    <w:tbl>
      <w:tblPr>
        <w:tblLayout w:type="fixed"/>
        <w:tblInd w:w="600" w:type="dxa"/>
        <w:tblCellMar>
          <w:top w:w="0" w:type="dxa"/>
          <w:left w:w="0" w:type="dxa"/>
          <w:bottom w:w="0" w:type="dxa"/>
          <w:right w:w="0" w:type="dxa"/>
        </w:tblCellMar>
      </w:tblPr>
      <w:tr>
        <w:trPr>
          <w:trHeight w:val="181"/>
        </w:trPr>
        <w:tc>
          <w:tcPr>
            <w:tcW w:w="19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9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3280" w:type="dxa"/>
            <w:vAlign w:val="bottom"/>
          </w:tcPr>
          <w:p>
            <w:pPr>
              <w:ind w:left="1220"/>
              <w:spacing w:after="0"/>
              <w:rPr>
                <w:sz w:val="20"/>
                <w:szCs w:val="20"/>
                <w:color w:val="auto"/>
              </w:rPr>
            </w:pPr>
            <w:r>
              <w:rPr>
                <w:rFonts w:ascii="Arial" w:cs="Arial" w:eastAsia="Arial" w:hAnsi="Arial"/>
                <w:sz w:val="14"/>
                <w:szCs w:val="14"/>
                <w:color w:val="auto"/>
              </w:rPr>
              <w:t>Accelerated filer</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6"/>
        </w:trPr>
        <w:tc>
          <w:tcPr>
            <w:tcW w:w="1940" w:type="dxa"/>
            <w:vAlign w:val="bottom"/>
          </w:tcPr>
          <w:p>
            <w:pPr>
              <w:spacing w:after="0"/>
              <w:rPr>
                <w:sz w:val="20"/>
                <w:szCs w:val="20"/>
                <w:color w:val="auto"/>
              </w:rPr>
            </w:pPr>
            <w:r>
              <w:rPr>
                <w:rFonts w:ascii="Arial" w:cs="Arial" w:eastAsia="Arial" w:hAnsi="Arial"/>
                <w:sz w:val="14"/>
                <w:szCs w:val="14"/>
                <w:color w:val="auto"/>
              </w:rPr>
              <w:t>Non-accelerated filer</w:t>
            </w:r>
          </w:p>
        </w:tc>
        <w:tc>
          <w:tcPr>
            <w:tcW w:w="19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3280" w:type="dxa"/>
            <w:vAlign w:val="bottom"/>
          </w:tcPr>
          <w:p>
            <w:pPr>
              <w:ind w:left="1220"/>
              <w:spacing w:after="0"/>
              <w:rPr>
                <w:sz w:val="20"/>
                <w:szCs w:val="20"/>
                <w:color w:val="auto"/>
              </w:rPr>
            </w:pPr>
            <w:r>
              <w:rPr>
                <w:rFonts w:ascii="Arial" w:cs="Arial" w:eastAsia="Arial" w:hAnsi="Arial"/>
                <w:sz w:val="14"/>
                <w:szCs w:val="14"/>
                <w:color w:val="auto"/>
              </w:rPr>
              <w:t>Smaller reporting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9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280" w:type="dxa"/>
            <w:vAlign w:val="bottom"/>
          </w:tcPr>
          <w:p>
            <w:pPr>
              <w:ind w:left="1220"/>
              <w:spacing w:after="0"/>
              <w:rPr>
                <w:sz w:val="20"/>
                <w:szCs w:val="20"/>
                <w:color w:val="auto"/>
              </w:rPr>
            </w:pPr>
            <w:r>
              <w:rPr>
                <w:rFonts w:ascii="Arial" w:cs="Arial" w:eastAsia="Arial" w:hAnsi="Arial"/>
                <w:sz w:val="14"/>
                <w:szCs w:val="14"/>
                <w:color w:val="auto"/>
              </w:rPr>
              <w:t>Emerging growth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53" w:lineRule="exact"/>
        <w:rPr>
          <w:sz w:val="24"/>
          <w:szCs w:val="24"/>
          <w:color w:val="auto"/>
        </w:rPr>
      </w:pPr>
    </w:p>
    <w:p>
      <w:pPr>
        <w:ind w:right="140" w:firstLine="598"/>
        <w:spacing w:after="0" w:line="187" w:lineRule="exact"/>
        <w:rPr>
          <w:sz w:val="20"/>
          <w:szCs w:val="20"/>
          <w:color w:val="auto"/>
        </w:rPr>
      </w:pPr>
      <w:r>
        <w:rPr>
          <w:rFonts w:ascii="Arial" w:cs="Arial" w:eastAsia="Arial" w:hAnsi="Arial"/>
          <w:sz w:val="14"/>
          <w:szCs w:val="14"/>
          <w:color w:val="auto"/>
        </w:rPr>
        <w:t xml:space="preserve">If the Registrant is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left="600" w:right="3120"/>
        <w:spacing w:after="0" w:line="213"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June 30, 2019, none of the Registrant’s common membership interests were held by non-affiliates.</w:t>
      </w:r>
    </w:p>
    <w:p>
      <w:pPr>
        <w:spacing w:after="0" w:line="21" w:lineRule="exact"/>
        <w:rPr>
          <w:sz w:val="24"/>
          <w:szCs w:val="24"/>
          <w:color w:val="auto"/>
        </w:rPr>
      </w:pPr>
    </w:p>
    <w:p>
      <w:pPr>
        <w:ind w:left="600"/>
        <w:spacing w:after="0"/>
        <w:rPr>
          <w:sz w:val="20"/>
          <w:szCs w:val="20"/>
          <w:color w:val="auto"/>
        </w:rPr>
      </w:pPr>
      <w:r>
        <w:rPr>
          <w:rFonts w:ascii="Arial" w:cs="Arial" w:eastAsia="Arial" w:hAnsi="Arial"/>
          <w:sz w:val="14"/>
          <w:szCs w:val="14"/>
          <w:color w:val="auto"/>
        </w:rPr>
        <w:t>As of January 29, 2020, in addition to profit participation interests, there were two managing member interests outstanding.</w:t>
      </w:r>
    </w:p>
    <w:p>
      <w:pPr>
        <w:spacing w:after="0" w:line="42" w:lineRule="exact"/>
        <w:rPr>
          <w:sz w:val="24"/>
          <w:szCs w:val="24"/>
          <w:color w:val="auto"/>
        </w:rPr>
      </w:pPr>
    </w:p>
    <w:p>
      <w:pPr>
        <w:ind w:right="180" w:firstLine="598"/>
        <w:spacing w:after="0" w:line="264" w:lineRule="auto"/>
        <w:rPr>
          <w:sz w:val="20"/>
          <w:szCs w:val="20"/>
          <w:color w:val="auto"/>
        </w:rPr>
      </w:pPr>
      <w:r>
        <w:rPr>
          <w:rFonts w:ascii="Arial" w:cs="Arial" w:eastAsia="Arial" w:hAnsi="Arial"/>
          <w:sz w:val="13"/>
          <w:szCs w:val="13"/>
          <w:color w:val="auto"/>
        </w:rPr>
        <w:t>The Registrant meets the conditions set forth in General Instructions (I)(1)(a) and (b) of Form 10-K and is therefore filing this Form with the reduced disclosure format by omitting the information called for by the following items of Form 10-K: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46" w:lineRule="exact"/>
        <w:rPr>
          <w:sz w:val="24"/>
          <w:szCs w:val="24"/>
          <w:color w:val="auto"/>
        </w:rPr>
      </w:pPr>
    </w:p>
    <w:p>
      <w:pPr>
        <w:ind w:left="600"/>
        <w:spacing w:after="0"/>
        <w:rPr>
          <w:sz w:val="20"/>
          <w:szCs w:val="20"/>
          <w:color w:val="auto"/>
        </w:rPr>
      </w:pPr>
      <w:r>
        <w:rPr>
          <w:rFonts w:ascii="Arial" w:cs="Arial" w:eastAsia="Arial" w:hAnsi="Arial"/>
          <w:sz w:val="14"/>
          <w:szCs w:val="14"/>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 w:name="page2"/>
    <w:bookmarkEnd w:id="1"/>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ANNUAL REPORT ON FORM 10-K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2019</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80" w:type="dxa"/>
            <w:vAlign w:val="bottom"/>
            <w:gridSpan w:val="29"/>
          </w:tcPr>
          <w:p>
            <w:pPr>
              <w:spacing w:after="0"/>
              <w:rPr>
                <w:sz w:val="20"/>
                <w:szCs w:val="20"/>
                <w:color w:val="auto"/>
              </w:rPr>
            </w:pPr>
            <w:r>
              <w:rPr>
                <w:rFonts w:ascii="Arial" w:cs="Arial" w:eastAsia="Arial" w:hAnsi="Arial"/>
                <w:sz w:val="14"/>
                <w:szCs w:val="14"/>
                <w:b w:val="1"/>
                <w:bCs w:val="1"/>
                <w:color w:val="auto"/>
              </w:rPr>
              <w:t>Form 10-K Item Number</w:t>
            </w:r>
          </w:p>
        </w:tc>
        <w:tc>
          <w:tcPr>
            <w:tcW w:w="940" w:type="dxa"/>
            <w:vAlign w:val="bottom"/>
          </w:tcPr>
          <w:p>
            <w:pPr>
              <w:jc w:val="right"/>
              <w:ind w:right="111"/>
              <w:spacing w:after="0"/>
              <w:rPr>
                <w:sz w:val="20"/>
                <w:szCs w:val="20"/>
                <w:color w:val="auto"/>
              </w:rPr>
            </w:pPr>
            <w:r>
              <w:rPr>
                <w:rFonts w:ascii="Arial" w:cs="Arial" w:eastAsia="Arial" w:hAnsi="Arial"/>
                <w:sz w:val="14"/>
                <w:szCs w:val="14"/>
                <w:b w:val="1"/>
                <w:bCs w:val="1"/>
                <w:color w:val="auto"/>
              </w:rPr>
              <w:t>Page No.</w:t>
            </w:r>
          </w:p>
        </w:tc>
      </w:tr>
      <w:tr>
        <w:trPr>
          <w:trHeight w:val="291"/>
        </w:trPr>
        <w:tc>
          <w:tcPr>
            <w:tcW w:w="920" w:type="dxa"/>
            <w:vAlign w:val="bottom"/>
            <w:tcBorders>
              <w:top w:val="single" w:sz="8" w:color="auto"/>
            </w:tcBorders>
            <w:gridSpan w:val="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1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3"/>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8920" w:type="dxa"/>
            <w:vAlign w:val="bottom"/>
            <w:gridSpan w:val="21"/>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560" w:type="dxa"/>
            <w:vAlign w:val="bottom"/>
            <w:gridSpan w:val="24"/>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Executive Officers of the Registrant</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16">
              <w:r>
                <w:rPr>
                  <w:rFonts w:ascii="Arial" w:cs="Arial" w:eastAsia="Arial" w:hAnsi="Arial"/>
                  <w:sz w:val="18"/>
                  <w:szCs w:val="18"/>
                  <w:color w:val="0000EE"/>
                  <w:w w:val="87"/>
                </w:rPr>
                <w:t>Risk Factors</w:t>
              </w:r>
            </w:hyperlink>
          </w:p>
        </w:tc>
        <w:tc>
          <w:tcPr>
            <w:tcW w:w="1680" w:type="dxa"/>
            <w:vAlign w:val="bottom"/>
            <w:tcBorders>
              <w:top w:val="single" w:sz="8" w:color="0000EE"/>
            </w:tcBorders>
            <w:gridSpan w:val="7"/>
          </w:tcPr>
          <w:p>
            <w:pPr>
              <w:spacing w:after="0"/>
              <w:rPr>
                <w:sz w:val="24"/>
                <w:szCs w:val="24"/>
                <w:color w:val="auto"/>
              </w:rPr>
            </w:pPr>
          </w:p>
        </w:tc>
        <w:tc>
          <w:tcPr>
            <w:tcW w:w="6980" w:type="dxa"/>
            <w:vAlign w:val="bottom"/>
            <w:gridSpan w:val="12"/>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Unresolved Staff Comments</w:t>
              </w:r>
            </w:hyperlink>
          </w:p>
        </w:tc>
        <w:tc>
          <w:tcPr>
            <w:tcW w:w="7520" w:type="dxa"/>
            <w:vAlign w:val="bottom"/>
            <w:gridSpan w:val="13"/>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2.</w:t>
            </w:r>
          </w:p>
        </w:tc>
        <w:tc>
          <w:tcPr>
            <w:tcW w:w="9560" w:type="dxa"/>
            <w:vAlign w:val="bottom"/>
            <w:gridSpan w:val="2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Properties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3.</w:t>
            </w:r>
          </w:p>
        </w:tc>
        <w:tc>
          <w:tcPr>
            <w:tcW w:w="9560" w:type="dxa"/>
            <w:vAlign w:val="bottom"/>
            <w:gridSpan w:val="2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gridSpan w:val="4"/>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4.</w:t>
            </w:r>
          </w:p>
        </w:tc>
        <w:tc>
          <w:tcPr>
            <w:tcW w:w="9560" w:type="dxa"/>
            <w:vAlign w:val="bottom"/>
            <w:gridSpan w:val="2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Mine Safety Disclosures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18"/>
        </w:trPr>
        <w:tc>
          <w:tcPr>
            <w:tcW w:w="920" w:type="dxa"/>
            <w:vAlign w:val="bottom"/>
            <w:gridSpan w:val="5"/>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PART II</w:t>
              </w:r>
            </w:hyperlink>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5.</w:t>
            </w:r>
          </w:p>
        </w:tc>
        <w:tc>
          <w:tcPr>
            <w:tcW w:w="6640" w:type="dxa"/>
            <w:vAlign w:val="bottom"/>
            <w:tcBorders>
              <w:bottom w:val="single" w:sz="8" w:color="0000EE"/>
            </w:tcBorders>
            <w:gridSpan w:val="22"/>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Market for Registrant’s Common Equity, Related Stockholder Matters and Issuer Purchases</w:t>
              </w:r>
            </w:hyperlink>
          </w:p>
        </w:tc>
        <w:tc>
          <w:tcPr>
            <w:tcW w:w="2920" w:type="dxa"/>
            <w:vAlign w:val="bottom"/>
            <w:gridSpan w:val="2"/>
          </w:tcPr>
          <w:p>
            <w:pPr>
              <w:spacing w:after="0"/>
              <w:rPr>
                <w:sz w:val="24"/>
                <w:szCs w:val="24"/>
                <w:color w:val="auto"/>
              </w:rPr>
            </w:pPr>
          </w:p>
        </w:tc>
        <w:tc>
          <w:tcPr>
            <w:tcW w:w="940" w:type="dxa"/>
            <w:vAlign w:val="bottom"/>
          </w:tcPr>
          <w:p>
            <w:pPr>
              <w:spacing w:after="0"/>
              <w:rPr>
                <w:sz w:val="24"/>
                <w:szCs w:val="24"/>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40" w:type="dxa"/>
            <w:vAlign w:val="bottom"/>
            <w:gridSpan w:val="22"/>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of Equity Securities</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right w:val="single" w:sz="8" w:color="0000EE"/>
            </w:tcBorders>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6.</w:t>
            </w:r>
          </w:p>
        </w:tc>
        <w:tc>
          <w:tcPr>
            <w:tcW w:w="9560" w:type="dxa"/>
            <w:vAlign w:val="bottom"/>
            <w:gridSpan w:val="2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Selected Financial Data</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gridSpan w:val="5"/>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Management’s Discussion and Analysis of Financial Condition and Results of Operations</w:t>
              </w:r>
            </w:hyperlink>
          </w:p>
        </w:tc>
        <w:tc>
          <w:tcPr>
            <w:tcW w:w="3100" w:type="dxa"/>
            <w:vAlign w:val="bottom"/>
            <w:gridSpan w:val="4"/>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7"/>
          </w:tcPr>
          <w:p>
            <w:pPr>
              <w:spacing w:after="0"/>
              <w:rPr>
                <w:rFonts w:ascii="Arial" w:cs="Arial" w:eastAsia="Arial" w:hAnsi="Arial"/>
                <w:sz w:val="18"/>
                <w:szCs w:val="18"/>
                <w:color w:val="0000EE"/>
                <w:w w:val="92"/>
              </w:rPr>
            </w:pPr>
            <w:hyperlink w:anchor="page66">
              <w:r>
                <w:rPr>
                  <w:rFonts w:ascii="Arial" w:cs="Arial" w:eastAsia="Arial" w:hAnsi="Arial"/>
                  <w:sz w:val="18"/>
                  <w:szCs w:val="18"/>
                  <w:color w:val="0000EE"/>
                  <w:w w:val="92"/>
                </w:rPr>
                <w:t>Quantitative and Qualitative Disclosures About Market Risk</w:t>
              </w:r>
            </w:hyperlink>
          </w:p>
        </w:tc>
        <w:tc>
          <w:tcPr>
            <w:tcW w:w="5200" w:type="dxa"/>
            <w:vAlign w:val="bottom"/>
            <w:gridSpan w:val="7"/>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8.</w:t>
            </w:r>
          </w:p>
        </w:tc>
        <w:tc>
          <w:tcPr>
            <w:tcW w:w="9560" w:type="dxa"/>
            <w:vAlign w:val="bottom"/>
            <w:gridSpan w:val="24"/>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Financial Statements and Supplementary Data</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gridSpan w:val="5"/>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129">
              <w:r>
                <w:rPr>
                  <w:rFonts w:ascii="Arial" w:cs="Arial" w:eastAsia="Arial" w:hAnsi="Arial"/>
                  <w:sz w:val="18"/>
                  <w:szCs w:val="18"/>
                  <w:color w:val="0000EE"/>
                  <w:w w:val="90"/>
                </w:rPr>
                <w:t>Changes in and Disagreements with Accountants on Accounting and Financial Disclosure</w:t>
              </w:r>
            </w:hyperlink>
          </w:p>
        </w:tc>
        <w:tc>
          <w:tcPr>
            <w:tcW w:w="3080" w:type="dxa"/>
            <w:vAlign w:val="bottom"/>
            <w:gridSpan w:val="3"/>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9A.</w:t>
            </w:r>
          </w:p>
        </w:tc>
        <w:tc>
          <w:tcPr>
            <w:tcW w:w="9560" w:type="dxa"/>
            <w:vAlign w:val="bottom"/>
            <w:gridSpan w:val="24"/>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Controls and Procedures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9"/>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Other Information</w:t>
              </w:r>
            </w:hyperlink>
          </w:p>
        </w:tc>
        <w:tc>
          <w:tcPr>
            <w:tcW w:w="7800" w:type="dxa"/>
            <w:vAlign w:val="bottom"/>
            <w:gridSpan w:val="15"/>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318"/>
        </w:trPr>
        <w:tc>
          <w:tcPr>
            <w:tcW w:w="920" w:type="dxa"/>
            <w:vAlign w:val="bottom"/>
            <w:gridSpan w:val="5"/>
          </w:tcPr>
          <w:p>
            <w:pPr>
              <w:spacing w:after="0"/>
              <w:rPr>
                <w:rFonts w:ascii="Arial" w:cs="Arial" w:eastAsia="Arial" w:hAnsi="Arial"/>
                <w:sz w:val="18"/>
                <w:szCs w:val="18"/>
                <w:color w:val="0000EE"/>
              </w:rPr>
            </w:pPr>
            <w:hyperlink w:anchor="page131">
              <w:r>
                <w:rPr>
                  <w:rFonts w:ascii="Arial" w:cs="Arial" w:eastAsia="Arial" w:hAnsi="Arial"/>
                  <w:sz w:val="18"/>
                  <w:szCs w:val="18"/>
                  <w:color w:val="0000EE"/>
                </w:rPr>
                <w:t>PART III</w:t>
              </w:r>
            </w:hyperlink>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10.</w:t>
            </w:r>
          </w:p>
        </w:tc>
        <w:tc>
          <w:tcPr>
            <w:tcW w:w="9560" w:type="dxa"/>
            <w:vAlign w:val="bottom"/>
            <w:gridSpan w:val="24"/>
          </w:tcPr>
          <w:p>
            <w:pPr>
              <w:spacing w:after="0"/>
              <w:rPr>
                <w:rFonts w:ascii="Arial" w:cs="Arial" w:eastAsia="Arial" w:hAnsi="Arial"/>
                <w:sz w:val="18"/>
                <w:szCs w:val="18"/>
                <w:color w:val="0000EE"/>
              </w:rPr>
            </w:pPr>
            <w:hyperlink w:anchor="page131">
              <w:r>
                <w:rPr>
                  <w:rFonts w:ascii="Arial" w:cs="Arial" w:eastAsia="Arial" w:hAnsi="Arial"/>
                  <w:sz w:val="18"/>
                  <w:szCs w:val="18"/>
                  <w:color w:val="0000EE"/>
                </w:rPr>
                <w:t>Directors, Executive Officers and Corporate Governance</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9"/>
              </w:rPr>
            </w:pPr>
            <w:hyperlink w:anchor="page131">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6"/>
          </w:tcPr>
          <w:p>
            <w:pPr>
              <w:spacing w:after="0"/>
              <w:rPr>
                <w:sz w:val="24"/>
                <w:szCs w:val="24"/>
                <w:color w:val="auto"/>
              </w:rPr>
            </w:pPr>
          </w:p>
        </w:tc>
        <w:tc>
          <w:tcPr>
            <w:tcW w:w="5480" w:type="dxa"/>
            <w:vAlign w:val="bottom"/>
            <w:gridSpan w:val="8"/>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12.</w:t>
            </w:r>
          </w:p>
        </w:tc>
        <w:tc>
          <w:tcPr>
            <w:tcW w:w="5820" w:type="dxa"/>
            <w:vAlign w:val="bottom"/>
            <w:tcBorders>
              <w:bottom w:val="single" w:sz="8" w:color="0000EE"/>
            </w:tcBorders>
            <w:gridSpan w:val="19"/>
          </w:tcPr>
          <w:p>
            <w:pPr>
              <w:spacing w:after="0"/>
              <w:rPr>
                <w:rFonts w:ascii="Arial" w:cs="Arial" w:eastAsia="Arial" w:hAnsi="Arial"/>
                <w:sz w:val="18"/>
                <w:szCs w:val="18"/>
                <w:color w:val="0000EE"/>
                <w:w w:val="91"/>
              </w:rPr>
            </w:pPr>
            <w:hyperlink w:anchor="page131">
              <w:r>
                <w:rPr>
                  <w:rFonts w:ascii="Arial" w:cs="Arial" w:eastAsia="Arial" w:hAnsi="Arial"/>
                  <w:sz w:val="18"/>
                  <w:szCs w:val="18"/>
                  <w:color w:val="0000EE"/>
                  <w:w w:val="91"/>
                </w:rPr>
                <w:t>Security Ownership of Certain Beneficial Owners and Management and Related</w:t>
              </w:r>
            </w:hyperlink>
          </w:p>
        </w:tc>
        <w:tc>
          <w:tcPr>
            <w:tcW w:w="3740" w:type="dxa"/>
            <w:vAlign w:val="bottom"/>
            <w:gridSpan w:val="5"/>
          </w:tcPr>
          <w:p>
            <w:pPr>
              <w:spacing w:after="0"/>
              <w:rPr>
                <w:sz w:val="24"/>
                <w:szCs w:val="24"/>
                <w:color w:val="auto"/>
              </w:rPr>
            </w:pPr>
          </w:p>
        </w:tc>
        <w:tc>
          <w:tcPr>
            <w:tcW w:w="940" w:type="dxa"/>
            <w:vAlign w:val="bottom"/>
          </w:tcPr>
          <w:p>
            <w:pPr>
              <w:spacing w:after="0"/>
              <w:rPr>
                <w:sz w:val="24"/>
                <w:szCs w:val="24"/>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131">
              <w:r>
                <w:rPr>
                  <w:rFonts w:ascii="Arial" w:cs="Arial" w:eastAsia="Arial" w:hAnsi="Arial"/>
                  <w:sz w:val="18"/>
                  <w:szCs w:val="18"/>
                  <w:color w:val="0000EE"/>
                  <w:w w:val="89"/>
                </w:rPr>
                <w:t>Stockholder Matters</w:t>
              </w:r>
            </w:hyperlink>
          </w:p>
        </w:tc>
        <w:tc>
          <w:tcPr>
            <w:tcW w:w="7860" w:type="dxa"/>
            <w:vAlign w:val="bottom"/>
            <w:gridSpan w:val="16"/>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129</w:t>
            </w: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13.</w:t>
            </w:r>
          </w:p>
        </w:tc>
        <w:tc>
          <w:tcPr>
            <w:tcW w:w="9560" w:type="dxa"/>
            <w:vAlign w:val="bottom"/>
            <w:gridSpan w:val="24"/>
          </w:tcPr>
          <w:p>
            <w:pPr>
              <w:spacing w:after="0"/>
              <w:rPr>
                <w:rFonts w:ascii="Arial" w:cs="Arial" w:eastAsia="Arial" w:hAnsi="Arial"/>
                <w:sz w:val="18"/>
                <w:szCs w:val="18"/>
                <w:color w:val="0000EE"/>
              </w:rPr>
            </w:pPr>
            <w:hyperlink w:anchor="page131">
              <w:r>
                <w:rPr>
                  <w:rFonts w:ascii="Arial" w:cs="Arial" w:eastAsia="Arial" w:hAnsi="Arial"/>
                  <w:sz w:val="18"/>
                  <w:szCs w:val="18"/>
                  <w:color w:val="0000EE"/>
                </w:rPr>
                <w:t>Certain Relationships and Related Transactions, and Director Independence</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8"/>
          </w:tcPr>
          <w:p>
            <w:pPr>
              <w:spacing w:after="0"/>
              <w:rPr>
                <w:rFonts w:ascii="Arial" w:cs="Arial" w:eastAsia="Arial" w:hAnsi="Arial"/>
                <w:sz w:val="18"/>
                <w:szCs w:val="18"/>
                <w:color w:val="0000EE"/>
              </w:rPr>
            </w:pPr>
            <w:hyperlink w:anchor="page131">
              <w:r>
                <w:rPr>
                  <w:rFonts w:ascii="Arial" w:cs="Arial" w:eastAsia="Arial" w:hAnsi="Arial"/>
                  <w:sz w:val="18"/>
                  <w:szCs w:val="18"/>
                  <w:color w:val="0000EE"/>
                </w:rPr>
                <w:t>Principal Accounting Fees and Services</w:t>
              </w:r>
            </w:hyperlink>
          </w:p>
        </w:tc>
        <w:tc>
          <w:tcPr>
            <w:tcW w:w="4120" w:type="dxa"/>
            <w:vAlign w:val="bottom"/>
            <w:gridSpan w:val="6"/>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318"/>
        </w:trPr>
        <w:tc>
          <w:tcPr>
            <w:tcW w:w="68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133">
              <w:r>
                <w:rPr>
                  <w:rFonts w:ascii="Arial" w:cs="Arial" w:eastAsia="Arial" w:hAnsi="Arial"/>
                  <w:sz w:val="18"/>
                  <w:szCs w:val="18"/>
                  <w:color w:val="0000EE"/>
                  <w:w w:val="94"/>
                </w:rPr>
                <w:t>PART IV</w:t>
              </w:r>
            </w:hyperlink>
          </w:p>
        </w:tc>
        <w:tc>
          <w:tcPr>
            <w:tcW w:w="2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133">
              <w:r>
                <w:rPr>
                  <w:rFonts w:ascii="Arial" w:cs="Arial" w:eastAsia="Arial" w:hAnsi="Arial"/>
                  <w:sz w:val="18"/>
                  <w:szCs w:val="18"/>
                  <w:color w:val="0000EE"/>
                  <w:w w:val="89"/>
                </w:rPr>
                <w:t>Exhibits and Financial Statement Schedules</w:t>
              </w:r>
            </w:hyperlink>
          </w:p>
        </w:tc>
        <w:tc>
          <w:tcPr>
            <w:tcW w:w="6400" w:type="dxa"/>
            <w:vAlign w:val="bottom"/>
            <w:gridSpan w:val="10"/>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318"/>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560" w:type="dxa"/>
            <w:vAlign w:val="bottom"/>
            <w:gridSpan w:val="24"/>
          </w:tcPr>
          <w:p>
            <w:pPr>
              <w:spacing w:after="0"/>
              <w:rPr>
                <w:rFonts w:ascii="Arial" w:cs="Arial" w:eastAsia="Arial" w:hAnsi="Arial"/>
                <w:sz w:val="18"/>
                <w:szCs w:val="18"/>
                <w:color w:val="0000EE"/>
              </w:rPr>
            </w:pPr>
            <w:hyperlink w:anchor="page136">
              <w:r>
                <w:rPr>
                  <w:rFonts w:ascii="Arial" w:cs="Arial" w:eastAsia="Arial" w:hAnsi="Arial"/>
                  <w:sz w:val="18"/>
                  <w:szCs w:val="18"/>
                  <w:color w:val="0000EE"/>
                </w:rPr>
                <w:t>Index to Financial Statements and Financial Statement Schedule Items 15(a)(1) and 15(a)(2)</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0"/>
        </w:trPr>
        <w:tc>
          <w:tcPr>
            <w:tcW w:w="920" w:type="dxa"/>
            <w:vAlign w:val="bottom"/>
            <w:gridSpan w:val="5"/>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60" w:type="dxa"/>
            <w:vAlign w:val="bottom"/>
            <w:gridSpan w:val="21"/>
            <w:shd w:val="clear" w:color="auto" w:fill="0000EE"/>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18"/>
        </w:trPr>
        <w:tc>
          <w:tcPr>
            <w:tcW w:w="10480" w:type="dxa"/>
            <w:vAlign w:val="bottom"/>
            <w:gridSpan w:val="29"/>
          </w:tcPr>
          <w:p>
            <w:pPr>
              <w:spacing w:after="0"/>
              <w:rPr>
                <w:rFonts w:ascii="Arial" w:cs="Arial" w:eastAsia="Arial" w:hAnsi="Arial"/>
                <w:sz w:val="18"/>
                <w:szCs w:val="18"/>
                <w:color w:val="0000EE"/>
              </w:rPr>
            </w:pPr>
            <w:hyperlink w:anchor="page142">
              <w:r>
                <w:rPr>
                  <w:rFonts w:ascii="Arial" w:cs="Arial" w:eastAsia="Arial" w:hAnsi="Arial"/>
                  <w:sz w:val="18"/>
                  <w:szCs w:val="18"/>
                  <w:color w:val="0000EE"/>
                </w:rPr>
                <w:t>SIGNATURES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II-1</w:t>
            </w: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i w:val="1"/>
          <w:iCs w:val="1"/>
          <w:color w:val="auto"/>
        </w:rPr>
        <w:t>When we use the terms “Lazard Group”,”Lazard”, “we”, “us”, “our” and “the Company”, we mean Lazard Group LLC, a Delaware limited liability company, that is the current holding company for the subsidiaries that conduct our businesses. Lazard Ltd is a Bermuda exempt company whose shares of Class A common stock (the “Class A common stock”) are publicly traded on the New York Stock Exchange under the symbol “LAZ”. Lazard Ltd’s subsidiaries include Lazard Group and their respective subsidiaries. Lazard Ltd’s primary operating asset is its indirect ownership as of December 31, 2019 of all of the common membership interests in Lazard Group. Lazard Ltd controls Lazard Group through two of its indirect wholly-owned subsidiaries that are co-managing members of Lazard Group.</w:t>
      </w:r>
    </w:p>
    <w:p>
      <w:pPr>
        <w:spacing w:after="0" w:line="193" w:lineRule="exact"/>
        <w:rPr>
          <w:sz w:val="20"/>
          <w:szCs w:val="20"/>
          <w:color w:val="auto"/>
        </w:rPr>
      </w:pPr>
    </w:p>
    <w:p>
      <w:pPr>
        <w:ind w:right="240" w:firstLine="598"/>
        <w:spacing w:after="0" w:line="259" w:lineRule="auto"/>
        <w:rPr>
          <w:sz w:val="20"/>
          <w:szCs w:val="20"/>
          <w:color w:val="auto"/>
        </w:rPr>
      </w:pPr>
      <w:r>
        <w:rPr>
          <w:rFonts w:ascii="Arial" w:cs="Arial" w:eastAsia="Arial" w:hAnsi="Arial"/>
          <w:sz w:val="18"/>
          <w:szCs w:val="18"/>
          <w:i w:val="1"/>
          <w:iCs w:val="1"/>
          <w:color w:val="auto"/>
        </w:rPr>
        <w:t>Lazard Group has granted profit participation interests in Lazard Group to certain of its managing directors. The profit participation interests are discretionary profits interests that are intended to enable Lazard Group to compensate its managing directors in a manner consistent with historical practices. Lazard Group has also granted profits interest participation rights to certain of its managing directors. See Note 16 of Notes to Consolidated Financial Statements.</w:t>
      </w:r>
    </w:p>
    <w:p>
      <w:pPr>
        <w:spacing w:after="0" w:line="29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21" w:lineRule="exact"/>
        <w:rPr>
          <w:sz w:val="20"/>
          <w:szCs w:val="20"/>
          <w:color w:val="auto"/>
        </w:rPr>
      </w:pPr>
    </w:p>
    <w:p>
      <w:pPr>
        <w:ind w:right="300" w:firstLine="598"/>
        <w:spacing w:after="0" w:line="259" w:lineRule="auto"/>
        <w:rPr>
          <w:sz w:val="20"/>
          <w:szCs w:val="20"/>
          <w:color w:val="auto"/>
        </w:rPr>
      </w:pPr>
      <w:r>
        <w:rPr>
          <w:rFonts w:ascii="Arial" w:cs="Arial" w:eastAsia="Arial" w:hAnsi="Arial"/>
          <w:sz w:val="18"/>
          <w:szCs w:val="18"/>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more than 40 cities and 25 countries across key business and financial centers in North America, Europe, Asia, Australia, and Central and South America.</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Business Lines</w:t>
      </w:r>
    </w:p>
    <w:p>
      <w:pPr>
        <w:spacing w:after="0" w:line="121" w:lineRule="exact"/>
        <w:rPr>
          <w:sz w:val="20"/>
          <w:szCs w:val="20"/>
          <w:color w:val="auto"/>
        </w:rPr>
      </w:pPr>
    </w:p>
    <w:p>
      <w:pPr>
        <w:ind w:right="140" w:firstLine="598"/>
        <w:spacing w:after="0" w:line="277" w:lineRule="auto"/>
        <w:rPr>
          <w:sz w:val="20"/>
          <w:szCs w:val="20"/>
          <w:color w:val="auto"/>
        </w:rPr>
      </w:pPr>
      <w:r>
        <w:rPr>
          <w:rFonts w:ascii="Arial" w:cs="Arial" w:eastAsia="Arial" w:hAnsi="Arial"/>
          <w:sz w:val="18"/>
          <w:szCs w:val="18"/>
          <w:color w:val="auto"/>
        </w:rPr>
        <w:t>We focus primarily on two business segments: Financial Advisory and Asset Management. We believe that the mix of our activities across business segments, geographic regions, industries and investment strategies helps to diversify and stabilize our revenue stream.</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117" w:lineRule="exact"/>
        <w:rPr>
          <w:sz w:val="20"/>
          <w:szCs w:val="20"/>
          <w:color w:val="auto"/>
        </w:rPr>
      </w:pPr>
    </w:p>
    <w:p>
      <w:pPr>
        <w:ind w:right="140" w:firstLine="598"/>
        <w:spacing w:after="0" w:line="257" w:lineRule="auto"/>
        <w:rPr>
          <w:sz w:val="20"/>
          <w:szCs w:val="20"/>
          <w:color w:val="auto"/>
        </w:rPr>
      </w:pPr>
      <w:r>
        <w:rPr>
          <w:rFonts w:ascii="Arial" w:cs="Arial" w:eastAsia="Arial" w:hAnsi="Arial"/>
          <w:sz w:val="18"/>
          <w:szCs w:val="18"/>
          <w:color w:val="auto"/>
        </w:rPr>
        <w:t>Our Financial Advisory business offers corporate, partnership, institutional, government, sovereign and individual clients across the globe a wide array of financial advisory services regarding mergers and acquisitions (“M&amp;A”), capital advisory, restructurings, shareholder advisory, sovereign advisory, capital raising and other strategic advisory matters. We focus on solving our clients’ most complex issues, providing advice to key decision-makers, senior management, boards of directors and business owners, as well as governments and governmental agencies, in transactions that typically are of significant strategic and financial importance to them.</w:t>
      </w:r>
    </w:p>
    <w:p>
      <w:pPr>
        <w:spacing w:after="0" w:line="188" w:lineRule="exact"/>
        <w:rPr>
          <w:sz w:val="20"/>
          <w:szCs w:val="20"/>
          <w:color w:val="auto"/>
        </w:rPr>
      </w:pPr>
    </w:p>
    <w:p>
      <w:pPr>
        <w:ind w:right="320" w:firstLine="598"/>
        <w:spacing w:after="0" w:line="279" w:lineRule="auto"/>
        <w:rPr>
          <w:sz w:val="20"/>
          <w:szCs w:val="20"/>
          <w:color w:val="auto"/>
        </w:rPr>
      </w:pPr>
      <w:r>
        <w:rPr>
          <w:rFonts w:ascii="Arial" w:cs="Arial" w:eastAsia="Arial" w:hAnsi="Arial"/>
          <w:sz w:val="17"/>
          <w:szCs w:val="17"/>
          <w:color w:val="auto"/>
        </w:rPr>
        <w:t>We continue to build our Financial Advisory business by fostering long-term, senior level relationships with existing and new clients as their independent advisor on strategic transactions and other matters. We seek to build and sustain long-term relationships with our clients rather than focusing simply on individual transactions, a practice that we believe enhances our access to senior management of major corporations and institutions around the world. We emphasize providing clients with senior level focus during all phases of transaction analysis and execution.</w:t>
      </w:r>
    </w:p>
    <w:p>
      <w:pPr>
        <w:spacing w:after="0" w:line="171"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While we strive to earn repeat business from our clients, we operate in a highly competitive environment in which there are no long-term contracted sources of revenue. Each revenue-generating engagement is separately negotiated and awarded. To develop new client relationships, and to develop new engagements from historical client relationships, we maintain an active dialogue with a large number of clients and potential clients, as well as with their financial and legal advisors, on an ongoing basis. We have gained a significant number of new clients each year through our business development initiatives, through recruiting additional senior investment banking professionals who bring with them client relationships and through referrals from directors, attorneys and other third parties with whom we have relationships. At the same time, we lose clients each year as a result of the sale or merger of a client, a change in a client’s senior management, competition from other investment banks and other causes.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 w:name="page4"/>
    <w:bookmarkEnd w:id="3"/>
    <w:p>
      <w:pPr>
        <w:ind w:right="100" w:firstLine="598"/>
        <w:spacing w:after="0" w:line="312" w:lineRule="auto"/>
        <w:rPr>
          <w:sz w:val="20"/>
          <w:szCs w:val="20"/>
          <w:color w:val="auto"/>
        </w:rPr>
      </w:pPr>
      <w:r>
        <w:rPr>
          <w:rFonts w:ascii="Arial" w:cs="Arial" w:eastAsia="Arial" w:hAnsi="Arial"/>
          <w:sz w:val="16"/>
          <w:szCs w:val="16"/>
          <w:color w:val="auto"/>
        </w:rPr>
        <w:t>We earned $1 million or more from 288 clients, 287 clients and 304 clients for the years ended December 31, 2019, 2018 and 2017, respectively. For the years ended December 31, 2019, 2018 and 2017, the ten largest fee paying clients constituted approximately 17%, 19% and 22%, respectively, of our Financial Advisory segment net revenue, with no client individually contributing more than 10% of segment net revenue during any of these years.</w:t>
      </w:r>
    </w:p>
    <w:p>
      <w:pPr>
        <w:spacing w:after="0" w:line="147" w:lineRule="exact"/>
        <w:rPr>
          <w:sz w:val="20"/>
          <w:szCs w:val="20"/>
          <w:color w:val="auto"/>
        </w:rPr>
      </w:pPr>
    </w:p>
    <w:p>
      <w:pPr>
        <w:ind w:right="20" w:firstLine="598"/>
        <w:spacing w:after="0" w:line="302" w:lineRule="auto"/>
        <w:rPr>
          <w:sz w:val="20"/>
          <w:szCs w:val="20"/>
          <w:color w:val="auto"/>
        </w:rPr>
      </w:pPr>
      <w:r>
        <w:rPr>
          <w:rFonts w:ascii="Arial" w:cs="Arial" w:eastAsia="Arial" w:hAnsi="Arial"/>
          <w:sz w:val="16"/>
          <w:szCs w:val="16"/>
          <w:color w:val="auto"/>
        </w:rPr>
        <w:t>We believe that we have been pioneers in offering financial advisory services on an international basis, with the establishment of our New York, Paris and London offices dating back to the nineteenth century. We maintain a major local presence in the United States (the “U.S.”), the United Kingdom (the “U.K.”) and France, including a network of regional branch offices in the U.S., as well as a presence in Argentina, Australia, Belgium, Brazil, Chile, China, Colombia, Germany, Hong Kong, Italy, Japan, Mexico, the Netherlands, Panama, Singapore, Spain, Sweden, Switzerland and the Middle East region.</w:t>
      </w:r>
    </w:p>
    <w:p>
      <w:pPr>
        <w:spacing w:after="0" w:line="154" w:lineRule="exact"/>
        <w:rPr>
          <w:sz w:val="20"/>
          <w:szCs w:val="20"/>
          <w:color w:val="auto"/>
        </w:rPr>
      </w:pPr>
    </w:p>
    <w:p>
      <w:pPr>
        <w:ind w:right="120" w:firstLine="598"/>
        <w:spacing w:after="0" w:line="276" w:lineRule="auto"/>
        <w:rPr>
          <w:sz w:val="20"/>
          <w:szCs w:val="20"/>
          <w:color w:val="auto"/>
        </w:rPr>
      </w:pPr>
      <w:r>
        <w:rPr>
          <w:rFonts w:ascii="Arial" w:cs="Arial" w:eastAsia="Arial" w:hAnsi="Arial"/>
          <w:sz w:val="17"/>
          <w:szCs w:val="17"/>
          <w:color w:val="auto"/>
        </w:rPr>
        <w:t>In addition to seeking business centered in the regions described above, we historically have focused in particular on advising clients with respect to cross-border transactions. We believe that we are particularly well known for our legacy of offering broad teams of professionals who are indigenous to their respective regions, who have long-term client relationships, capabilities and know-how in their respective regions, and who will coordinate with our professionals who have global sector expertise. We also believe that this positioning affords us insight around the globe into key industry, economic, governmental and regulatory issues and developments, which we can bring to bear on behalf of our clients.</w:t>
      </w:r>
    </w:p>
    <w:p>
      <w:pPr>
        <w:spacing w:after="0" w:line="28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Services Offered</w:t>
      </w:r>
    </w:p>
    <w:p>
      <w:pPr>
        <w:spacing w:after="0" w:line="117"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We advise clients on a wide range of strategic and financial issues. When we advise clients on the potential acquisition of another company, business or certain assets, our services include evaluating potential acquisition targets, providing valuation analyses, evaluating and proposing financial and structural alternatives, and rendering, if appropriate, fairness opinions. We also may advise as to the timing, financing and pricing of a proposed acquisition and assist in negotiating and closing the acquisition. In addition, we may assist in executing an acquisition by acting as a dealer-manager in transactions structured as a tender or exchange offer.</w:t>
      </w:r>
    </w:p>
    <w:p>
      <w:pPr>
        <w:spacing w:after="0" w:line="188"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When we advise clients that are contemplating the sale of certain businesses, assets or an entire company, our services include advising on the sale process for the situation, providing valuation analyses, assisting in preparing an information memorandum or other appropriate sale materials and rendering, if appropriate, fairness opinions. We also identify and contact selected qualified potential acquirors and assist in negotiating and closing the proposed sale. As appropriate, we also advise our clients regarding potential financial and strategic alternatives to a sale, including recapitalizations, spin-offs, carve-outs and split-offs. We frequently provide advice with respect to the structure, timing and pricing of these alternatives.</w:t>
      </w:r>
    </w:p>
    <w:p>
      <w:pPr>
        <w:spacing w:after="0" w:line="173" w:lineRule="exact"/>
        <w:rPr>
          <w:sz w:val="20"/>
          <w:szCs w:val="20"/>
          <w:color w:val="auto"/>
        </w:rPr>
      </w:pPr>
    </w:p>
    <w:p>
      <w:pPr>
        <w:ind w:right="120" w:firstLine="598"/>
        <w:spacing w:after="0" w:line="270" w:lineRule="auto"/>
        <w:rPr>
          <w:sz w:val="20"/>
          <w:szCs w:val="20"/>
          <w:color w:val="auto"/>
        </w:rPr>
      </w:pPr>
      <w:r>
        <w:rPr>
          <w:rFonts w:ascii="Arial" w:cs="Arial" w:eastAsia="Arial" w:hAnsi="Arial"/>
          <w:sz w:val="17"/>
          <w:szCs w:val="17"/>
          <w:color w:val="auto"/>
        </w:rPr>
        <w:t>With respect to companies in financial distress, we provide services to the company, creditors or other interested parties, which services may include reviewing and analyzing the business, operations, properties, financial condition and prospects of the company, evaluating debt capacity, assisting in the determination of an appropriate capital structure, assisting in structuring and effecting the financial aspects of exchange offers, evaluating financial and strategic alternatives and assisting and participating in negotiations with affected entities or groups. If appropriate, we may provide financial advice and assistance in developing and seeking approval of a restructuring or reorganization plan, which may include a plan of reorganization under Chapter 11 of the U.S. Bankruptcy Code or other similar court administered processes in non-U.S. jurisdictions. In such cases, we may assist in certain aspects of the implementation of such a plan, including advising and assisting in structuring and effecting the financial aspects of a sale or recapitalization, structuring new securities, other consideration or other inducements to be offered or issued, as well as assisting and participating in negotiations with affected entities or groups.</w:t>
      </w:r>
    </w:p>
    <w:p>
      <w:pPr>
        <w:spacing w:after="0" w:line="182"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When we assist clients in connection with shareholder advisory and corporate preparedness matters, our services may include reviewing and analyzing the business and financial condition of the company, providing insights on the company’s shareholders, assisting in the evaluation of corporate governance matters, and advising on defense measures and strategic alternatives potentially available to the company. Our advice may relate to a broad range of matters including M&amp;A, capital markets, corporate governance and data analytics.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 w:name="page5"/>
    <w:bookmarkEnd w:id="4"/>
    <w:p>
      <w:pPr>
        <w:ind w:right="260" w:firstLine="598"/>
        <w:spacing w:after="0" w:line="277" w:lineRule="auto"/>
        <w:rPr>
          <w:sz w:val="20"/>
          <w:szCs w:val="20"/>
          <w:color w:val="auto"/>
        </w:rPr>
      </w:pPr>
      <w:r>
        <w:rPr>
          <w:rFonts w:ascii="Arial" w:cs="Arial" w:eastAsia="Arial" w:hAnsi="Arial"/>
          <w:sz w:val="18"/>
          <w:szCs w:val="18"/>
          <w:color w:val="auto"/>
        </w:rPr>
        <w:t>When we assist clients in connection with their capital structure, we typically review and analyze structural alternatives, assist in long-term capital planning and advise and assist with respect to rating agency discussions and relationships, among other things.</w:t>
      </w:r>
    </w:p>
    <w:p>
      <w:pPr>
        <w:spacing w:after="0" w:line="170"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When we assist clients in raising private or public market financing or capital, our services include assisting clients in connection with securing, refinancing or restructuring bank loans or other debt, originating and executing, or participating in, public underwritings and private placements of securities, and originating and executing private placements of partnership and similar interests in alternative investment funds such as leveraged buyout, mezzanine or real estate focused funds.</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are at the forefront of providing independent advice to governments and governmental agencies in connection with economic developments.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Lazard’s Sovereign Advisory Group has advised a number of countries and institutions with respect to sovereign debt and other financial matters.</w:t>
      </w:r>
    </w:p>
    <w:p>
      <w:pPr>
        <w:spacing w:after="0" w:line="33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Staffing</w:t>
      </w:r>
    </w:p>
    <w:p>
      <w:pPr>
        <w:spacing w:after="0" w:line="117"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color w:val="auto"/>
        </w:rPr>
        <w:t>We staff each of our assignments with a team of quality professionals who have appropriate product, industry and geographic expertise. We pride ourselves on, and we believe we differentiate ourselves from our competitors by, being able to offer a high level of attention from senior personnel to our clients and organizing ourselves in such a way that managing directors who are responsible for securing and maintaining client relationships also actively participate in providing related advice and services. Our managing directors have significant experience, and many of them are able to use this experience to advise on M&amp;A, financings, restructurings, capital structure, shareholder advisory and other transactions or financial matters, depending on our clients’ needs. Many of our managing directors and senior employees come from diverse backgrounds, such as senior leadership positions in corporations, government, law and strategic consulting, which we believe enhances our ability to offer sophisticated advice and customized solutions to our clients. As of December 31, 2019, our Financial Advisory segment had 160 managing directors and 1,342 other professionals and support staff.</w:t>
      </w:r>
    </w:p>
    <w:p>
      <w:pPr>
        <w:spacing w:after="0" w:line="28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Industries Served</w:t>
      </w:r>
    </w:p>
    <w:p>
      <w:pPr>
        <w:spacing w:after="0" w:line="117" w:lineRule="exact"/>
        <w:rPr>
          <w:sz w:val="20"/>
          <w:szCs w:val="20"/>
          <w:color w:val="auto"/>
        </w:rPr>
      </w:pPr>
    </w:p>
    <w:p>
      <w:pPr>
        <w:ind w:right="740" w:firstLine="598"/>
        <w:spacing w:after="0" w:line="342" w:lineRule="auto"/>
        <w:rPr>
          <w:sz w:val="20"/>
          <w:szCs w:val="20"/>
          <w:color w:val="auto"/>
        </w:rPr>
      </w:pPr>
      <w:r>
        <w:rPr>
          <w:rFonts w:ascii="Arial" w:cs="Arial" w:eastAsia="Arial" w:hAnsi="Arial"/>
          <w:sz w:val="16"/>
          <w:szCs w:val="16"/>
          <w:color w:val="auto"/>
        </w:rPr>
        <w:t>We seek to offer our services across most major industry groups, including, in many cases, sub-industry specialties. Managing directors and professionals in our Mergers and Acquisitions practice are organized to provide advice in the following major industry practice areas:</w:t>
      </w:r>
    </w:p>
    <w:p>
      <w:pPr>
        <w:spacing w:after="0" w:line="16" w:lineRule="exact"/>
        <w:rPr>
          <w:sz w:val="20"/>
          <w:szCs w:val="20"/>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consumer;</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health care and life sciences;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industrials;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power and energy/infrastructure;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 estate;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technology, media and telecommunications.</w:t>
      </w:r>
    </w:p>
    <w:p>
      <w:pPr>
        <w:spacing w:after="0" w:line="225" w:lineRule="exact"/>
        <w:rPr>
          <w:sz w:val="20"/>
          <w:szCs w:val="20"/>
          <w:color w:val="auto"/>
        </w:rPr>
      </w:pPr>
    </w:p>
    <w:p>
      <w:pPr>
        <w:ind w:right="220" w:firstLine="598"/>
        <w:spacing w:after="0" w:line="264" w:lineRule="auto"/>
        <w:rPr>
          <w:sz w:val="20"/>
          <w:szCs w:val="20"/>
          <w:color w:val="auto"/>
        </w:rPr>
      </w:pPr>
      <w:r>
        <w:rPr>
          <w:rFonts w:ascii="Arial" w:cs="Arial" w:eastAsia="Arial" w:hAnsi="Arial"/>
          <w:sz w:val="18"/>
          <w:szCs w:val="18"/>
          <w:color w:val="auto"/>
        </w:rPr>
        <w:t>These groups are managed locally in each relevant geographic region and are coordinated globally, which allows us to bring local industry-specific knowledge to bear on behalf of our clients on a global basis. We believe that this enhances the scope and the quality of the advice that we can offer, which improves our ability to market our capabilities to clients.</w:t>
      </w:r>
    </w:p>
    <w:p>
      <w:pPr>
        <w:spacing w:after="0" w:line="181" w:lineRule="exact"/>
        <w:rPr>
          <w:sz w:val="20"/>
          <w:szCs w:val="20"/>
          <w:color w:val="auto"/>
        </w:rPr>
      </w:pPr>
    </w:p>
    <w:p>
      <w:pPr>
        <w:ind w:right="240" w:firstLine="598"/>
        <w:spacing w:after="0" w:line="277" w:lineRule="auto"/>
        <w:rPr>
          <w:sz w:val="20"/>
          <w:szCs w:val="20"/>
          <w:color w:val="auto"/>
        </w:rPr>
      </w:pPr>
      <w:r>
        <w:rPr>
          <w:rFonts w:ascii="Arial" w:cs="Arial" w:eastAsia="Arial" w:hAnsi="Arial"/>
          <w:sz w:val="18"/>
          <w:szCs w:val="18"/>
          <w:color w:val="auto"/>
        </w:rPr>
        <w:t>In addition to our Mergers and Acquisitions and Restructuring practices, we also maintain specialties in the following distinct practice areas within our Financial Advisory business:</w:t>
      </w:r>
    </w:p>
    <w:p>
      <w:pPr>
        <w:spacing w:after="0" w:line="62" w:lineRule="exact"/>
        <w:rPr>
          <w:sz w:val="20"/>
          <w:szCs w:val="20"/>
          <w:color w:val="auto"/>
        </w:rPr>
      </w:pPr>
    </w:p>
    <w:p>
      <w:pPr>
        <w:ind w:left="1200" w:hanging="598"/>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 and sovereign advisory;</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 structure and debt advisory;</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shareholder and corporate preparedness advisory;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ind w:left="1200" w:hanging="598"/>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fund-raising for alternative investment funds; and</w:t>
      </w:r>
    </w:p>
    <w:p>
      <w:pPr>
        <w:spacing w:after="0" w:line="117" w:lineRule="exact"/>
        <w:rPr>
          <w:rFonts w:ascii="Arial" w:cs="Arial" w:eastAsia="Arial" w:hAnsi="Arial"/>
          <w:sz w:val="18"/>
          <w:szCs w:val="18"/>
          <w:color w:val="auto"/>
        </w:rPr>
      </w:pPr>
    </w:p>
    <w:p>
      <w:pPr>
        <w:ind w:left="1200" w:right="340" w:hanging="598"/>
        <w:spacing w:after="0" w:line="277" w:lineRule="auto"/>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corporate finance and other services, including private placements, underwritten offerings related to our Financial Advisory business and transactions involving the exchange or issuance of securities.</w:t>
      </w:r>
    </w:p>
    <w:p>
      <w:pPr>
        <w:spacing w:after="0" w:line="170" w:lineRule="exact"/>
        <w:rPr>
          <w:sz w:val="20"/>
          <w:szCs w:val="20"/>
          <w:color w:val="auto"/>
        </w:rPr>
      </w:pPr>
    </w:p>
    <w:p>
      <w:pPr>
        <w:ind w:right="280" w:firstLine="598"/>
        <w:spacing w:after="0" w:line="277" w:lineRule="auto"/>
        <w:rPr>
          <w:sz w:val="20"/>
          <w:szCs w:val="20"/>
          <w:color w:val="auto"/>
        </w:rPr>
      </w:pPr>
      <w:r>
        <w:rPr>
          <w:rFonts w:ascii="Arial" w:cs="Arial" w:eastAsia="Arial" w:hAnsi="Arial"/>
          <w:sz w:val="18"/>
          <w:szCs w:val="18"/>
          <w:color w:val="auto"/>
        </w:rPr>
        <w:t>We endeavor to coordinate the activities of the professionals in these areas with our Mergers and Acquisitions industry specialists in order to offer clients customized teams of cross-functional expertise spanning both industry and practice area expertise.</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Strategy</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focus in our Financial Advisory business is on:</w:t>
      </w:r>
    </w:p>
    <w:p>
      <w:pPr>
        <w:spacing w:after="0" w:line="117" w:lineRule="exact"/>
        <w:rPr>
          <w:sz w:val="20"/>
          <w:szCs w:val="20"/>
          <w:color w:val="auto"/>
        </w:rPr>
      </w:pPr>
    </w:p>
    <w:p>
      <w:pPr>
        <w:ind w:left="1200" w:hanging="598"/>
        <w:spacing w:after="0"/>
        <w:tabs>
          <w:tab w:leader="none" w:pos="120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investing in our intellectual capital through senior professionals who we believe have strong client relationships and industry expertise;</w:t>
      </w:r>
    </w:p>
    <w:p>
      <w:pPr>
        <w:spacing w:after="0" w:line="128" w:lineRule="exact"/>
        <w:rPr>
          <w:rFonts w:ascii="Arial" w:cs="Arial" w:eastAsia="Arial" w:hAnsi="Arial"/>
          <w:sz w:val="17"/>
          <w:szCs w:val="17"/>
          <w:color w:val="auto"/>
        </w:rPr>
      </w:pPr>
    </w:p>
    <w:p>
      <w:pPr>
        <w:ind w:left="1200" w:right="760" w:hanging="598"/>
        <w:spacing w:after="0" w:line="277" w:lineRule="auto"/>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increasing our contacts with existing clients to further enhance our long-term relationships and our efforts in developing new client relationships;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developing new client relationships;</w:t>
      </w:r>
    </w:p>
    <w:p>
      <w:pPr>
        <w:spacing w:after="0" w:line="117" w:lineRule="exact"/>
        <w:rPr>
          <w:rFonts w:ascii="Arial" w:cs="Arial" w:eastAsia="Arial" w:hAnsi="Arial"/>
          <w:sz w:val="18"/>
          <w:szCs w:val="18"/>
          <w:color w:val="auto"/>
        </w:rPr>
      </w:pPr>
    </w:p>
    <w:p>
      <w:pPr>
        <w:ind w:left="1200" w:right="100" w:hanging="598"/>
        <w:spacing w:after="0" w:line="277" w:lineRule="auto"/>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expanding the breadth and depth of our industry expertise and selectively adding or reinforcing practice areas, such as our Capital Advisory, Shareholder Advisory and Sovereign Advisory groups;</w:t>
      </w:r>
    </w:p>
    <w:p>
      <w:pPr>
        <w:spacing w:after="0" w:line="62" w:lineRule="exact"/>
        <w:rPr>
          <w:rFonts w:ascii="Arial" w:cs="Arial" w:eastAsia="Arial" w:hAnsi="Arial"/>
          <w:sz w:val="18"/>
          <w:szCs w:val="18"/>
          <w:color w:val="auto"/>
        </w:rPr>
      </w:pPr>
    </w:p>
    <w:p>
      <w:pPr>
        <w:ind w:left="1200" w:right="760" w:hanging="598"/>
        <w:spacing w:after="0" w:line="277" w:lineRule="auto"/>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coordinating our industry specialty activities on a global basis and increasing the integration of our industry experts in Mergers and Acquisitions with our other professionals;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selectively bolstering our existing presence in certain local markets;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broadening our geographic presence by adding new offices where opportunities arise;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investing in our technology infrastructure and data science capabilities to enhance our business;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deploying our intellectual capital, strong client relationships and other assets to generate new revenue streams.</w:t>
      </w:r>
    </w:p>
    <w:p>
      <w:pPr>
        <w:spacing w:after="0" w:line="225"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In addition to the investments made as part of this strategy, we believe that our Financial Advisory business may benefit from external market factors, including:</w:t>
      </w:r>
    </w:p>
    <w:p>
      <w:pPr>
        <w:spacing w:after="0" w:line="62" w:lineRule="exact"/>
        <w:rPr>
          <w:sz w:val="20"/>
          <w:szCs w:val="20"/>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demand for independent, sophisticated financial advice;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recapitalization and related activities in developed and emerging markets;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relatively low interest rates and high corporate cash balances;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favorable levels of cross-border M&amp;A and large capitalization M&amp;A, two of our areas of historical specialization;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possible M&amp;A activity that may result from tax, regulatory and similar reform.</w:t>
      </w:r>
    </w:p>
    <w:p>
      <w:pPr>
        <w:spacing w:after="0" w:line="225" w:lineRule="exact"/>
        <w:rPr>
          <w:sz w:val="20"/>
          <w:szCs w:val="20"/>
          <w:color w:val="auto"/>
        </w:rPr>
      </w:pPr>
    </w:p>
    <w:p>
      <w:pPr>
        <w:ind w:right="280" w:firstLine="598"/>
        <w:spacing w:after="0" w:line="264" w:lineRule="auto"/>
        <w:rPr>
          <w:sz w:val="20"/>
          <w:szCs w:val="20"/>
          <w:color w:val="auto"/>
        </w:rPr>
      </w:pPr>
      <w:r>
        <w:rPr>
          <w:rFonts w:ascii="Arial" w:cs="Arial" w:eastAsia="Arial" w:hAnsi="Arial"/>
          <w:sz w:val="18"/>
          <w:szCs w:val="18"/>
          <w:color w:val="auto"/>
        </w:rPr>
        <w:t>Going forward, our strategic emphasis in our Financial Advisory business is to leverage the investments we have made to grow our business and drive our productivity. We continue to seek to opportunistically attract outstanding individuals to our business. We routinely reassess our strategic position and may in the future seek opportunities to further enhance our competitive position.</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117"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Our Asset Management business offers a broad range of global investment solutions and investment management services in equity and fixed income strategies, asset allocation strategies, alternative investments and private equity funds to corporations, public funds, sovereign entities, endowments and foundations, labor funds, financial intermediaries and private clients. Our goal in our Asset Management business is to produce superior risk-adjusted investment returns and provide customized investment solutions for our clients through the active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 w:name="page7"/>
    <w:bookmarkEnd w:id="6"/>
    <w:p>
      <w:pPr>
        <w:ind w:right="420"/>
        <w:spacing w:after="0" w:line="277" w:lineRule="auto"/>
        <w:rPr>
          <w:sz w:val="20"/>
          <w:szCs w:val="20"/>
          <w:color w:val="auto"/>
        </w:rPr>
      </w:pPr>
      <w:r>
        <w:rPr>
          <w:rFonts w:ascii="Arial" w:cs="Arial" w:eastAsia="Arial" w:hAnsi="Arial"/>
          <w:sz w:val="18"/>
          <w:szCs w:val="18"/>
          <w:color w:val="auto"/>
        </w:rPr>
        <w:t>management of their portfolios. Our investment teams construct and manage portfolios using various techniques and investment philosophies, including traditional fundamental research and analysis and quantitative tools.</w:t>
      </w:r>
    </w:p>
    <w:p>
      <w:pPr>
        <w:spacing w:after="0" w:line="170"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Our top ten clients accounted for 28%, 26% and 25% of our total assets under management (“AUM”) for the years ended December 31, 2019, 2018 and 2017, respectively, with no client individually contributing more than 10% of our Asset Management segment net revenue during any of the respective years. Approximately 86% of our AUM as of December 31, 2019 was managed on behalf of institutional clients, including corporations, labor unions, public pension funds, insurance companies and banks, and through sub-advisory relationships, mutual fund sponsors, broker-dealers and registered advisors, and approximately 14% of our AUM was managed on behalf of individual client relationships, which are principally with family offices and high-net worth individuals.</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charts below illustrate the mix of our AUM as of December 31, 2019, measured by broad product strategy and by office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152400</wp:posOffset>
            </wp:positionV>
            <wp:extent cx="4725035" cy="132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25035" cy="132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Our Asset Management business maintains offices in New York, Amsterdam, Bordeaux, Boston, Brussels, Chicago, Dubai, Dublin, Frankfurt, Geneva, Hamburg, Hong Kong, London, Lyon, Madrid, Melbourne, Milan, Montreal, Nantes, Paris, San Francisco, Seoul, Singapore, Sydney, Tokyo, Toronto and Zurich. These operations, with 104 managing directors and 986 other professionals and support staff as of December 31, 2019, provide our Asset Management business with both a global presence and a local identity.</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Primary distinguishing features of these operations include:</w:t>
      </w:r>
    </w:p>
    <w:p>
      <w:pPr>
        <w:spacing w:after="0" w:line="117" w:lineRule="exact"/>
        <w:rPr>
          <w:sz w:val="20"/>
          <w:szCs w:val="20"/>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global footprint with global research, global mandates and global clients;</w:t>
      </w:r>
    </w:p>
    <w:p>
      <w:pPr>
        <w:spacing w:after="0" w:line="117" w:lineRule="exact"/>
        <w:rPr>
          <w:rFonts w:ascii="Arial" w:cs="Arial" w:eastAsia="Arial" w:hAnsi="Arial"/>
          <w:sz w:val="18"/>
          <w:szCs w:val="18"/>
          <w:color w:val="auto"/>
        </w:rPr>
      </w:pPr>
    </w:p>
    <w:p>
      <w:pPr>
        <w:ind w:left="1200" w:right="100" w:hanging="598"/>
        <w:spacing w:after="0" w:line="277" w:lineRule="auto"/>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broad-based team of investment professionals, including focused, in-house investment analysts across all products and platforms, many of whom have substantial industry or sector specific expertise; and</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world-wide brand recognition and multi-channel distribution capabilities.</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Our Investment Philosophy, Process and Research</w:t>
      </w:r>
    </w:p>
    <w:p>
      <w:pPr>
        <w:spacing w:after="0" w:line="117" w:lineRule="exact"/>
        <w:rPr>
          <w:sz w:val="20"/>
          <w:szCs w:val="20"/>
          <w:color w:val="auto"/>
        </w:rPr>
      </w:pPr>
    </w:p>
    <w:p>
      <w:pPr>
        <w:ind w:right="180" w:firstLine="598"/>
        <w:spacing w:after="0" w:line="277" w:lineRule="auto"/>
        <w:rPr>
          <w:sz w:val="20"/>
          <w:szCs w:val="20"/>
          <w:color w:val="auto"/>
        </w:rPr>
      </w:pPr>
      <w:r>
        <w:rPr>
          <w:rFonts w:ascii="Arial" w:cs="Arial" w:eastAsia="Arial" w:hAnsi="Arial"/>
          <w:sz w:val="18"/>
          <w:szCs w:val="18"/>
          <w:color w:val="auto"/>
        </w:rPr>
        <w:t>Our investment philosophy is generally based upon a fundamental security selection approach to investing. Across many of our products, we apply three key principles to investment portfolios:</w:t>
      </w:r>
    </w:p>
    <w:p>
      <w:pPr>
        <w:spacing w:after="0" w:line="62" w:lineRule="exact"/>
        <w:rPr>
          <w:sz w:val="20"/>
          <w:szCs w:val="20"/>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select securities, not markets;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evaluate a company’s financial position, outlook, opportunities and risks, together with its valuation;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manage risk.</w:t>
      </w:r>
    </w:p>
    <w:p>
      <w:pPr>
        <w:spacing w:after="0" w:line="225" w:lineRule="exact"/>
        <w:rPr>
          <w:sz w:val="20"/>
          <w:szCs w:val="20"/>
          <w:color w:val="auto"/>
        </w:rPr>
      </w:pPr>
    </w:p>
    <w:p>
      <w:pPr>
        <w:ind w:right="1060" w:firstLine="598"/>
        <w:spacing w:after="0" w:line="277" w:lineRule="auto"/>
        <w:rPr>
          <w:sz w:val="20"/>
          <w:szCs w:val="20"/>
          <w:color w:val="auto"/>
        </w:rPr>
      </w:pPr>
      <w:r>
        <w:rPr>
          <w:rFonts w:ascii="Arial" w:cs="Arial" w:eastAsia="Arial" w:hAnsi="Arial"/>
          <w:sz w:val="18"/>
          <w:szCs w:val="18"/>
          <w:color w:val="auto"/>
        </w:rPr>
        <w:t>In searching for investment opportunities, many of our investment professionals follow an investment process that incorporates several interconnected components that may include:</w:t>
      </w:r>
    </w:p>
    <w:p>
      <w:pPr>
        <w:spacing w:after="0" w:line="62" w:lineRule="exact"/>
        <w:rPr>
          <w:sz w:val="20"/>
          <w:szCs w:val="20"/>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fundamental analysis;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quantitative analysis;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accounting analysis;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7" w:name="page8"/>
    <w:bookmarkEnd w:id="7"/>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security selection and portfolio construction;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 management;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environmental, social and governance factors.</w:t>
      </w:r>
    </w:p>
    <w:p>
      <w:pPr>
        <w:spacing w:after="0" w:line="225" w:lineRule="exact"/>
        <w:rPr>
          <w:sz w:val="20"/>
          <w:szCs w:val="20"/>
          <w:color w:val="auto"/>
        </w:rPr>
      </w:pPr>
    </w:p>
    <w:p>
      <w:pPr>
        <w:ind w:right="100" w:firstLine="598"/>
        <w:spacing w:after="0" w:line="342" w:lineRule="auto"/>
        <w:rPr>
          <w:sz w:val="20"/>
          <w:szCs w:val="20"/>
          <w:color w:val="auto"/>
        </w:rPr>
      </w:pPr>
      <w:r>
        <w:rPr>
          <w:rFonts w:ascii="Arial" w:cs="Arial" w:eastAsia="Arial" w:hAnsi="Arial"/>
          <w:sz w:val="16"/>
          <w:szCs w:val="16"/>
          <w:color w:val="auto"/>
        </w:rPr>
        <w:t>In our Asset Management business, we conduct investment research on a global basis to develop market, industry and company specific insights and evaluate investment opportunities. Many of our global equity analysts, located in our worldwide offices, are organized around global industry sectors.</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Investment Strategies</w:t>
      </w:r>
    </w:p>
    <w:p>
      <w:pPr>
        <w:spacing w:after="0" w:line="117" w:lineRule="exact"/>
        <w:rPr>
          <w:sz w:val="20"/>
          <w:szCs w:val="20"/>
          <w:color w:val="auto"/>
        </w:rPr>
      </w:pPr>
    </w:p>
    <w:p>
      <w:pPr>
        <w:ind w:right="240" w:firstLine="598"/>
        <w:spacing w:after="0" w:line="308" w:lineRule="auto"/>
        <w:rPr>
          <w:sz w:val="20"/>
          <w:szCs w:val="20"/>
          <w:color w:val="auto"/>
        </w:rPr>
      </w:pPr>
      <w:r>
        <w:rPr>
          <w:rFonts w:ascii="Arial" w:cs="Arial" w:eastAsia="Arial" w:hAnsi="Arial"/>
          <w:sz w:val="17"/>
          <w:szCs w:val="17"/>
          <w:color w:val="auto"/>
        </w:rPr>
        <w:t>Our Asset Management business provides equity, fixed income, cash management and alternative investment strategies to our clients, paying close attention to our clients’ varying and expanding investment needs. We offer the following product platform of investment strategies: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920" w:type="dxa"/>
            <w:vAlign w:val="bottom"/>
            <w:vMerge w:val="restart"/>
          </w:tcPr>
          <w:p>
            <w:pPr>
              <w:spacing w:after="0"/>
              <w:rPr>
                <w:sz w:val="20"/>
                <w:szCs w:val="20"/>
                <w:color w:val="auto"/>
              </w:rPr>
            </w:pPr>
            <w:r>
              <w:rPr>
                <w:rFonts w:ascii="Arial" w:cs="Arial" w:eastAsia="Arial" w:hAnsi="Arial"/>
                <w:sz w:val="16"/>
                <w:szCs w:val="16"/>
                <w:b w:val="1"/>
                <w:bCs w:val="1"/>
                <w:color w:val="auto"/>
              </w:rPr>
              <w:t>Equity</w:t>
            </w:r>
          </w:p>
        </w:tc>
        <w:tc>
          <w:tcPr>
            <w:tcW w:w="2400" w:type="dxa"/>
            <w:vAlign w:val="bottom"/>
            <w:gridSpan w:val="2"/>
          </w:tcPr>
          <w:p>
            <w:pPr>
              <w:ind w:left="960"/>
              <w:spacing w:after="0"/>
              <w:rPr>
                <w:sz w:val="20"/>
                <w:szCs w:val="20"/>
                <w:color w:val="auto"/>
              </w:rPr>
            </w:pPr>
            <w:r>
              <w:rPr>
                <w:rFonts w:ascii="Arial" w:cs="Arial" w:eastAsia="Arial" w:hAnsi="Arial"/>
                <w:sz w:val="16"/>
                <w:szCs w:val="16"/>
                <w:b w:val="1"/>
                <w:bCs w:val="1"/>
                <w:color w:val="auto"/>
              </w:rPr>
              <w:t>Global</w:t>
            </w:r>
          </w:p>
        </w:tc>
        <w:tc>
          <w:tcPr>
            <w:tcW w:w="2400" w:type="dxa"/>
            <w:vAlign w:val="bottom"/>
            <w:gridSpan w:val="2"/>
          </w:tcPr>
          <w:p>
            <w:pPr>
              <w:ind w:left="660"/>
              <w:spacing w:after="0"/>
              <w:rPr>
                <w:sz w:val="20"/>
                <w:szCs w:val="20"/>
                <w:color w:val="auto"/>
              </w:rPr>
            </w:pPr>
            <w:r>
              <w:rPr>
                <w:rFonts w:ascii="Arial" w:cs="Arial" w:eastAsia="Arial" w:hAnsi="Arial"/>
                <w:sz w:val="16"/>
                <w:szCs w:val="16"/>
                <w:b w:val="1"/>
                <w:bCs w:val="1"/>
                <w:color w:val="auto"/>
              </w:rPr>
              <w:t>Multi-Regional</w:t>
            </w:r>
          </w:p>
        </w:tc>
        <w:tc>
          <w:tcPr>
            <w:tcW w:w="2440" w:type="dxa"/>
            <w:vAlign w:val="bottom"/>
            <w:gridSpan w:val="2"/>
          </w:tcPr>
          <w:p>
            <w:pPr>
              <w:ind w:left="1020"/>
              <w:spacing w:after="0"/>
              <w:rPr>
                <w:sz w:val="20"/>
                <w:szCs w:val="20"/>
                <w:color w:val="auto"/>
              </w:rPr>
            </w:pPr>
            <w:r>
              <w:rPr>
                <w:rFonts w:ascii="Arial" w:cs="Arial" w:eastAsia="Arial" w:hAnsi="Arial"/>
                <w:sz w:val="16"/>
                <w:szCs w:val="16"/>
                <w:b w:val="1"/>
                <w:bCs w:val="1"/>
                <w:color w:val="auto"/>
              </w:rPr>
              <w:t>Local</w:t>
            </w:r>
          </w:p>
        </w:tc>
        <w:tc>
          <w:tcPr>
            <w:tcW w:w="2260" w:type="dxa"/>
            <w:vAlign w:val="bottom"/>
          </w:tcPr>
          <w:p>
            <w:pPr>
              <w:ind w:left="540"/>
              <w:spacing w:after="0"/>
              <w:rPr>
                <w:sz w:val="20"/>
                <w:szCs w:val="20"/>
                <w:color w:val="auto"/>
              </w:rPr>
            </w:pPr>
            <w:r>
              <w:rPr>
                <w:rFonts w:ascii="Arial" w:cs="Arial" w:eastAsia="Arial" w:hAnsi="Arial"/>
                <w:sz w:val="16"/>
                <w:szCs w:val="16"/>
                <w:b w:val="1"/>
                <w:bCs w:val="1"/>
                <w:color w:val="auto"/>
              </w:rPr>
              <w:t>Emerging Markets</w:t>
            </w:r>
          </w:p>
        </w:tc>
        <w:tc>
          <w:tcPr>
            <w:tcW w:w="0" w:type="dxa"/>
            <w:vAlign w:val="bottom"/>
          </w:tcPr>
          <w:p>
            <w:pPr>
              <w:spacing w:after="0"/>
              <w:rPr>
                <w:sz w:val="1"/>
                <w:szCs w:val="1"/>
                <w:color w:val="auto"/>
              </w:rPr>
            </w:pPr>
          </w:p>
        </w:tc>
      </w:tr>
      <w:tr>
        <w:trPr>
          <w:trHeight w:val="189"/>
        </w:trPr>
        <w:tc>
          <w:tcPr>
            <w:tcW w:w="1920" w:type="dxa"/>
            <w:vAlign w:val="bottom"/>
            <w:vMerge w:val="continue"/>
          </w:tcPr>
          <w:p>
            <w:pPr>
              <w:spacing w:after="0"/>
              <w:rPr>
                <w:sz w:val="16"/>
                <w:szCs w:val="16"/>
                <w:color w:val="auto"/>
              </w:rPr>
            </w:pPr>
          </w:p>
        </w:tc>
        <w:tc>
          <w:tcPr>
            <w:tcW w:w="224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i w:val="1"/>
                <w:iCs w:val="1"/>
                <w:color w:val="auto"/>
              </w:rPr>
              <w:t>Global</w:t>
            </w:r>
          </w:p>
        </w:tc>
        <w:tc>
          <w:tcPr>
            <w:tcW w:w="160" w:type="dxa"/>
            <w:vAlign w:val="bottom"/>
          </w:tcPr>
          <w:p>
            <w:pPr>
              <w:spacing w:after="0"/>
              <w:rPr>
                <w:sz w:val="16"/>
                <w:szCs w:val="16"/>
                <w:color w:val="auto"/>
              </w:rPr>
            </w:pPr>
          </w:p>
        </w:tc>
        <w:tc>
          <w:tcPr>
            <w:tcW w:w="226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i w:val="1"/>
                <w:iCs w:val="1"/>
                <w:color w:val="auto"/>
              </w:rPr>
              <w:t>Pan-European</w:t>
            </w:r>
          </w:p>
        </w:tc>
        <w:tc>
          <w:tcPr>
            <w:tcW w:w="140" w:type="dxa"/>
            <w:vAlign w:val="bottom"/>
          </w:tcPr>
          <w:p>
            <w:pPr>
              <w:spacing w:after="0"/>
              <w:rPr>
                <w:sz w:val="16"/>
                <w:szCs w:val="16"/>
                <w:color w:val="auto"/>
              </w:rPr>
            </w:pPr>
          </w:p>
        </w:tc>
        <w:tc>
          <w:tcPr>
            <w:tcW w:w="228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i w:val="1"/>
                <w:iCs w:val="1"/>
                <w:color w:val="auto"/>
              </w:rPr>
              <w:t>U.S.</w:t>
            </w:r>
          </w:p>
        </w:tc>
        <w:tc>
          <w:tcPr>
            <w:tcW w:w="160" w:type="dxa"/>
            <w:vAlign w:val="bottom"/>
          </w:tcPr>
          <w:p>
            <w:pPr>
              <w:spacing w:after="0"/>
              <w:rPr>
                <w:sz w:val="16"/>
                <w:szCs w:val="16"/>
                <w:color w:val="auto"/>
              </w:rPr>
            </w:pPr>
          </w:p>
        </w:tc>
        <w:tc>
          <w:tcPr>
            <w:tcW w:w="226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i w:val="1"/>
                <w:iCs w:val="1"/>
                <w:color w:val="auto"/>
              </w:rPr>
              <w:t>Global</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Large Capitalization</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Large Capitalization</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Large Capitalization</w:t>
            </w:r>
          </w:p>
        </w:tc>
        <w:tc>
          <w:tcPr>
            <w:tcW w:w="2260" w:type="dxa"/>
            <w:vAlign w:val="bottom"/>
          </w:tcPr>
          <w:p>
            <w:pPr>
              <w:ind w:left="100"/>
              <w:spacing w:after="0"/>
              <w:rPr>
                <w:sz w:val="20"/>
                <w:szCs w:val="20"/>
                <w:color w:val="auto"/>
              </w:rPr>
            </w:pPr>
            <w:r>
              <w:rPr>
                <w:rFonts w:ascii="Arial" w:cs="Arial" w:eastAsia="Arial" w:hAnsi="Arial"/>
                <w:sz w:val="16"/>
                <w:szCs w:val="16"/>
                <w:color w:val="auto"/>
              </w:rPr>
              <w:t>Large Capitalization</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Small Capitalization</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Small Capitalization</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Small/Mid Capitalization</w:t>
            </w:r>
          </w:p>
        </w:tc>
        <w:tc>
          <w:tcPr>
            <w:tcW w:w="2260" w:type="dxa"/>
            <w:vAlign w:val="bottom"/>
          </w:tcPr>
          <w:p>
            <w:pPr>
              <w:ind w:left="100"/>
              <w:spacing w:after="0"/>
              <w:rPr>
                <w:sz w:val="20"/>
                <w:szCs w:val="20"/>
                <w:color w:val="auto"/>
              </w:rPr>
            </w:pPr>
            <w:r>
              <w:rPr>
                <w:rFonts w:ascii="Arial" w:cs="Arial" w:eastAsia="Arial" w:hAnsi="Arial"/>
                <w:sz w:val="16"/>
                <w:szCs w:val="16"/>
                <w:color w:val="auto"/>
              </w:rPr>
              <w:t>Small Capitalization</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Thematic</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Multi-Capitalization  Value</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Multi-Capitalization</w:t>
            </w:r>
          </w:p>
        </w:tc>
        <w:tc>
          <w:tcPr>
            <w:tcW w:w="2260" w:type="dxa"/>
            <w:vAlign w:val="bottom"/>
          </w:tcPr>
          <w:p>
            <w:pPr>
              <w:ind w:left="100"/>
              <w:spacing w:after="0"/>
              <w:rPr>
                <w:sz w:val="20"/>
                <w:szCs w:val="20"/>
                <w:color w:val="auto"/>
              </w:rPr>
            </w:pPr>
            <w:r>
              <w:rPr>
                <w:rFonts w:ascii="Arial" w:cs="Arial" w:eastAsia="Arial" w:hAnsi="Arial"/>
                <w:sz w:val="16"/>
                <w:szCs w:val="16"/>
                <w:color w:val="auto"/>
              </w:rPr>
              <w:t>Quantitative</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Listed Infrastructure</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Quantitative</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ind w:left="100"/>
              <w:spacing w:after="0"/>
              <w:rPr>
                <w:sz w:val="20"/>
                <w:szCs w:val="20"/>
                <w:color w:val="auto"/>
              </w:rPr>
            </w:pPr>
            <w:r>
              <w:rPr>
                <w:rFonts w:ascii="Arial" w:cs="Arial" w:eastAsia="Arial" w:hAnsi="Arial"/>
                <w:sz w:val="16"/>
                <w:szCs w:val="16"/>
                <w:color w:val="auto"/>
              </w:rPr>
              <w:t>Multi-Asset</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Quantitative</w:t>
            </w:r>
          </w:p>
        </w:tc>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Other</w:t>
            </w:r>
          </w:p>
        </w:tc>
        <w:tc>
          <w:tcPr>
            <w:tcW w:w="2260" w:type="dxa"/>
            <w:vAlign w:val="bottom"/>
          </w:tcPr>
          <w:p>
            <w:pPr>
              <w:ind w:left="100"/>
              <w:spacing w:after="0"/>
              <w:rPr>
                <w:sz w:val="20"/>
                <w:szCs w:val="20"/>
                <w:color w:val="auto"/>
              </w:rPr>
            </w:pPr>
            <w:r>
              <w:rPr>
                <w:rFonts w:ascii="Arial" w:cs="Arial" w:eastAsia="Arial" w:hAnsi="Arial"/>
                <w:sz w:val="16"/>
                <w:szCs w:val="16"/>
                <w:color w:val="auto"/>
              </w:rPr>
              <w:t>Managed Volatility</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Multi-Asset</w:t>
            </w:r>
          </w:p>
        </w:tc>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U.K. (Large Capitalization)</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Managed Volatility</w:t>
            </w:r>
          </w:p>
        </w:tc>
        <w:tc>
          <w:tcPr>
            <w:tcW w:w="240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Eurozone</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U.K. (Small Capitalization)</w:t>
            </w:r>
          </w:p>
        </w:tc>
        <w:tc>
          <w:tcPr>
            <w:tcW w:w="2260" w:type="dxa"/>
            <w:vAlign w:val="bottom"/>
          </w:tcPr>
          <w:p>
            <w:pPr>
              <w:ind w:left="100"/>
              <w:spacing w:after="0"/>
              <w:rPr>
                <w:sz w:val="20"/>
                <w:szCs w:val="20"/>
                <w:color w:val="auto"/>
              </w:rPr>
            </w:pPr>
            <w:r>
              <w:rPr>
                <w:rFonts w:ascii="Arial" w:cs="Arial" w:eastAsia="Arial" w:hAnsi="Arial"/>
                <w:sz w:val="16"/>
                <w:szCs w:val="16"/>
                <w:b w:val="1"/>
                <w:bCs w:val="1"/>
                <w:i w:val="1"/>
                <w:iCs w:val="1"/>
                <w:color w:val="auto"/>
              </w:rPr>
              <w:t>Latin America</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Real Assets</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Large Capitalization</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U.K. Quantitative</w:t>
            </w:r>
          </w:p>
        </w:tc>
        <w:tc>
          <w:tcPr>
            <w:tcW w:w="2260" w:type="dxa"/>
            <w:vAlign w:val="bottom"/>
          </w:tcPr>
          <w:p>
            <w:pPr>
              <w:ind w:left="100"/>
              <w:spacing w:after="0"/>
              <w:rPr>
                <w:sz w:val="20"/>
                <w:szCs w:val="20"/>
                <w:color w:val="auto"/>
              </w:rPr>
            </w:pPr>
            <w:r>
              <w:rPr>
                <w:rFonts w:ascii="Arial" w:cs="Arial" w:eastAsia="Arial" w:hAnsi="Arial"/>
                <w:sz w:val="16"/>
                <w:szCs w:val="16"/>
                <w:color w:val="auto"/>
              </w:rPr>
              <w:t>Latin America</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Multi-Factor</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Small Capitalization</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Australia</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Sustainable</w:t>
            </w:r>
          </w:p>
        </w:tc>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France (Large Capitalization)</w:t>
            </w:r>
          </w:p>
        </w:tc>
        <w:tc>
          <w:tcPr>
            <w:tcW w:w="2260" w:type="dxa"/>
            <w:vAlign w:val="bottom"/>
          </w:tcPr>
          <w:p>
            <w:pPr>
              <w:ind w:left="100"/>
              <w:spacing w:after="0"/>
              <w:rPr>
                <w:sz w:val="20"/>
                <w:szCs w:val="20"/>
                <w:color w:val="auto"/>
              </w:rPr>
            </w:pPr>
            <w:r>
              <w:rPr>
                <w:rFonts w:ascii="Arial" w:cs="Arial" w:eastAsia="Arial" w:hAnsi="Arial"/>
                <w:sz w:val="16"/>
                <w:szCs w:val="16"/>
                <w:b w:val="1"/>
                <w:bCs w:val="1"/>
                <w:i w:val="1"/>
                <w:iCs w:val="1"/>
                <w:color w:val="auto"/>
              </w:rPr>
              <w:t>Middle East North Africa</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Continental European</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France (Small Capitalization)</w:t>
            </w:r>
          </w:p>
        </w:tc>
        <w:tc>
          <w:tcPr>
            <w:tcW w:w="2260" w:type="dxa"/>
            <w:vAlign w:val="bottom"/>
          </w:tcPr>
          <w:p>
            <w:pPr>
              <w:ind w:left="100"/>
              <w:spacing w:after="0"/>
              <w:rPr>
                <w:sz w:val="20"/>
                <w:szCs w:val="20"/>
                <w:color w:val="auto"/>
              </w:rPr>
            </w:pPr>
            <w:r>
              <w:rPr>
                <w:rFonts w:ascii="Arial" w:cs="Arial" w:eastAsia="Arial" w:hAnsi="Arial"/>
                <w:sz w:val="16"/>
                <w:szCs w:val="16"/>
                <w:color w:val="auto"/>
              </w:rPr>
              <w:t>Middle East North Africa</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Global Ex</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Small Capitalization</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Japan</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Global Ex-U.K.</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Multi Capitalization</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Global Ex-Japan</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Eurozone</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Global Ex-Australia</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Euro-Trend (Thematic)</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Global Ex-U.S.</w:t>
            </w:r>
          </w:p>
        </w:tc>
        <w:tc>
          <w:tcPr>
            <w:tcW w:w="2400" w:type="dxa"/>
            <w:vAlign w:val="bottom"/>
            <w:gridSpan w:val="2"/>
            <w:vMerge w:val="restart"/>
          </w:tcPr>
          <w:p>
            <w:pPr>
              <w:ind w:left="100"/>
              <w:spacing w:after="0"/>
              <w:rPr>
                <w:sz w:val="20"/>
                <w:szCs w:val="20"/>
                <w:color w:val="auto"/>
              </w:rPr>
            </w:pPr>
            <w:r>
              <w:rPr>
                <w:rFonts w:ascii="Arial" w:cs="Arial" w:eastAsia="Arial" w:hAnsi="Arial"/>
                <w:sz w:val="16"/>
                <w:szCs w:val="16"/>
                <w:b w:val="1"/>
                <w:bCs w:val="1"/>
                <w:i w:val="1"/>
                <w:iCs w:val="1"/>
                <w:color w:val="auto"/>
              </w:rPr>
              <w:t>Asian</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vMerge w:val="continue"/>
          </w:tcPr>
          <w:p>
            <w:pPr>
              <w:spacing w:after="0"/>
              <w:rPr>
                <w:sz w:val="17"/>
                <w:szCs w:val="17"/>
                <w:color w:val="auto"/>
              </w:rPr>
            </w:pP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Asia Ex-Japan</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Quantitative</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1"/>
        </w:trPr>
        <w:tc>
          <w:tcPr>
            <w:tcW w:w="19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Europe, Australasia and Far</w:t>
            </w:r>
          </w:p>
        </w:tc>
        <w:tc>
          <w:tcPr>
            <w:tcW w:w="2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East</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Large Capitalization</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Small Capitalization</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Multi-Capitalization</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Quantitative</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5"/>
        </w:trPr>
        <w:tc>
          <w:tcPr>
            <w:tcW w:w="1920" w:type="dxa"/>
            <w:vAlign w:val="bottom"/>
          </w:tcPr>
          <w:p>
            <w:pPr>
              <w:spacing w:after="0"/>
              <w:rPr>
                <w:sz w:val="20"/>
                <w:szCs w:val="20"/>
                <w:color w:val="auto"/>
              </w:rPr>
            </w:pPr>
            <w:r>
              <w:rPr>
                <w:rFonts w:ascii="Arial" w:cs="Arial" w:eastAsia="Arial" w:hAnsi="Arial"/>
                <w:sz w:val="16"/>
                <w:szCs w:val="16"/>
                <w:b w:val="1"/>
                <w:bCs w:val="1"/>
                <w:color w:val="auto"/>
              </w:rPr>
              <w:t>Fixed Income and Cash</w:t>
            </w:r>
          </w:p>
        </w:tc>
        <w:tc>
          <w:tcPr>
            <w:tcW w:w="240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Global</w:t>
            </w:r>
          </w:p>
        </w:tc>
        <w:tc>
          <w:tcPr>
            <w:tcW w:w="240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Pan-European</w:t>
            </w:r>
          </w:p>
        </w:tc>
        <w:tc>
          <w:tcPr>
            <w:tcW w:w="244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U.S.</w:t>
            </w:r>
          </w:p>
        </w:tc>
        <w:tc>
          <w:tcPr>
            <w:tcW w:w="2260" w:type="dxa"/>
            <w:vAlign w:val="bottom"/>
          </w:tcPr>
          <w:p>
            <w:pPr>
              <w:ind w:left="100"/>
              <w:spacing w:after="0"/>
              <w:rPr>
                <w:sz w:val="20"/>
                <w:szCs w:val="20"/>
                <w:color w:val="auto"/>
              </w:rPr>
            </w:pPr>
            <w:r>
              <w:rPr>
                <w:rFonts w:ascii="Arial" w:cs="Arial" w:eastAsia="Arial" w:hAnsi="Arial"/>
                <w:sz w:val="16"/>
                <w:szCs w:val="16"/>
                <w:b w:val="1"/>
                <w:bCs w:val="1"/>
                <w:i w:val="1"/>
                <w:iCs w:val="1"/>
                <w:color w:val="auto"/>
              </w:rPr>
              <w:t>Global</w:t>
            </w:r>
          </w:p>
        </w:tc>
        <w:tc>
          <w:tcPr>
            <w:tcW w:w="0" w:type="dxa"/>
            <w:vAlign w:val="bottom"/>
          </w:tcPr>
          <w:p>
            <w:pPr>
              <w:spacing w:after="0"/>
              <w:rPr>
                <w:sz w:val="1"/>
                <w:szCs w:val="1"/>
                <w:color w:val="auto"/>
              </w:rPr>
            </w:pPr>
          </w:p>
        </w:tc>
      </w:tr>
      <w:tr>
        <w:trPr>
          <w:trHeight w:val="207"/>
        </w:trPr>
        <w:tc>
          <w:tcPr>
            <w:tcW w:w="1920" w:type="dxa"/>
            <w:vAlign w:val="bottom"/>
          </w:tcPr>
          <w:p>
            <w:pPr>
              <w:spacing w:after="0"/>
              <w:rPr>
                <w:sz w:val="20"/>
                <w:szCs w:val="20"/>
                <w:color w:val="auto"/>
              </w:rPr>
            </w:pPr>
            <w:r>
              <w:rPr>
                <w:rFonts w:ascii="Arial" w:cs="Arial" w:eastAsia="Arial" w:hAnsi="Arial"/>
                <w:sz w:val="16"/>
                <w:szCs w:val="16"/>
                <w:b w:val="1"/>
                <w:bCs w:val="1"/>
                <w:color w:val="auto"/>
              </w:rPr>
              <w:t>Management</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Core/Core Plus</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Core</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Core/Core Plus</w:t>
            </w:r>
          </w:p>
        </w:tc>
        <w:tc>
          <w:tcPr>
            <w:tcW w:w="2260" w:type="dxa"/>
            <w:vAlign w:val="bottom"/>
          </w:tcPr>
          <w:p>
            <w:pPr>
              <w:ind w:left="100"/>
              <w:spacing w:after="0"/>
              <w:rPr>
                <w:sz w:val="20"/>
                <w:szCs w:val="20"/>
                <w:color w:val="auto"/>
              </w:rPr>
            </w:pPr>
            <w:r>
              <w:rPr>
                <w:rFonts w:ascii="Arial" w:cs="Arial" w:eastAsia="Arial" w:hAnsi="Arial"/>
                <w:sz w:val="16"/>
                <w:szCs w:val="16"/>
                <w:color w:val="auto"/>
              </w:rPr>
              <w:t>Emerging Debt</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High Yield</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High Yield</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High Yield</w:t>
            </w:r>
          </w:p>
        </w:tc>
        <w:tc>
          <w:tcPr>
            <w:tcW w:w="2260" w:type="dxa"/>
            <w:vAlign w:val="bottom"/>
          </w:tcPr>
          <w:p>
            <w:pPr>
              <w:ind w:left="100"/>
              <w:spacing w:after="0"/>
              <w:rPr>
                <w:sz w:val="20"/>
                <w:szCs w:val="20"/>
                <w:color w:val="auto"/>
              </w:rPr>
            </w:pPr>
            <w:r>
              <w:rPr>
                <w:rFonts w:ascii="Arial" w:cs="Arial" w:eastAsia="Arial" w:hAnsi="Arial"/>
                <w:sz w:val="16"/>
                <w:szCs w:val="16"/>
                <w:color w:val="auto"/>
              </w:rPr>
              <w:t>Emerging Corporate</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Short Duration</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Cash Management</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Short Duration</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Convertibles</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Duration Overlay</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Municipals</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Convertibles</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Cash Management</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1"/>
        </w:trPr>
        <w:tc>
          <w:tcPr>
            <w:tcW w:w="19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Eurozone</w:t>
            </w:r>
          </w:p>
        </w:tc>
        <w:tc>
          <w:tcPr>
            <w:tcW w:w="244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Non-U.S.</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Fixed Income</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U.K.</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Cash Management</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Scandinavian</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Corporate Bonds</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9"/>
        </w:trPr>
        <w:tc>
          <w:tcPr>
            <w:tcW w:w="1920" w:type="dxa"/>
            <w:vAlign w:val="bottom"/>
          </w:tcPr>
          <w:p>
            <w:pPr>
              <w:spacing w:after="0"/>
              <w:rPr>
                <w:sz w:val="20"/>
                <w:szCs w:val="20"/>
                <w:color w:val="auto"/>
              </w:rPr>
            </w:pPr>
            <w:r>
              <w:rPr>
                <w:rFonts w:ascii="Arial" w:cs="Arial" w:eastAsia="Arial" w:hAnsi="Arial"/>
                <w:sz w:val="16"/>
                <w:szCs w:val="16"/>
                <w:b w:val="1"/>
                <w:bCs w:val="1"/>
                <w:color w:val="auto"/>
              </w:rPr>
              <w:t>Alternative</w:t>
            </w:r>
          </w:p>
        </w:tc>
        <w:tc>
          <w:tcPr>
            <w:tcW w:w="2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European</w:t>
            </w:r>
          </w:p>
        </w:tc>
        <w:tc>
          <w:tcPr>
            <w:tcW w:w="244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U.S.</w:t>
            </w:r>
          </w:p>
        </w:tc>
        <w:tc>
          <w:tcPr>
            <w:tcW w:w="2260" w:type="dxa"/>
            <w:vAlign w:val="bottom"/>
          </w:tcPr>
          <w:p>
            <w:pPr>
              <w:ind w:left="100"/>
              <w:spacing w:after="0"/>
              <w:rPr>
                <w:sz w:val="20"/>
                <w:szCs w:val="20"/>
                <w:color w:val="auto"/>
              </w:rPr>
            </w:pPr>
            <w:r>
              <w:rPr>
                <w:rFonts w:ascii="Arial" w:cs="Arial" w:eastAsia="Arial" w:hAnsi="Arial"/>
                <w:sz w:val="16"/>
                <w:szCs w:val="16"/>
                <w:b w:val="1"/>
                <w:bCs w:val="1"/>
                <w:i w:val="1"/>
                <w:iCs w:val="1"/>
                <w:color w:val="auto"/>
              </w:rPr>
              <w:t>Global</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Global</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Long/Short Equity</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Systematic (Long/Short)</w:t>
            </w:r>
          </w:p>
        </w:tc>
        <w:tc>
          <w:tcPr>
            <w:tcW w:w="2260" w:type="dxa"/>
            <w:vAlign w:val="bottom"/>
          </w:tcPr>
          <w:p>
            <w:pPr>
              <w:ind w:left="100"/>
              <w:spacing w:after="0"/>
              <w:rPr>
                <w:sz w:val="20"/>
                <w:szCs w:val="20"/>
                <w:color w:val="auto"/>
              </w:rPr>
            </w:pPr>
            <w:r>
              <w:rPr>
                <w:rFonts w:ascii="Arial" w:cs="Arial" w:eastAsia="Arial" w:hAnsi="Arial"/>
                <w:sz w:val="16"/>
                <w:szCs w:val="16"/>
                <w:color w:val="auto"/>
              </w:rPr>
              <w:t>Emerging Income</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Convertibles</w:t>
            </w:r>
          </w:p>
        </w:tc>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Market Neutral</w:t>
            </w:r>
          </w:p>
        </w:tc>
        <w:tc>
          <w:tcPr>
            <w:tcW w:w="2260" w:type="dxa"/>
            <w:vAlign w:val="bottom"/>
          </w:tcPr>
          <w:p>
            <w:pPr>
              <w:ind w:left="100"/>
              <w:spacing w:after="0"/>
              <w:rPr>
                <w:sz w:val="20"/>
                <w:szCs w:val="20"/>
                <w:color w:val="auto"/>
              </w:rPr>
            </w:pPr>
            <w:r>
              <w:rPr>
                <w:rFonts w:ascii="Arial" w:cs="Arial" w:eastAsia="Arial" w:hAnsi="Arial"/>
                <w:sz w:val="16"/>
                <w:szCs w:val="16"/>
                <w:color w:val="auto"/>
              </w:rPr>
              <w:t>Emerging Debt</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Arbitrage/Relative Value</w:t>
            </w:r>
          </w:p>
        </w:tc>
        <w:tc>
          <w:tcPr>
            <w:tcW w:w="240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International</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Multi-Asset</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Long/Short Equity</w:t>
            </w:r>
          </w:p>
        </w:tc>
        <w:tc>
          <w:tcPr>
            <w:tcW w:w="244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Non-U.S.</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Commodities</w:t>
            </w:r>
          </w:p>
        </w:tc>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Japan (Long/Short)</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ind w:right="80" w:firstLine="598"/>
        <w:spacing w:after="0" w:line="312" w:lineRule="auto"/>
        <w:rPr>
          <w:sz w:val="20"/>
          <w:szCs w:val="20"/>
          <w:color w:val="auto"/>
        </w:rPr>
      </w:pPr>
      <w:r>
        <w:rPr>
          <w:rFonts w:ascii="Arial" w:cs="Arial" w:eastAsia="Arial" w:hAnsi="Arial"/>
          <w:sz w:val="16"/>
          <w:szCs w:val="16"/>
          <w:color w:val="auto"/>
        </w:rPr>
        <w:t>In addition to the primary investment strategies listed above, we also provide other asset management services to our clients, including asset allocation and other investment advisory services, as well as locally customized investment solutions. In many cases, we also offer both diversified and more concentrated versions of our products. These products are generally offered on a separate account basis, as well as through pooled vehicles.</w:t>
      </w:r>
    </w:p>
    <w:p>
      <w:pPr>
        <w:spacing w:after="0" w:line="147" w:lineRule="exact"/>
        <w:rPr>
          <w:sz w:val="20"/>
          <w:szCs w:val="20"/>
          <w:color w:val="auto"/>
        </w:rPr>
      </w:pPr>
    </w:p>
    <w:p>
      <w:pPr>
        <w:ind w:right="100" w:firstLine="598"/>
        <w:spacing w:after="0" w:line="273" w:lineRule="auto"/>
        <w:rPr>
          <w:sz w:val="20"/>
          <w:szCs w:val="20"/>
          <w:color w:val="auto"/>
        </w:rPr>
      </w:pPr>
      <w:r>
        <w:rPr>
          <w:rFonts w:ascii="Arial" w:cs="Arial" w:eastAsia="Arial" w:hAnsi="Arial"/>
          <w:sz w:val="17"/>
          <w:szCs w:val="17"/>
          <w:i w:val="1"/>
          <w:iCs w:val="1"/>
          <w:color w:val="auto"/>
        </w:rPr>
        <w:t xml:space="preserve">Distribution. </w:t>
      </w:r>
      <w:r>
        <w:rPr>
          <w:rFonts w:ascii="Arial" w:cs="Arial" w:eastAsia="Arial" w:hAnsi="Arial"/>
          <w:sz w:val="17"/>
          <w:szCs w:val="17"/>
          <w:color w:val="auto"/>
        </w:rPr>
        <w:t>We distribute our products through a broad array of marketing channels on a global basis. Marketing, sales and client service efforts</w:t>
      </w:r>
      <w:r>
        <w:rPr>
          <w:rFonts w:ascii="Arial" w:cs="Arial" w:eastAsia="Arial" w:hAnsi="Arial"/>
          <w:sz w:val="17"/>
          <w:szCs w:val="17"/>
          <w:i w:val="1"/>
          <w:iCs w:val="1"/>
          <w:color w:val="auto"/>
        </w:rPr>
        <w:t xml:space="preserve"> </w:t>
      </w:r>
      <w:r>
        <w:rPr>
          <w:rFonts w:ascii="Arial" w:cs="Arial" w:eastAsia="Arial" w:hAnsi="Arial"/>
          <w:sz w:val="17"/>
          <w:szCs w:val="17"/>
          <w:color w:val="auto"/>
        </w:rPr>
        <w:t>are organized through a global market delivery and service network, with distribution professionals located in cities including New York, Amsterdam, Bordeaux, Boston, Brussels, Chicago, Dubai, Frankfurt, Geneva, Hamburg, Hong Kong, London, Lyon, Madrid, Melbourne, Milan, Montreal, Nantes, Paris, San Francisco, Seoul, Singapore, Sydney, Tokyo, Toronto and Zurich. We have developed a well-established presence in the institutional asset management arena, managing assets for corporations, labor unions, sovereign wealth funds and public pension funds around the world. In addition, we manage assets for insurance companies, savings and trust banks, endowments, foundations and charities.</w:t>
      </w:r>
    </w:p>
    <w:p>
      <w:pPr>
        <w:spacing w:after="0" w:line="178" w:lineRule="exact"/>
        <w:rPr>
          <w:sz w:val="20"/>
          <w:szCs w:val="20"/>
          <w:color w:val="auto"/>
        </w:rPr>
      </w:pPr>
    </w:p>
    <w:p>
      <w:pPr>
        <w:ind w:right="20" w:firstLine="598"/>
        <w:spacing w:after="0" w:line="277" w:lineRule="auto"/>
        <w:rPr>
          <w:sz w:val="20"/>
          <w:szCs w:val="20"/>
          <w:color w:val="auto"/>
        </w:rPr>
      </w:pPr>
      <w:r>
        <w:rPr>
          <w:rFonts w:ascii="Arial" w:cs="Arial" w:eastAsia="Arial" w:hAnsi="Arial"/>
          <w:sz w:val="18"/>
          <w:szCs w:val="18"/>
          <w:color w:val="auto"/>
        </w:rPr>
        <w:t>We also have become a leading firm in managing mutual funds, sub-advisory funds, and separately managed accounts for many of the world’s largest broker-dealers, insurance companies, registered advisors and other financial intermediaries.</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Strategy</w:t>
      </w:r>
    </w:p>
    <w:p>
      <w:pPr>
        <w:spacing w:after="0" w:line="117"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Our strategic plan in our Asset Management business is to focus on delivering superior investment performance and client service and broadening our product offerings and distribution in selected areas in order to continue to drive improved business results. Over the past several years, in an effort to improve our Asset Management business’ operations and expand our Asset Management business, we have:</w:t>
      </w:r>
    </w:p>
    <w:p>
      <w:pPr>
        <w:spacing w:after="0" w:line="73" w:lineRule="exact"/>
        <w:rPr>
          <w:sz w:val="20"/>
          <w:szCs w:val="20"/>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focused on enhancing our investment performance;</w:t>
      </w:r>
    </w:p>
    <w:p>
      <w:pPr>
        <w:spacing w:after="0" w:line="117" w:lineRule="exact"/>
        <w:rPr>
          <w:rFonts w:ascii="Arial" w:cs="Arial" w:eastAsia="Arial" w:hAnsi="Arial"/>
          <w:sz w:val="18"/>
          <w:szCs w:val="18"/>
          <w:color w:val="auto"/>
        </w:rPr>
      </w:pPr>
    </w:p>
    <w:p>
      <w:pPr>
        <w:ind w:left="1200" w:right="280" w:hanging="598"/>
        <w:spacing w:after="0" w:line="277" w:lineRule="auto"/>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improved our investment management platform by adding a number of senior investment professionals (including portfolio managers and analysts);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continued to strengthen our marketing and consultant relations capabilities, including by expanding our marketing resources;</w:t>
      </w:r>
    </w:p>
    <w:p>
      <w:pPr>
        <w:spacing w:after="0" w:line="117" w:lineRule="exact"/>
        <w:rPr>
          <w:rFonts w:ascii="Arial" w:cs="Arial" w:eastAsia="Arial" w:hAnsi="Arial"/>
          <w:sz w:val="18"/>
          <w:szCs w:val="18"/>
          <w:color w:val="auto"/>
        </w:rPr>
      </w:pPr>
    </w:p>
    <w:p>
      <w:pPr>
        <w:ind w:left="1200" w:right="200" w:hanging="598"/>
        <w:spacing w:after="0" w:line="277" w:lineRule="auto"/>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expanded our product platform, including through the addition of long/short equity strategies, quantitative equity strategies, explainable AI capabilities, and an international value equity team;</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invested in our technology infrastructure and data science capabilities to enhance our business; and</w:t>
      </w:r>
    </w:p>
    <w:p>
      <w:pPr>
        <w:spacing w:after="0" w:line="117" w:lineRule="exact"/>
        <w:rPr>
          <w:rFonts w:ascii="Arial" w:cs="Arial" w:eastAsia="Arial" w:hAnsi="Arial"/>
          <w:sz w:val="18"/>
          <w:szCs w:val="18"/>
          <w:color w:val="auto"/>
        </w:rPr>
      </w:pPr>
    </w:p>
    <w:p>
      <w:pPr>
        <w:ind w:left="1200" w:right="720" w:hanging="598"/>
        <w:spacing w:after="0" w:line="277" w:lineRule="auto"/>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continued to expand the geographic reach of our Asset Management business, including through opening offices in Amsterdam and Melbourne.</w:t>
      </w:r>
    </w:p>
    <w:p>
      <w:pPr>
        <w:spacing w:after="0" w:line="170"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We believe that our Asset Management business has long maintained an outstanding team of portfolio managers and global research analysts. We intend to maintain and supplement our intellectual capital to achieve our goals. We routinely reassess our strategic position and may in the future seek acquisitions or other transactions, including the opportunistic hiring of new employees, in order to further enhance our competitive position. We also believe that our specific investment strategies, global reach, unique brand identity and access to multiple distribution channels may allow us to expand into new investment products, strategies and geographic locations. In addition, we may expand our participation in alternative investment activities through investments in new and successor funds, and through organic growth, acquisitions or otherwise. We may also continue to expand our geographic reach where opportunities arise.</w:t>
      </w:r>
    </w:p>
    <w:p>
      <w:pPr>
        <w:spacing w:after="0" w:line="81"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Since 2005, we have been engaged in selected alternative investments and private equity activities. In 2009, we established a private equity business with The Edgewater Funds (“Edgewater”), a Chicago-based private equity firm, through the acquisition of Edgewater’s management vehicles. As of December 31, 2019, Edgewater had approximately $1 billion of AUM and unfunded fee-earning commitments.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9" w:name="page10"/>
    <w:bookmarkEnd w:id="9"/>
    <w:p>
      <w:pPr>
        <w:ind w:right="40" w:firstLine="598"/>
        <w:spacing w:after="0" w:line="276" w:lineRule="auto"/>
        <w:rPr>
          <w:sz w:val="20"/>
          <w:szCs w:val="20"/>
          <w:color w:val="auto"/>
        </w:rPr>
      </w:pPr>
      <w:r>
        <w:rPr>
          <w:rFonts w:ascii="Arial" w:cs="Arial" w:eastAsia="Arial" w:hAnsi="Arial"/>
          <w:sz w:val="17"/>
          <w:szCs w:val="17"/>
          <w:color w:val="auto"/>
        </w:rPr>
        <w:t>Historically, Lazard also has made selected investments with its own capital, often alongside capital of qualified institutional and individual investors in connection with Lazard’s selected alternative investments and private equity activities. These investments typically have been organized in funds that make substantial or controlling investments in private or public companies, generally through privately negotiated transactions and with a view to divest within two to seven years. While potentially risky and frequently illiquid, such investments, when successful, can yield investors substantial returns on capital and generate attractive management and performance-based incentive fees for the sponsor of such funds.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320" w:firstLine="598"/>
        <w:spacing w:after="0" w:line="302" w:lineRule="auto"/>
        <w:rPr>
          <w:sz w:val="20"/>
          <w:szCs w:val="20"/>
          <w:color w:val="auto"/>
        </w:rPr>
      </w:pPr>
      <w:r>
        <w:rPr>
          <w:rFonts w:ascii="Arial" w:cs="Arial" w:eastAsia="Arial" w:hAnsi="Arial"/>
          <w:sz w:val="16"/>
          <w:szCs w:val="16"/>
          <w:color w:val="auto"/>
        </w:rPr>
        <w:t>We believe that our people are our most important asset. Their talent, integrity and engagement have shaped our success in the past and they are instrumental in our ability to achieve sustainable growth and deliver value for our shareholders in the future. We strive to create a culture that fosters excellence, collaboration, innovation, empowerment, inclusion, and engagement. We generally undertake an annual performance review process, which is instrumental to measuring individual performance, determining compensation and providing guidance on opportunities for career development.</w:t>
      </w:r>
    </w:p>
    <w:p>
      <w:pPr>
        <w:spacing w:after="0" w:line="46" w:lineRule="exact"/>
        <w:rPr>
          <w:sz w:val="20"/>
          <w:szCs w:val="20"/>
          <w:color w:val="auto"/>
        </w:rPr>
      </w:pPr>
    </w:p>
    <w:p>
      <w:pPr>
        <w:ind w:right="40" w:firstLine="598"/>
        <w:spacing w:after="0" w:line="279" w:lineRule="auto"/>
        <w:rPr>
          <w:sz w:val="20"/>
          <w:szCs w:val="20"/>
          <w:color w:val="auto"/>
        </w:rPr>
      </w:pPr>
      <w:r>
        <w:rPr>
          <w:rFonts w:ascii="Arial" w:cs="Arial" w:eastAsia="Arial" w:hAnsi="Arial"/>
          <w:sz w:val="17"/>
          <w:szCs w:val="17"/>
          <w:color w:val="auto"/>
        </w:rPr>
        <w:t>As of December 31, 2019, we employed 3,000 people, which included 160 managing directors and 1,342 other professionals and support staff in our Financial Advisory segment and 104 managing directors and 986 other professionals and support staff in our Asset Management segment. Generally, our employees are not subject to any collective bargaining agreements, except that our employees in certain of our offices, including France and Italy, are covered by national, industry-wide collective bargaining agreements. We believe that we have good relations with our employees.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The financial services industry, and all of the businesses in which we compete, are intensely competitive, and we expect them to remain so. Our competitors are other investment banking and financial advisory firms, broker-dealers, commercial and “universal” banks, insurance companies, investment management firms, hedge fund management firms, alternative investment firms, private banks and other financial institutions. We compete with some of them globally and with others on a regional, product or niche basis. We compete on the basis of a number of factors, including industry and product expertise, innovative insights of our people, transaction execution skills, investment track record, quality of client service, individual and institutional client relationships, absence of conflicts, range and price of products and services, innovation, brand recognition and business reputation.</w:t>
      </w:r>
    </w:p>
    <w:p>
      <w:pPr>
        <w:spacing w:after="0" w:line="178" w:lineRule="exact"/>
        <w:rPr>
          <w:sz w:val="20"/>
          <w:szCs w:val="20"/>
          <w:color w:val="auto"/>
        </w:rPr>
      </w:pPr>
    </w:p>
    <w:p>
      <w:pPr>
        <w:ind w:right="40" w:firstLine="598"/>
        <w:spacing w:after="0" w:line="270" w:lineRule="auto"/>
        <w:rPr>
          <w:sz w:val="20"/>
          <w:szCs w:val="20"/>
          <w:color w:val="auto"/>
        </w:rPr>
      </w:pPr>
      <w:r>
        <w:rPr>
          <w:rFonts w:ascii="Arial" w:cs="Arial" w:eastAsia="Arial" w:hAnsi="Arial"/>
          <w:sz w:val="17"/>
          <w:szCs w:val="17"/>
          <w:color w:val="auto"/>
        </w:rPr>
        <w:t>While we believe our independent advisory perspective and global footprint offers a uniquely competitive position, many of our competitors are large, consolidated financial institutions that have the ability to offer a wider range of products, including loans, insurance, foreign exchange, hedging, research, brokerage and underwriting services, which may enhance their competitive position. They also may have the ability to support clients with other financial services in an effort to gain market share, which could result in pricing pressure in our business or loss of opportunities for us. At the same time, demand for independent financial advice has created opportunities for new entrants, including a number of boutique financial advisory firms. These boutique firms frequently compete, among other factors, on the basis of their independent financial advice, and their activities also could result in pricing and other competitive pressure in our businesses. In some circumstances, our competitors may offer financial products or services that we do not offer, such as low-cost passive investment vehicles. We compete based on the quality and breadth of our products and innovative solutions we offer, which is derived from our objectivity, differentiated insights, and fundamental research orientation.</w:t>
      </w:r>
    </w:p>
    <w:p>
      <w:pPr>
        <w:spacing w:after="0" w:line="182"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Competition is also intense in each of our businesses for the attraction and retention of qualified employees, and we compete, among other factors, on the level and nature of compensation and long-term incentives, workplace culture, and opportunities for professional and personal development for our employees. Our ability to continue to compete effectively in our businesses will depend upon our ability to attract new employees and retain and motivate our existing employees, in each case, at appropriate compensation levels.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ind w:left="600"/>
        <w:spacing w:after="0"/>
        <w:rPr>
          <w:sz w:val="20"/>
          <w:szCs w:val="20"/>
          <w:color w:val="auto"/>
        </w:rPr>
      </w:pPr>
      <w:r>
        <w:rPr>
          <w:rFonts w:ascii="Arial" w:cs="Arial" w:eastAsia="Arial" w:hAnsi="Arial"/>
          <w:sz w:val="17"/>
          <w:szCs w:val="17"/>
          <w:color w:val="auto"/>
        </w:rPr>
        <w:t>See Item 1A, “Risk Factors—The financial services industry, and all of the businesses in which we compete, are intensely competitive” below.</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right="20" w:firstLine="598"/>
        <w:spacing w:after="0" w:line="289" w:lineRule="auto"/>
        <w:rPr>
          <w:sz w:val="20"/>
          <w:szCs w:val="20"/>
          <w:color w:val="auto"/>
        </w:rPr>
      </w:pPr>
      <w:r>
        <w:rPr>
          <w:rFonts w:ascii="Arial" w:cs="Arial" w:eastAsia="Arial" w:hAnsi="Arial"/>
          <w:sz w:val="16"/>
          <w:szCs w:val="16"/>
          <w:color w:val="auto"/>
        </w:rPr>
        <w:t>Our businesses, like the financial services industry generally, are subject to extensive regulation throughout the world. As a matter of public policy, regulatory bodies are generally charged with safeguarding the integrity of the securities and other financial markets and with protecting the interests of customers participating in those markets, not with protecting the interests of our stockholders or creditors. Many of our affiliates that participate in securities markets are subject to comprehensive regulations that include some form of minimum capital retention requirements and customer protection rules. In the U.S., certain of our subsidiaries are subject to such regulations promulgated by the United States Securities and Exchange Commission (the “SEC”), and/or the Financial Industry Regulatory Authority (“FINRA”). Standards, requirements and rules implemented throughout the European Union are broadly comparable in scope and purpose to the regulatory capital and customer protection requirements imposed under the SEC and FINRA rules. European Union directives also permit local regulation in each jurisdiction, including those in which we operate, to be more restrictive than the requirements of such European Union-wide directives. These sometimes burdensome local requirements can result in certain competitive disadvantages to us.</w:t>
      </w:r>
    </w:p>
    <w:p>
      <w:pPr>
        <w:spacing w:after="0" w:line="167" w:lineRule="exact"/>
        <w:rPr>
          <w:sz w:val="20"/>
          <w:szCs w:val="20"/>
          <w:color w:val="auto"/>
        </w:rPr>
      </w:pPr>
    </w:p>
    <w:p>
      <w:pPr>
        <w:ind w:right="20" w:firstLine="598"/>
        <w:spacing w:after="0" w:line="297" w:lineRule="auto"/>
        <w:rPr>
          <w:sz w:val="20"/>
          <w:szCs w:val="20"/>
          <w:color w:val="auto"/>
        </w:rPr>
      </w:pPr>
      <w:r>
        <w:rPr>
          <w:rFonts w:ascii="Arial" w:cs="Arial" w:eastAsia="Arial" w:hAnsi="Arial"/>
          <w:sz w:val="16"/>
          <w:szCs w:val="16"/>
          <w:color w:val="auto"/>
        </w:rPr>
        <w:t>In the U.S., the SEC is the federal agency responsible for the administration of the federal securities laws. FINRA is a voluntary, self-regulatory body composed of members, such as our broker-dealer subsidiaries, that have agreed to abide by FINRA’s rules and regulations. The SEC, FINRA and other U.S. and non-U.S. regulatory organizations may examine the activities of, and may expel, fine and otherwise discipline us and our employees. The laws, rules and regulations comprising this framework of regulation and the interpretation and enforcement of existing laws, rules and regulations are continually changing. The effect of any such changes cannot be predicted and may impact the manner of operation and profitability of our businesses.</w:t>
      </w:r>
    </w:p>
    <w:p>
      <w:pPr>
        <w:spacing w:after="0" w:line="158" w:lineRule="exact"/>
        <w:rPr>
          <w:sz w:val="20"/>
          <w:szCs w:val="20"/>
          <w:color w:val="auto"/>
        </w:rPr>
      </w:pPr>
    </w:p>
    <w:p>
      <w:pPr>
        <w:ind w:right="100" w:firstLine="598"/>
        <w:spacing w:after="0" w:line="254" w:lineRule="auto"/>
        <w:rPr>
          <w:sz w:val="20"/>
          <w:szCs w:val="20"/>
          <w:color w:val="auto"/>
        </w:rPr>
      </w:pPr>
      <w:r>
        <w:rPr>
          <w:rFonts w:ascii="Arial" w:cs="Arial" w:eastAsia="Arial" w:hAnsi="Arial"/>
          <w:sz w:val="18"/>
          <w:szCs w:val="18"/>
          <w:color w:val="auto"/>
        </w:rPr>
        <w:t>Our principal U.S. broker-dealer subsidiary, Lazard Frères &amp; Co. LLC (“LFNY”), through which we conduct most of our U.S. Financial Advisory business, is currently registered as a broker-dealer with the SEC and FINRA, and as a broker-dealer in all 50 U.S. states, the District of Columbia and Puerto Rico. As such, LFNY is subject to regulations governing most aspects of the securities business, including regulations regarding minimum capital retention requirements, record-keeping and reporting procedures, relationships with customers, experience and training requirements for certain employees, and business procedures with firms that are not members of certain regulatory bodies. Lazard Asset Management Securities LLC (“LAM Securities”), a subsidiary of Lazard Asset Management LLC (“LAM LLC”), is registered as a broker-dealer with the SEC and FINRA and in all 50 U.S. states, the District of Columbia and Puerto Rico. Lazard Middle Market LLC is registered as a broker-dealer with the SEC and FINRA, and as a broker-dealer in various U.S. states and territories.</w:t>
      </w:r>
    </w:p>
    <w:p>
      <w:pPr>
        <w:spacing w:after="0" w:line="192" w:lineRule="exact"/>
        <w:rPr>
          <w:sz w:val="20"/>
          <w:szCs w:val="20"/>
          <w:color w:val="auto"/>
        </w:rPr>
      </w:pPr>
    </w:p>
    <w:p>
      <w:pPr>
        <w:ind w:firstLine="598"/>
        <w:spacing w:after="0" w:line="290" w:lineRule="auto"/>
        <w:rPr>
          <w:sz w:val="20"/>
          <w:szCs w:val="20"/>
          <w:color w:val="auto"/>
        </w:rPr>
      </w:pPr>
      <w:r>
        <w:rPr>
          <w:rFonts w:ascii="Arial" w:cs="Arial" w:eastAsia="Arial" w:hAnsi="Arial"/>
          <w:sz w:val="16"/>
          <w:szCs w:val="16"/>
          <w:color w:val="auto"/>
        </w:rPr>
        <w:t>Our U.S. broker-dealer subsidiaries, including LFNY, are subject to the SEC’s uniform net capital rule, Rule 15c3-1 under the Securities Exchange Act of 1934, as amended (the “Exchange Act”), and the net capital rules of FINRA, which may limit our ability to make withdrawals of capital from our broker-dealer subsidiaries. The uniform net capital rule sets the minimum level of net capital a broker-dealer must maintain and also requires that a portion of its assets be relatively liquid. FINRA may prohibit a member firm from expanding its business or paying cash dividends if it would result in net capital falling below FINRA’s requirements. In addition, our broker-dealer subsidiaries are subject to certain notification requirements related to withdrawals of excess net capital. Our broker-dealer subsidiaries are also subject to regulations, including the USA PATRIOT Act of 2001, which impose obligations regarding the prevention and detection of money-laundering activities, including the establishment of customer due diligence and other compliance policies and procedures. Failure to comply with these requirements may result in monetary, regulatory and, in certain cases, criminal penalties.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1" w:name="page12"/>
    <w:bookmarkEnd w:id="11"/>
    <w:p>
      <w:pPr>
        <w:ind w:firstLine="598"/>
        <w:spacing w:after="0" w:line="259" w:lineRule="auto"/>
        <w:rPr>
          <w:sz w:val="20"/>
          <w:szCs w:val="20"/>
          <w:color w:val="auto"/>
        </w:rPr>
      </w:pPr>
      <w:r>
        <w:rPr>
          <w:rFonts w:ascii="Arial" w:cs="Arial" w:eastAsia="Arial" w:hAnsi="Arial"/>
          <w:sz w:val="18"/>
          <w:szCs w:val="18"/>
          <w:color w:val="auto"/>
        </w:rPr>
        <w:t>Certain U.K. subsidiaries of Lazard Group, including Lazard &amp; Co., Limited (“LCL”), Lazard Fund Managers Limited and Lazard Asset Management Limited, which we refer to in this Annual Report on Form 10-K (this “Form 10-K”) as the “U.K. subsidiaries,” are authorized and regulated by the Financial Conduct Authority (the “FCA”), and are subject to various rules and regulations made by the FCA under the authorities conferred upon it by the Financial Services and Markets Act 2000, as amended by the Financial Services Act 2012.</w:t>
      </w:r>
    </w:p>
    <w:p>
      <w:pPr>
        <w:spacing w:after="0" w:line="187" w:lineRule="exact"/>
        <w:rPr>
          <w:sz w:val="20"/>
          <w:szCs w:val="20"/>
          <w:color w:val="auto"/>
        </w:rPr>
      </w:pPr>
    </w:p>
    <w:p>
      <w:pPr>
        <w:ind w:right="20" w:firstLine="598"/>
        <w:spacing w:after="0" w:line="289" w:lineRule="auto"/>
        <w:rPr>
          <w:sz w:val="20"/>
          <w:szCs w:val="20"/>
          <w:color w:val="auto"/>
        </w:rPr>
      </w:pPr>
      <w:r>
        <w:rPr>
          <w:rFonts w:ascii="Arial" w:cs="Arial" w:eastAsia="Arial" w:hAnsi="Arial"/>
          <w:sz w:val="16"/>
          <w:szCs w:val="16"/>
          <w:color w:val="auto"/>
        </w:rPr>
        <w:t>Certain of our Asset Management subsidiaries are registered as investment advisors with the SEC. As a registered investment advisor, each is subject to the requirements of the Investment Advisers Act of 1940, as amended (the “Investment Advisers Act”), and the SEC’s regulations thereunder. Such requirements relate to, among other things, the relationship between an advisor and its advisory clients, as well as general anti-fraud prohibitions. LAM LLC serves as an investment advisor to several U.S. mutual funds which are registered under the Investment Company Act of 1940, as amended (the “Investment Company Act”). The Investment Company Act regulates, among other things, the relationship between a mutual fund and its investment advisor (and other service providers) and prohibits or severely restricts principal transactions between an advisor and its advisory clients, imposes record-keeping and reporting requirements, disclosure requirements, limitations on trades where a single broker acts as the agent for both the buyer and seller, and limitations on affiliated transactions and joint transactions. LAM Securities serves as an underwriter or distributor for mutual funds and private funds managed by LAM LLC and its subsidiaries (collectively, “LAM”), and as an introducing broker to Pershing LLC for unmanaged accounts of certain of LAM LLC’s private clients.</w:t>
      </w:r>
    </w:p>
    <w:p>
      <w:pPr>
        <w:spacing w:after="0" w:line="167"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Compagnie Financière Lazard Frères SAS (“CFLF”), our French subsidiary under which asset management and commercial banking activities are carried out in France, is subject to regulation by the Autorité de Contrôle Prudentiel et de Résolution (“ACPR”) for its banking activities conducted through our Paris-based banking subsidiary, Lazard Frères Banque SA (“LFB”). The investment services activities of the Paris group, exercised through LFB and other subsidiaries of CFLF, primarily Lazard Frères Gestion SAS (“LFG”), (asset management), also are subject to regulation and supervision by the Autorité des Marchés Financiers. In addition, pursuant to the consolidated supervision rules in the European Union, LFB, in particular, as a French credit institution, is required to be supervised by a regulatory body, either in the U.S. or in the European Union. In 2013, the Company and the ACPR agreed on terms for the consolidated supervision of LFB and certain other non-Financial Advisory European subsidiaries of the Company (referred to herein, on a combined basis, as the “combined European regulated group”) under such rules. Under this supervision, the combined European regulated group is required to comply with minimum requirements for regulatory net capital to be reported on a quarterly basis and satisfy periodic financial and other reporting obligations.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w:t>
      </w:r>
    </w:p>
    <w:p>
      <w:pPr>
        <w:spacing w:after="0" w:line="180"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As a result of certain changes effected by the Dodd-Frank Wall Street Reform and Consumer Protection Act (the “Dodd-Frank Act”) related to the regulation of over-the-counter swaps and other derivative instruments, LAM and certain of its subsidiaries have registered with the U.S. Commodity Futures Trading Commission (the “CFTC”) and the National Futures Association (the “NFA”), and are subject to certain aspects of the U.S. Commodity Exchange Act and the regulations thereunder, and to the rules of the NFA. The CFTC and the NFA have authority over the laws, rules and regulations related to commodities (including the over-the-counter swaps and derivatives markets), and regulate our relationship with clients who trade in these instruments. The U.S. Commodity Exchange Act and the regulations thereunder also impose additional record-keeping and reporting requirements and disclosure requirements on LAM and its subsidiaries.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2" w:name="page13"/>
    <w:bookmarkEnd w:id="12"/>
    <w:p>
      <w:pPr>
        <w:ind w:right="120" w:firstLine="598"/>
        <w:spacing w:after="0" w:line="273" w:lineRule="auto"/>
        <w:rPr>
          <w:sz w:val="20"/>
          <w:szCs w:val="20"/>
          <w:color w:val="auto"/>
        </w:rPr>
      </w:pPr>
      <w:r>
        <w:rPr>
          <w:rFonts w:ascii="Arial" w:cs="Arial" w:eastAsia="Arial" w:hAnsi="Arial"/>
          <w:sz w:val="17"/>
          <w:szCs w:val="17"/>
          <w:color w:val="auto"/>
        </w:rPr>
        <w:t>In addition, the Central Bank of Ireland, the Japanese Ministry of Finance and Financial Services Agency, the Korean Financial Supervisory Commission, the Securities and Futures Commission of Hong Kong, the Monetary Authority of Singapore, the Australian Securities &amp; Investments Commission, the Dubai Financial Services Authority, the Swiss Financial Market Supervisory Authority, the Italian Companies and Stock Exchange Commission and the German Federal Financial Supervisory Authority, among others, regulate relevant operating subsidiaries of the Company and also have capital standards and other requirements broadly comparable to the rules of the SEC. Our business is also subject to regulation by other non-U.S. governmental and regulatory bodies and self-regulatory authorities in other countries in which we operate.</w:t>
      </w:r>
    </w:p>
    <w:p>
      <w:pPr>
        <w:spacing w:after="0" w:line="178" w:lineRule="exact"/>
        <w:rPr>
          <w:sz w:val="20"/>
          <w:szCs w:val="20"/>
          <w:color w:val="auto"/>
        </w:rPr>
      </w:pPr>
    </w:p>
    <w:p>
      <w:pPr>
        <w:jc w:val="both"/>
        <w:ind w:right="160" w:firstLine="598"/>
        <w:spacing w:after="0" w:line="342" w:lineRule="auto"/>
        <w:rPr>
          <w:sz w:val="20"/>
          <w:szCs w:val="20"/>
          <w:color w:val="auto"/>
        </w:rPr>
      </w:pPr>
      <w:r>
        <w:rPr>
          <w:rFonts w:ascii="Arial" w:cs="Arial" w:eastAsia="Arial" w:hAnsi="Arial"/>
          <w:sz w:val="16"/>
          <w:szCs w:val="16"/>
          <w:color w:val="auto"/>
        </w:rPr>
        <w:t>Regulators are empowered to conduct periodic examinations and initiate administrative proceedings that can result, among other things, in censure, fine, the issuance of cease-and-desist orders or the suspension or expulsion or other disciplining of a regulated entity or its directors, officers or employees.</w:t>
      </w:r>
    </w:p>
    <w:p>
      <w:pPr>
        <w:spacing w:after="0" w:line="124" w:lineRule="exact"/>
        <w:rPr>
          <w:sz w:val="20"/>
          <w:szCs w:val="20"/>
          <w:color w:val="auto"/>
        </w:rPr>
      </w:pPr>
    </w:p>
    <w:p>
      <w:pPr>
        <w:ind w:right="160" w:firstLine="598"/>
        <w:spacing w:after="0" w:line="255" w:lineRule="auto"/>
        <w:rPr>
          <w:sz w:val="20"/>
          <w:szCs w:val="20"/>
          <w:color w:val="auto"/>
        </w:rPr>
      </w:pPr>
      <w:r>
        <w:rPr>
          <w:rFonts w:ascii="Arial" w:cs="Arial" w:eastAsia="Arial" w:hAnsi="Arial"/>
          <w:sz w:val="18"/>
          <w:szCs w:val="18"/>
          <w:color w:val="auto"/>
        </w:rPr>
        <w:t>We are also subject to various anti-bribery, anti-money laundering and counter-terrorist financing laws, rules and regulations in the jurisdictions in which we operate. The U.S. Foreign Corrupt Practices Act, for example, generally prohibits offering, promising or giving, or authorizing others to give, anything of value, either directly or indirectly, to a non-U.S. government official in order to influence official action or otherwise gain an unfair business advantage, such as to obtain or retain business. Similar rules and regulations exist in other jurisdictions in which we operate. In addition, we are required to comply with economic sanctions and embargo programs administered by the U.S. Treasury’s Office of Foreign Assets Control and by similar governmental agencies and other authorities worldwide. Violations of any of these laws, rules, regulations and programs can give rise to administrative, civil or criminal penalties.</w:t>
      </w:r>
    </w:p>
    <w:p>
      <w:pPr>
        <w:spacing w:after="0" w:line="189"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The U.S. and other governments and institutions have taken actions, and may continue to take further actions, that affect the global financial markets. Such further actions could include expanding current or enacting new standards, requirements and rules that may be applicable to us and our subsidiaries. The effect of any such expanded or new standards, requirements and rules is uncertain and could have adverse consequences to our business and results of operations. See Item 1A, “Risk Factors—Other Business Risks—Extensive regulation of our businesses limits our activities and results in ongoing exposure to the potential for significant penalties, including fines or limitations on our ability to conduct our businesses.”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color w:val="auto"/>
        </w:rPr>
        <w:t>Set forth below are the name, age, present title, principal occupation and certain biographical information for each of our executive officers as of February 18, 2020, all of whom have been appointed by, and serve at the discretion of, our board of directors.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Kenneth M. Jacobs, 61</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Mr. Jacobs has served as Chairman of the Board of Directors and Chief Executive Officer of Lazard Ltd and Lazard Group since November 2009.</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Mr. Jacobs has served as a Managing Director of Lazard since 1991 and had been a Deputy Chairman of Lazard from January 2002 until November 2009. Mr.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Jacobs also served as Chief Executive Officer of Lazard North America from January 2002 until November 2009. Mr. Jacobs initially joined Lazard in 1988.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Mr. Jacobs is a member of the Board of Trustees of the University of Chicago and the Brookings Institution.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Evan L. Russo, 45</w:t>
      </w:r>
    </w:p>
    <w:p>
      <w:pPr>
        <w:spacing w:after="0" w:line="121" w:lineRule="exact"/>
        <w:rPr>
          <w:sz w:val="20"/>
          <w:szCs w:val="20"/>
          <w:color w:val="auto"/>
        </w:rPr>
      </w:pPr>
    </w:p>
    <w:p>
      <w:pPr>
        <w:ind w:right="60" w:firstLine="598"/>
        <w:spacing w:after="0" w:line="279" w:lineRule="auto"/>
        <w:rPr>
          <w:sz w:val="20"/>
          <w:szCs w:val="20"/>
          <w:color w:val="auto"/>
        </w:rPr>
      </w:pPr>
      <w:r>
        <w:rPr>
          <w:rFonts w:ascii="Arial" w:cs="Arial" w:eastAsia="Arial" w:hAnsi="Arial"/>
          <w:sz w:val="17"/>
          <w:szCs w:val="17"/>
          <w:color w:val="auto"/>
        </w:rPr>
        <w:t>Mr. Russo has served as Chief Financial Officer of Lazard Ltd and Lazard Group since October 2017. Mr. Russo has served as a Managing Director of Lazard since 2009, and, prior to becoming Chief Financial Officer, was Co-Head of Lazard’s Capital Markets and Capital Structure Advisory practice. Mr. Russo joined Lazard as a Director in 2007. Prior to joining Lazard, Mr. Russo worked for Goldman, Sachs &amp; Co. in the Investment Banking Division, and prior to that, for Barclays Capital. Mr. Russo began his career as an attorney at Milbank, Tweed, Hadley &amp; McCloy.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Ashish Bhutani, 59</w:t>
      </w:r>
    </w:p>
    <w:p>
      <w:pPr>
        <w:spacing w:after="0" w:line="121" w:lineRule="exact"/>
        <w:rPr>
          <w:sz w:val="20"/>
          <w:szCs w:val="20"/>
          <w:color w:val="auto"/>
        </w:rPr>
      </w:pPr>
    </w:p>
    <w:p>
      <w:pPr>
        <w:ind w:right="100" w:firstLine="598"/>
        <w:spacing w:after="0" w:line="290" w:lineRule="auto"/>
        <w:rPr>
          <w:sz w:val="20"/>
          <w:szCs w:val="20"/>
          <w:color w:val="auto"/>
        </w:rPr>
      </w:pPr>
      <w:r>
        <w:rPr>
          <w:rFonts w:ascii="Arial" w:cs="Arial" w:eastAsia="Arial" w:hAnsi="Arial"/>
          <w:sz w:val="16"/>
          <w:szCs w:val="16"/>
          <w:color w:val="auto"/>
        </w:rPr>
        <w:t>Mr. Bhutani has served as a member of the Board of Directors of Lazard Ltd and Lazard Group since March 2010. Mr. Bhutani is a Vice Chairman and a Managing Director of Lazard and has been the Chief Executive Officer of LAM since March 2004. Mr. Bhutani previously served as Head of New Products and Strategic Planning for LAM from June 2003 to March 2004. Prior to joining Lazard, he was Co-Chief Executive Officer, North America, of Dresdner Kleinwort Wasserstein from 2001 to the end of 2002, and was a member of its Global Corporate and Markets Board, and a member of its Global Executive Committee. Mr. Bhutani worked at Wasserstein Perella Group (the predecessor to Dresdner Kleinwort Wasserstein) from 1989 to 2001, serving as Deputy Chairman of Wasserstein Perella Group and Chief Executive Officer of Wasserstein Perella Securities from 1994 to 2001. Mr. Bhutani began his career at Salomon Brothers in 1985, where he was a Vice President in Fixed Income. Mr. Bhutani is a member of the Board of Directors of four registered investment companies, which are part of the Lazard fund complex. Mr. Bhutani is also a member of the Board of Directors of City Harvest.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D. Hoffman, 57</w:t>
      </w:r>
    </w:p>
    <w:p>
      <w:pPr>
        <w:spacing w:after="0" w:line="121" w:lineRule="exact"/>
        <w:rPr>
          <w:sz w:val="20"/>
          <w:szCs w:val="20"/>
          <w:color w:val="auto"/>
        </w:rPr>
      </w:pPr>
    </w:p>
    <w:p>
      <w:pPr>
        <w:ind w:right="40" w:firstLine="598"/>
        <w:spacing w:after="0" w:line="276" w:lineRule="auto"/>
        <w:rPr>
          <w:sz w:val="20"/>
          <w:szCs w:val="20"/>
          <w:color w:val="auto"/>
        </w:rPr>
      </w:pPr>
      <w:r>
        <w:rPr>
          <w:rFonts w:ascii="Arial" w:cs="Arial" w:eastAsia="Arial" w:hAnsi="Arial"/>
          <w:sz w:val="17"/>
          <w:szCs w:val="17"/>
          <w:color w:val="auto"/>
        </w:rPr>
        <w:t>Mr. Hoffman has served as Chief Administrative Officer of Lazard Ltd and Lazard Group since July 2017 and as General Counsel of Lazard Ltd since May 2005. Mr. Hoffman has served as a Managing Director of Lazard since January 1999 and General Counsel of Lazard Group since January 2001. Mr. Hoffman previously served as Vice President and Assistant General Counsel from February 1994 to December 1997 and as a Director from January 1998 to December 1998. Prior to joining Lazard, Mr. Hoffman was an attorney at Cravath, Swaine &amp; Moore LLP. Mr. Hoffman is a member of the Board of Trustees of the New York University School of Law and a member of the Board of Directors of Film at Lincoln Center.</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Alexandra Soto, 50</w:t>
      </w:r>
    </w:p>
    <w:p>
      <w:pPr>
        <w:spacing w:after="0" w:line="121"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 xml:space="preserve">Ms. Soto </w:t>
      </w:r>
      <w:r>
        <w:rPr>
          <w:rFonts w:ascii="Arial" w:cs="Arial" w:eastAsia="Arial" w:hAnsi="Arial"/>
          <w:sz w:val="18"/>
          <w:szCs w:val="18"/>
          <w:color w:val="23283C"/>
        </w:rPr>
        <w:t>became Group Executive, Human Capital and Workplace Innovation, of Lazard Ltd and Lazard Group in June 2019. She became the Global</w:t>
      </w:r>
      <w:r>
        <w:rPr>
          <w:rFonts w:ascii="Arial" w:cs="Arial" w:eastAsia="Arial" w:hAnsi="Arial"/>
          <w:sz w:val="18"/>
          <w:szCs w:val="18"/>
          <w:color w:val="auto"/>
        </w:rPr>
        <w:t xml:space="preserve"> </w:t>
      </w:r>
      <w:r>
        <w:rPr>
          <w:rFonts w:ascii="Arial" w:cs="Arial" w:eastAsia="Arial" w:hAnsi="Arial"/>
          <w:sz w:val="18"/>
          <w:szCs w:val="18"/>
          <w:color w:val="23283C"/>
        </w:rPr>
        <w:t>Chief Operating Officer of Financial Advisory in July 2018 and has served as a Managing Director of Lazard since January 2001. Ms. Soto was previously Chief Operating Officer of Lazard Europe Financial Advisory from January 2006 to July 2018, and Chief Operating Officer of Lazard Paris Financial Advisory from October 2009 to August 2013. Prior to joining Lazard in June 1993, Ms. Soto worked for Morgan Stanley. She is a member of the Supervisory Board of Metro AG.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Alexander F. Stern, 53</w:t>
      </w:r>
    </w:p>
    <w:p>
      <w:pPr>
        <w:spacing w:after="0" w:line="121"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Mr. Stern became President of Lazard Ltd and Lazard Group in June 2019. Mr. Stern has served as a Managing Director of Lazard since January 2002, and prior to becoming President was Chief Executive Officer, Financial Advisory since April 2015, Chief Operating Officer of Lazard Ltd and Lazard Group since November 2008, and Global Head of Strategy since February 2006. Mr. Stern joined Lazard in 1994 and previously held various positions with Patricof &amp; Co. Ventures and IBM. Mr. Stern is the chairman of the Board of Directors of LUNGevity Foundation and a member of the Board of Overseers for the School of Engineering and Applied Sciences of the University of Pennsylvania.</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15" w:name="page16"/>
    <w:bookmarkEnd w:id="15"/>
    <w:p>
      <w:pPr>
        <w:jc w:val="center"/>
        <w:ind w:right="-5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right="300" w:firstLine="598"/>
        <w:spacing w:after="0" w:line="277" w:lineRule="auto"/>
        <w:rPr>
          <w:sz w:val="20"/>
          <w:szCs w:val="20"/>
          <w:color w:val="auto"/>
        </w:rPr>
      </w:pPr>
      <w:r>
        <w:rPr>
          <w:rFonts w:ascii="Arial" w:cs="Arial" w:eastAsia="Arial" w:hAnsi="Arial"/>
          <w:sz w:val="18"/>
          <w:szCs w:val="18"/>
          <w:color w:val="auto"/>
        </w:rPr>
        <w:t xml:space="preserve">Lazard Group files current, annual and quarterly reports and other information required by the Exchange Act with the SEC. The Company’s SEC filings are available to the public from the SEC’s internet site at </w:t>
      </w:r>
      <w:r>
        <w:rPr>
          <w:rFonts w:ascii="Arial" w:cs="Arial" w:eastAsia="Arial" w:hAnsi="Arial"/>
          <w:sz w:val="18"/>
          <w:szCs w:val="18"/>
          <w:i w:val="1"/>
          <w:iCs w:val="1"/>
          <w:color w:val="auto"/>
        </w:rPr>
        <w:t>http://www.sec.gov.</w:t>
      </w:r>
    </w:p>
    <w:p>
      <w:pPr>
        <w:spacing w:after="0" w:line="170" w:lineRule="exact"/>
        <w:rPr>
          <w:sz w:val="20"/>
          <w:szCs w:val="20"/>
          <w:color w:val="auto"/>
        </w:rPr>
      </w:pPr>
    </w:p>
    <w:p>
      <w:pPr>
        <w:ind w:right="20" w:firstLine="598"/>
        <w:spacing w:after="0" w:line="291" w:lineRule="auto"/>
        <w:rPr>
          <w:sz w:val="20"/>
          <w:szCs w:val="20"/>
          <w:color w:val="auto"/>
        </w:rPr>
      </w:pPr>
      <w:r>
        <w:rPr>
          <w:rFonts w:ascii="Arial" w:cs="Arial" w:eastAsia="Arial" w:hAnsi="Arial"/>
          <w:sz w:val="16"/>
          <w:szCs w:val="16"/>
          <w:color w:val="auto"/>
        </w:rPr>
        <w:t xml:space="preserve">Our public website is </w:t>
      </w:r>
      <w:r>
        <w:rPr>
          <w:rFonts w:ascii="Arial" w:cs="Arial" w:eastAsia="Arial" w:hAnsi="Arial"/>
          <w:sz w:val="16"/>
          <w:szCs w:val="16"/>
          <w:i w:val="1"/>
          <w:iCs w:val="1"/>
          <w:color w:val="auto"/>
        </w:rPr>
        <w:t>http://www.lazard.com</w:t>
      </w:r>
      <w:r>
        <w:rPr>
          <w:rFonts w:ascii="Arial" w:cs="Arial" w:eastAsia="Arial" w:hAnsi="Arial"/>
          <w:sz w:val="16"/>
          <w:szCs w:val="16"/>
          <w:color w:val="auto"/>
        </w:rPr>
        <w:t xml:space="preserve"> and the investor relations section hosts our SEC filings</w:t>
      </w:r>
      <w:r>
        <w:rPr>
          <w:rFonts w:ascii="Arial" w:cs="Arial" w:eastAsia="Arial" w:hAnsi="Arial"/>
          <w:sz w:val="16"/>
          <w:szCs w:val="16"/>
          <w:i w:val="1"/>
          <w:iCs w:val="1"/>
          <w:color w:val="auto"/>
        </w:rPr>
        <w:t>.</w:t>
      </w:r>
      <w:r>
        <w:rPr>
          <w:rFonts w:ascii="Arial" w:cs="Arial" w:eastAsia="Arial" w:hAnsi="Arial"/>
          <w:sz w:val="16"/>
          <w:szCs w:val="16"/>
          <w:color w:val="auto"/>
        </w:rPr>
        <w:t xml:space="preserve"> We will make available free of charge, on or through the investor relations section of our website, our annual reports on Form 10-K, quarterly reports on Form 10-Q, current reports on Form 8-K and any amendments to those reports filed or furnished pursuant to the Exchange Act as soon as reasonably practicable after we electronically file such material with, or furnish it to, the SEC. Also posted on our website, and available in print upon request of any Lazard Ltd shareholder to the Investor Relations Department, are charters for Lazard Ltd’s Audit Committee, Compensation Committee, Nominating &amp; Governance Committee and Workplace and Culture Committee. Copies of these charters and Lazard Ltd’s Corporate Governance Guidelines and Code of Business Conduct and Ethics governing our directors, officers and employees are also posted on the investor relations section of our website in the corporate governance subsection.</w:t>
      </w:r>
    </w:p>
    <w:p>
      <w:pPr>
        <w:spacing w:after="0" w:line="312"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ind w:right="220" w:firstLine="598"/>
        <w:spacing w:after="0" w:line="264" w:lineRule="auto"/>
        <w:rPr>
          <w:sz w:val="20"/>
          <w:szCs w:val="20"/>
          <w:color w:val="auto"/>
        </w:rPr>
      </w:pPr>
      <w:r>
        <w:rPr>
          <w:rFonts w:ascii="Arial" w:cs="Arial" w:eastAsia="Arial" w:hAnsi="Arial"/>
          <w:sz w:val="18"/>
          <w:szCs w:val="18"/>
          <w:color w:val="auto"/>
        </w:rPr>
        <w:t>You should carefully consider the following risks and all of the other information set forth in this Form 10-K, including our consolidated financial statements and related notes. The following risks comprise the material risks of which we are aware. If any of the events or developments described below actually occurred, our business, financial condition or results of operations would likely suffer.</w:t>
      </w:r>
    </w:p>
    <w:p>
      <w:pPr>
        <w:spacing w:after="0" w:line="285" w:lineRule="exact"/>
        <w:rPr>
          <w:sz w:val="20"/>
          <w:szCs w:val="20"/>
          <w:color w:val="auto"/>
        </w:rPr>
      </w:pPr>
    </w:p>
    <w:p>
      <w:pPr>
        <w:ind w:firstLine="598"/>
        <w:spacing w:after="0" w:line="289" w:lineRule="auto"/>
        <w:rPr>
          <w:sz w:val="20"/>
          <w:szCs w:val="20"/>
          <w:color w:val="auto"/>
        </w:rPr>
      </w:pPr>
      <w:r>
        <w:rPr>
          <w:rFonts w:ascii="Arial" w:cs="Arial" w:eastAsia="Arial" w:hAnsi="Arial"/>
          <w:sz w:val="17"/>
          <w:szCs w:val="17"/>
          <w:b w:val="1"/>
          <w:bCs w:val="1"/>
          <w:color w:val="auto"/>
        </w:rPr>
        <w:t>Difficult market conditions can adversely affect our business in many ways, including by reducing the volume of transactions involving our Financial Advisory business and reducing the value or performance of the assets we manage in our Asset Management business, which, in each case, could materially reduce our revenue or income and adversely affect our financial position.</w:t>
      </w:r>
    </w:p>
    <w:p>
      <w:pPr>
        <w:spacing w:after="0" w:line="54" w:lineRule="exact"/>
        <w:rPr>
          <w:sz w:val="20"/>
          <w:szCs w:val="20"/>
          <w:color w:val="auto"/>
        </w:rPr>
      </w:pPr>
    </w:p>
    <w:p>
      <w:pPr>
        <w:ind w:right="40" w:firstLine="598"/>
        <w:spacing w:after="0" w:line="297" w:lineRule="auto"/>
        <w:rPr>
          <w:sz w:val="20"/>
          <w:szCs w:val="20"/>
          <w:color w:val="auto"/>
        </w:rPr>
      </w:pPr>
      <w:r>
        <w:rPr>
          <w:rFonts w:ascii="Arial" w:cs="Arial" w:eastAsia="Arial" w:hAnsi="Arial"/>
          <w:sz w:val="16"/>
          <w:szCs w:val="16"/>
          <w:color w:val="auto"/>
        </w:rPr>
        <w:t>As a financial services firm, our businesses are materially affected by conditions in the global financial markets and economic conditions throughout the world. Unfavorable economic and market conditions can adversely affect our financial performance in both the Financial Advisory and Asset Management businesses. The future market and economic climate may deteriorate because of many factors, such as a general slowing of economic growth globally or regionally, periods of disruption or volatility in securities markets, volatility and tightening of liquidity in credit markets, volatility or significant realignments in currency markets, increases in interest rates, inflation, corporate or sovereign defaults, natural disasters, terrorism or political uncertainty.</w:t>
      </w:r>
    </w:p>
    <w:p>
      <w:pPr>
        <w:spacing w:after="0" w:line="158" w:lineRule="exact"/>
        <w:rPr>
          <w:sz w:val="20"/>
          <w:szCs w:val="20"/>
          <w:color w:val="auto"/>
        </w:rPr>
      </w:pPr>
    </w:p>
    <w:p>
      <w:pPr>
        <w:ind w:right="20" w:firstLine="598"/>
        <w:spacing w:after="0" w:line="273" w:lineRule="auto"/>
        <w:rPr>
          <w:sz w:val="20"/>
          <w:szCs w:val="20"/>
          <w:color w:val="auto"/>
        </w:rPr>
      </w:pPr>
      <w:r>
        <w:rPr>
          <w:rFonts w:ascii="Arial" w:cs="Arial" w:eastAsia="Arial" w:hAnsi="Arial"/>
          <w:sz w:val="17"/>
          <w:szCs w:val="17"/>
          <w:color w:val="auto"/>
        </w:rPr>
        <w:t>For example, revenue generated by our Financial Advisory business is directly related to the volume and value of the transactions in which we are involved. During periods of unfavorable or uncertain market or economic conditions, the volume and value of M&amp;A transactions may decrease, thereby reducing the demand for our Financial Advisory services and increasing price competition among financial services companies seeking such engagements. Our results of operations would be adversely affected by any such reduction in the volume or value of M&amp;A transactions. In addition, our profitability would be adversely affected due to our fixed costs and the possibility that we would be unable to reduce our variable costs without reducing revenue or within a timeframe sufficient to offset any decreases in revenue relating to changes in market and economic conditions.</w:t>
      </w:r>
    </w:p>
    <w:p>
      <w:pPr>
        <w:spacing w:after="0" w:line="178" w:lineRule="exact"/>
        <w:rPr>
          <w:sz w:val="20"/>
          <w:szCs w:val="20"/>
          <w:color w:val="auto"/>
        </w:rPr>
      </w:pPr>
    </w:p>
    <w:p>
      <w:pPr>
        <w:ind w:right="40" w:firstLine="598"/>
        <w:spacing w:after="0" w:line="272" w:lineRule="auto"/>
        <w:rPr>
          <w:sz w:val="20"/>
          <w:szCs w:val="20"/>
          <w:color w:val="auto"/>
        </w:rPr>
      </w:pPr>
      <w:r>
        <w:rPr>
          <w:rFonts w:ascii="Arial" w:cs="Arial" w:eastAsia="Arial" w:hAnsi="Arial"/>
          <w:sz w:val="17"/>
          <w:szCs w:val="17"/>
          <w:color w:val="auto"/>
        </w:rPr>
        <w:t>Within our Financial Advisory business, we have typically seen that, during periods of economic strength and growth, our Mergers and Acquisitions practice historically has been more active and our Restructuring practice has been less active. Conversely, during periods of economic weakness and contraction, we typically have seen that our Restructuring practice has been more active and our Mergers and Acquisitions practice has been less active. As a result, revenue from our Restructuring practice has tended to correlate negatively to our revenue from our Mergers and Acquisitions practice over the course of business cycles. These trends are cyclical in nature and subject to periodic reversal. However, these trends do not cancel out the impact of economic conditions in our Financial Advisory business, which may be adversely affected by a downturn in economic conditions leading to decreased Mergers and Acquisitions practice activity, notwithstanding improvements in our Restructuring practice. Moreover,</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16" w:name="page17"/>
    <w:bookmarkEnd w:id="16"/>
    <w:p>
      <w:pPr>
        <w:ind w:right="180"/>
        <w:spacing w:after="0" w:line="259" w:lineRule="auto"/>
        <w:rPr>
          <w:sz w:val="20"/>
          <w:szCs w:val="20"/>
          <w:color w:val="auto"/>
        </w:rPr>
      </w:pPr>
      <w:r>
        <w:rPr>
          <w:rFonts w:ascii="Arial" w:cs="Arial" w:eastAsia="Arial" w:hAnsi="Arial"/>
          <w:sz w:val="18"/>
          <w:szCs w:val="18"/>
          <w:color w:val="auto"/>
        </w:rPr>
        <w:t>revenue improvements in our Mergers and Acquisitions practice in strong economic conditions could be offset in whole or in part by any related revenue declines in our Restructuring practice. While we generally have experienced a counter-cyclical relationship between our Mergers and Acquisitions practice and our Restructuring practice, this relationship may not continue in the future, and there is no certainty that strength in one practice will offset weakness in the other.</w:t>
      </w:r>
    </w:p>
    <w:p>
      <w:pPr>
        <w:spacing w:after="0" w:line="187" w:lineRule="exact"/>
        <w:rPr>
          <w:sz w:val="20"/>
          <w:szCs w:val="20"/>
          <w:color w:val="auto"/>
        </w:rPr>
      </w:pPr>
    </w:p>
    <w:p>
      <w:pPr>
        <w:ind w:right="280" w:firstLine="598"/>
        <w:spacing w:after="0" w:line="259" w:lineRule="auto"/>
        <w:rPr>
          <w:sz w:val="20"/>
          <w:szCs w:val="20"/>
          <w:color w:val="auto"/>
        </w:rPr>
      </w:pPr>
      <w:r>
        <w:rPr>
          <w:rFonts w:ascii="Arial" w:cs="Arial" w:eastAsia="Arial" w:hAnsi="Arial"/>
          <w:sz w:val="18"/>
          <w:szCs w:val="18"/>
          <w:color w:val="auto"/>
        </w:rPr>
        <w:t>Our Asset Management business also would be expected to generate lower revenue in a market or general economic downturn. Under our Asset Management business’s arrangements, investment advisory fees we receive typically are based on the market value of AUM. Accordingly, a decline in the prices of securities, or in specific geographic markets or sectors that constitute a significant portion of our AUM (</w:t>
      </w:r>
      <w:r>
        <w:rPr>
          <w:rFonts w:ascii="Arial" w:cs="Arial" w:eastAsia="Arial" w:hAnsi="Arial"/>
          <w:sz w:val="18"/>
          <w:szCs w:val="18"/>
          <w:i w:val="1"/>
          <w:iCs w:val="1"/>
          <w:color w:val="auto"/>
        </w:rPr>
        <w:t>e.g.</w:t>
      </w:r>
      <w:r>
        <w:rPr>
          <w:rFonts w:ascii="Arial" w:cs="Arial" w:eastAsia="Arial" w:hAnsi="Arial"/>
          <w:sz w:val="18"/>
          <w:szCs w:val="18"/>
          <w:color w:val="auto"/>
        </w:rPr>
        <w:t>, our emerging markets strategies), would be expected to cause our revenue and income to decline by causing:</w:t>
      </w:r>
    </w:p>
    <w:p>
      <w:pPr>
        <w:spacing w:after="0" w:line="79" w:lineRule="exact"/>
        <w:rPr>
          <w:sz w:val="20"/>
          <w:szCs w:val="20"/>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value of our AUM to decrease, which would result in lower investment advisory fees;</w:t>
      </w:r>
    </w:p>
    <w:p>
      <w:pPr>
        <w:spacing w:after="0" w:line="117" w:lineRule="exact"/>
        <w:rPr>
          <w:rFonts w:ascii="Arial" w:cs="Arial" w:eastAsia="Arial" w:hAnsi="Arial"/>
          <w:sz w:val="18"/>
          <w:szCs w:val="18"/>
          <w:color w:val="auto"/>
        </w:rPr>
      </w:pPr>
    </w:p>
    <w:p>
      <w:pPr>
        <w:ind w:left="1200" w:right="180" w:hanging="598"/>
        <w:spacing w:after="0" w:line="342" w:lineRule="auto"/>
        <w:tabs>
          <w:tab w:leader="none" w:pos="12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some of our clients to withdraw funds from our Asset Management business due to the uncertainty or volatility in the market, or in favor of investments they perceive as offering greater opportunity or lower risk, which would also result in lower investment advisory fees;</w:t>
      </w:r>
    </w:p>
    <w:p>
      <w:pPr>
        <w:spacing w:after="0" w:line="15" w:lineRule="exact"/>
        <w:rPr>
          <w:rFonts w:ascii="Arial" w:cs="Arial" w:eastAsia="Arial" w:hAnsi="Arial"/>
          <w:sz w:val="16"/>
          <w:szCs w:val="16"/>
          <w:color w:val="auto"/>
        </w:rPr>
      </w:pPr>
    </w:p>
    <w:p>
      <w:pPr>
        <w:ind w:left="1200" w:hanging="598"/>
        <w:spacing w:after="0" w:line="277" w:lineRule="auto"/>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some of our clients or prospective clients to hesitate in allocating assets to our Asset Management business due to the uncertainty or volatility in the market, which would also result in lower investment advisory fees; or</w:t>
      </w:r>
    </w:p>
    <w:p>
      <w:pPr>
        <w:spacing w:after="0" w:line="62" w:lineRule="exact"/>
        <w:rPr>
          <w:rFonts w:ascii="Arial" w:cs="Arial" w:eastAsia="Arial" w:hAnsi="Arial"/>
          <w:sz w:val="18"/>
          <w:szCs w:val="18"/>
          <w:color w:val="auto"/>
        </w:rPr>
      </w:pPr>
    </w:p>
    <w:p>
      <w:pPr>
        <w:ind w:left="1200" w:right="60" w:hanging="598"/>
        <w:spacing w:after="0" w:line="277" w:lineRule="auto"/>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negative absolute performance returns for some accounts which have performance-based incentive fees, which would result in a reduction of revenue from such fees.</w:t>
      </w:r>
    </w:p>
    <w:p>
      <w:pPr>
        <w:spacing w:after="0" w:line="170"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Our AUM has declined from time to time during recent periods. For example, average AUM for the year ended December 31, 2019 was $234 billion, a decrease of 3% as compared to average AUM for the year ended December 31, 2018. If our Asset Management revenue declines without a commensurate reduction in our expenses, our net income would be reduced. In addition, in the event of a market or general economic downturn, our alternative investment and private equity practices also may be impacted by a difficult fund raising environment and reduced exit opportunities in which to realize the value of their investments. Fluctuations in foreign currency exchange rates may also affect the levels of our AUM and our investment advisory fees. See “Fluctuations in foreign currency exchange rates could reduce our members’ equity and net income or negatively impact the portfolios of our Asset Management clients and may affect the levels of our AUM” below.</w:t>
      </w:r>
    </w:p>
    <w:p>
      <w:pPr>
        <w:spacing w:after="0" w:line="293" w:lineRule="exact"/>
        <w:rPr>
          <w:sz w:val="20"/>
          <w:szCs w:val="20"/>
          <w:color w:val="auto"/>
        </w:rPr>
      </w:pPr>
    </w:p>
    <w:p>
      <w:pPr>
        <w:ind w:right="420" w:firstLine="598"/>
        <w:spacing w:after="0" w:line="282" w:lineRule="auto"/>
        <w:rPr>
          <w:sz w:val="20"/>
          <w:szCs w:val="20"/>
          <w:color w:val="auto"/>
        </w:rPr>
      </w:pPr>
      <w:r>
        <w:rPr>
          <w:rFonts w:ascii="Arial" w:cs="Arial" w:eastAsia="Arial" w:hAnsi="Arial"/>
          <w:sz w:val="18"/>
          <w:szCs w:val="18"/>
          <w:b w:val="1"/>
          <w:bCs w:val="1"/>
          <w:color w:val="auto"/>
        </w:rPr>
        <w:t>Due to the nature of our business, financial results could differ significantly from period to period, which may make it difficult for us to achieve steady earnings growth on a quarterly basis.</w:t>
      </w:r>
    </w:p>
    <w:p>
      <w:pPr>
        <w:spacing w:after="0" w:line="58" w:lineRule="exact"/>
        <w:rPr>
          <w:sz w:val="20"/>
          <w:szCs w:val="20"/>
          <w:color w:val="auto"/>
        </w:rPr>
      </w:pPr>
    </w:p>
    <w:p>
      <w:pPr>
        <w:ind w:right="20" w:firstLine="598"/>
        <w:spacing w:after="0" w:line="268" w:lineRule="auto"/>
        <w:rPr>
          <w:sz w:val="20"/>
          <w:szCs w:val="20"/>
          <w:color w:val="auto"/>
        </w:rPr>
      </w:pPr>
      <w:r>
        <w:rPr>
          <w:rFonts w:ascii="Arial" w:cs="Arial" w:eastAsia="Arial" w:hAnsi="Arial"/>
          <w:sz w:val="17"/>
          <w:szCs w:val="17"/>
          <w:color w:val="auto"/>
        </w:rPr>
        <w:t>We experience significant fluctuations in quarterly revenue and profits. These fluctuations generally can be attributed to the fact that we earn a substantial portion of our Financial Advisory revenue upon the successful completion of a transaction or a restructuring, the timing of which is uncertain and is not subject to our control. As a result, our Financial Advisory business is highly dependent on market conditions and the decisions and actions of our clients, interested third parties and governmental authorities. For example, a client or counterparty could delay or terminate an acquisition transaction because of a failure to agree upon final terms, failure to obtain necessary regulatory consents or board of directors, or acquirer’s or stockholder approval, failure to secure necessary financing, adverse market conditions or because the seller’s business is experiencing unexpected operating or financial problems. Anticipated bidders for assets of a client during a restructuring transaction may not materialize or our client may not be able to restructure its operations or indebtedness, for example, due to a failure to reach agreement with its principal creditors. In addition, a bankruptcy court may deny our right to collect a “success” or “completion” fee. In these circumstances, other than in engagements where we receive monthly retainers, we often do not receive any advisory fees other than the reimbursement of certain expenses, despite the fact that we devote resources to these transactions. Accordingly, the failure of one or more transactions to close either as anticipated or at all could cause significant fluctuations in quarterly revenue and profits and could materially adversely affect our business, financial condition and results of operations. For more information, see “Management’s Discussion and Analysis of Financial Condition and Results of Operations”.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7" w:name="page18"/>
    <w:bookmarkEnd w:id="17"/>
    <w:p>
      <w:pPr>
        <w:ind w:right="80" w:firstLine="598"/>
        <w:spacing w:after="0" w:line="255" w:lineRule="auto"/>
        <w:rPr>
          <w:sz w:val="20"/>
          <w:szCs w:val="20"/>
          <w:color w:val="auto"/>
        </w:rPr>
      </w:pPr>
      <w:r>
        <w:rPr>
          <w:rFonts w:ascii="Arial" w:cs="Arial" w:eastAsia="Arial" w:hAnsi="Arial"/>
          <w:sz w:val="18"/>
          <w:szCs w:val="18"/>
          <w:color w:val="auto"/>
        </w:rPr>
        <w:t>In addition, our Asset Management revenue is particularly sensitive to fluctuations in our AUM. Asset Management fees are predominantly based on the daily, monthly or quarterly average AUM. As a result, a reduction in AUM at the end of a day, month or quarter (as a result of market depreciation, withdrawals, fluctuations in foreign currency exchange rates or otherwise) will result in a decrease in management fees. Similarly, the timing of flows, contributions and withdrawals are often out of our control and may be inconsistent from quarter to quarter. Incentive fees are driven by investment performance (either absolute performance or relative to an established benchmark), which is directly impacted by market movements, and may therefore fluctuate from period to period.</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a result of such fluctuations, it may be difficult for us to achieve steady revenue and earnings growth on a quarterly basis.</w:t>
      </w:r>
    </w:p>
    <w:p>
      <w:pPr>
        <w:spacing w:after="0" w:line="329" w:lineRule="exact"/>
        <w:rPr>
          <w:sz w:val="20"/>
          <w:szCs w:val="20"/>
          <w:color w:val="auto"/>
        </w:rPr>
      </w:pPr>
    </w:p>
    <w:p>
      <w:pPr>
        <w:ind w:right="140" w:firstLine="598"/>
        <w:spacing w:after="0" w:line="266" w:lineRule="auto"/>
        <w:rPr>
          <w:sz w:val="20"/>
          <w:szCs w:val="20"/>
          <w:color w:val="auto"/>
        </w:rPr>
      </w:pPr>
      <w:r>
        <w:rPr>
          <w:rFonts w:ascii="Arial" w:cs="Arial" w:eastAsia="Arial" w:hAnsi="Arial"/>
          <w:sz w:val="18"/>
          <w:szCs w:val="18"/>
          <w:b w:val="1"/>
          <w:bCs w:val="1"/>
          <w:color w:val="auto"/>
        </w:rPr>
        <w:t>Our ability to retain our managing directors and other key professional employees is critical to the success of our business, including maintaining compensation levels at an appropriate level, and failure to do so may materially adversely affect our results of operations and financial position.</w:t>
      </w:r>
    </w:p>
    <w:p>
      <w:pPr>
        <w:spacing w:after="0" w:line="72" w:lineRule="exact"/>
        <w:rPr>
          <w:sz w:val="20"/>
          <w:szCs w:val="20"/>
          <w:color w:val="auto"/>
        </w:rPr>
      </w:pPr>
    </w:p>
    <w:p>
      <w:pPr>
        <w:ind w:right="340" w:firstLine="598"/>
        <w:spacing w:after="0" w:line="264" w:lineRule="auto"/>
        <w:rPr>
          <w:sz w:val="20"/>
          <w:szCs w:val="20"/>
          <w:color w:val="auto"/>
        </w:rPr>
      </w:pPr>
      <w:r>
        <w:rPr>
          <w:rFonts w:ascii="Arial" w:cs="Arial" w:eastAsia="Arial" w:hAnsi="Arial"/>
          <w:sz w:val="18"/>
          <w:szCs w:val="18"/>
          <w:color w:val="auto"/>
        </w:rPr>
        <w:t>Our people are our most important asset. We must retain the services of our managing directors and other key professional employees, and strategically recruit and hire new talented employees, to obtain and successfully execute the Financial Advisory and Asset Management engagements that generate substantially all of our revenue.</w:t>
      </w:r>
    </w:p>
    <w:p>
      <w:pPr>
        <w:spacing w:after="0" w:line="181"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In general, our industry continues to experience change and be subject to significant competitive pressures with respect to the retention of top talent, which makes it more difficult for us to retain professionals. Loss of key employees may occur due to perceived opportunity for promotion, compensation levels, work environment, retirement or the pursuit of philanthropic, civic or similar service opportunities, or other individual reasons, some of which may be beyond our control. If managing directors and other key professional employees were to retire, join an existing competitor, form a competing company or otherwise leave us, we could need to replace them, and some of our clients could eventually choose to use the services of that competitor or some other competitor instead of our services. In any such event, our investment banking fees, asset management fees or AUM could decline. The employment arrangements, non-competition agreements and retention agreements we have or will enter into with our managing directors and other key professional employees may not sufficiently prevent our managing directors and other key professional employees from resigning from practice or competing against us. In addition, these arrangements and agreements have a limited duration and expire after a certain period of time. We continue to be subject to intense competition in the financial services industry regarding the recruitment and retention of key professionals, and have experienced departures from and added to our professional ranks as a result.</w:t>
      </w:r>
    </w:p>
    <w:p>
      <w:pPr>
        <w:spacing w:after="0" w:line="183" w:lineRule="exact"/>
        <w:rPr>
          <w:sz w:val="20"/>
          <w:szCs w:val="20"/>
          <w:color w:val="auto"/>
        </w:rPr>
      </w:pPr>
    </w:p>
    <w:p>
      <w:pPr>
        <w:ind w:right="60" w:firstLine="598"/>
        <w:spacing w:after="0" w:line="272" w:lineRule="auto"/>
        <w:rPr>
          <w:sz w:val="20"/>
          <w:szCs w:val="20"/>
          <w:color w:val="auto"/>
        </w:rPr>
      </w:pPr>
      <w:r>
        <w:rPr>
          <w:rFonts w:ascii="Arial" w:cs="Arial" w:eastAsia="Arial" w:hAnsi="Arial"/>
          <w:sz w:val="17"/>
          <w:szCs w:val="17"/>
          <w:color w:val="auto"/>
        </w:rPr>
        <w:t>Certain changes to our employee compensation arrangements may result in increased compensation and benefits expense. In addition, any changes to the mix of cash and deferred incentive compensation granted to our employees may affect certain financial measures applicable to our business, including ratios of compensation and benefits expense to revenue, and may result in the issuance of increased levels of Lazard Ltd’s Class A common stock, par value $0.01 per share (“Class A common stock”), to our employees upon vesting of restricted stock units (“RSUs”), performance-based restricted stock units (“PRSUs”), restricted stock awards, profits interest participation rights or other equity-based awards in a particular year. Our compensation levels, results of operations and financial position may be significantly affected by many factors, including general economic and market conditions, our operating and financial performance, staffing levels and competitive pay conditions.</w:t>
      </w:r>
    </w:p>
    <w:p>
      <w:pPr>
        <w:spacing w:after="0" w:line="282"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The financial services industry, and all of the businesses in which we compete, are intensely competitive.</w:t>
      </w:r>
    </w:p>
    <w:p>
      <w:pPr>
        <w:spacing w:after="0" w:line="121" w:lineRule="exact"/>
        <w:rPr>
          <w:sz w:val="20"/>
          <w:szCs w:val="20"/>
          <w:color w:val="auto"/>
        </w:rPr>
      </w:pPr>
    </w:p>
    <w:p>
      <w:pPr>
        <w:ind w:right="100" w:firstLine="598"/>
        <w:spacing w:after="0" w:line="279" w:lineRule="auto"/>
        <w:rPr>
          <w:sz w:val="20"/>
          <w:szCs w:val="20"/>
          <w:color w:val="auto"/>
        </w:rPr>
      </w:pPr>
      <w:r>
        <w:rPr>
          <w:rFonts w:ascii="Arial" w:cs="Arial" w:eastAsia="Arial" w:hAnsi="Arial"/>
          <w:sz w:val="17"/>
          <w:szCs w:val="17"/>
          <w:color w:val="auto"/>
        </w:rPr>
        <w:t>The financial services industry is intensely competitive, and we expect it to remain so. We compete on the basis of a number of factors, including the quality of our advice, our employees and transaction execution, the range and price of our products and services, our innovation and our reputation. We have experienced intense fee competition in some of our businesses in recent years, and we believe that we may experience pricing pressures in these and other areas in the future as some of our competitors seek to obtain increased market share by reducing fees.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 w:name="page19"/>
    <w:bookmarkEnd w:id="18"/>
    <w:p>
      <w:pPr>
        <w:ind w:left="600"/>
        <w:spacing w:after="0"/>
        <w:rPr>
          <w:sz w:val="20"/>
          <w:szCs w:val="20"/>
          <w:color w:val="auto"/>
        </w:rPr>
      </w:pPr>
      <w:r>
        <w:rPr>
          <w:rFonts w:ascii="Arial" w:cs="Arial" w:eastAsia="Arial" w:hAnsi="Arial"/>
          <w:sz w:val="18"/>
          <w:szCs w:val="18"/>
          <w:color w:val="auto"/>
        </w:rPr>
        <w:t>A number of factors increase the competitive risks of our Financial Advisory and Asset Management businesses:</w:t>
      </w:r>
    </w:p>
    <w:p>
      <w:pPr>
        <w:spacing w:after="0" w:line="117" w:lineRule="exact"/>
        <w:rPr>
          <w:sz w:val="20"/>
          <w:szCs w:val="20"/>
          <w:color w:val="auto"/>
        </w:rPr>
      </w:pPr>
    </w:p>
    <w:p>
      <w:pPr>
        <w:jc w:val="both"/>
        <w:ind w:left="1200" w:right="240" w:hanging="598"/>
        <w:spacing w:after="0" w:line="264"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are relatively few barriers to entry impeding the launch of new asset management and financial advisory firms, including a relatively low cost of entering these businesses, and the successful efforts of new entrants into our lines of business, including major banks and other financial institutions, have resulted in increased competition;</w:t>
      </w:r>
    </w:p>
    <w:p>
      <w:pPr>
        <w:spacing w:after="0" w:line="73" w:lineRule="exact"/>
        <w:rPr>
          <w:rFonts w:ascii="Arial" w:cs="Arial" w:eastAsia="Arial" w:hAnsi="Arial"/>
          <w:sz w:val="18"/>
          <w:szCs w:val="18"/>
          <w:color w:val="auto"/>
        </w:rPr>
      </w:pPr>
    </w:p>
    <w:p>
      <w:pPr>
        <w:ind w:left="1200" w:hanging="598"/>
        <w:spacing w:after="0"/>
        <w:tabs>
          <w:tab w:leader="none" w:pos="12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other industry participants will from time to time seek to recruit our employees away from us in order to compete in our lines of business; and</w:t>
      </w:r>
    </w:p>
    <w:p>
      <w:pPr>
        <w:spacing w:after="0" w:line="140" w:lineRule="exact"/>
        <w:rPr>
          <w:rFonts w:ascii="Arial" w:cs="Arial" w:eastAsia="Arial" w:hAnsi="Arial"/>
          <w:sz w:val="16"/>
          <w:szCs w:val="16"/>
          <w:color w:val="auto"/>
        </w:rPr>
      </w:pPr>
    </w:p>
    <w:p>
      <w:pPr>
        <w:ind w:left="1200" w:hanging="598"/>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certain of our practices and products are newly established and relatively small.</w:t>
      </w:r>
    </w:p>
    <w:p>
      <w:pPr>
        <w:spacing w:after="0" w:line="225" w:lineRule="exact"/>
        <w:rPr>
          <w:sz w:val="20"/>
          <w:szCs w:val="20"/>
          <w:color w:val="auto"/>
        </w:rPr>
      </w:pPr>
    </w:p>
    <w:p>
      <w:pPr>
        <w:jc w:val="both"/>
        <w:ind w:right="80" w:firstLine="598"/>
        <w:spacing w:after="0" w:line="259" w:lineRule="auto"/>
        <w:rPr>
          <w:sz w:val="20"/>
          <w:szCs w:val="20"/>
          <w:color w:val="auto"/>
        </w:rPr>
      </w:pPr>
      <w:r>
        <w:rPr>
          <w:rFonts w:ascii="Arial" w:cs="Arial" w:eastAsia="Arial" w:hAnsi="Arial"/>
          <w:sz w:val="18"/>
          <w:szCs w:val="18"/>
          <w:color w:val="auto"/>
        </w:rPr>
        <w:t>In addition, many of our competitors have the ability to offer a wide range of products, from loans, deposit-taking and insurance to brokerage, asset management and investment banking services, which may enhance their competitive position. They may also have the ability to support investment banking, including financial advisory services, with commercial banking, insurance and other financial services in an effort to gain market share, which could result in pricing pressure in our businesses.</w:t>
      </w:r>
    </w:p>
    <w:p>
      <w:pPr>
        <w:spacing w:after="0" w:line="187"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color w:val="auto"/>
        </w:rPr>
        <w:t>Competitive pressure could adversely affect our ability to attract new or retain existing clients, make successful investments, retain our people or maintain AUM, any of which would adversely affect our results of operations and financial condition.</w:t>
      </w:r>
    </w:p>
    <w:p>
      <w:pPr>
        <w:spacing w:after="0" w:line="275" w:lineRule="exact"/>
        <w:rPr>
          <w:sz w:val="20"/>
          <w:szCs w:val="20"/>
          <w:color w:val="auto"/>
        </w:rPr>
      </w:pPr>
    </w:p>
    <w:p>
      <w:pPr>
        <w:ind w:right="80" w:firstLine="598"/>
        <w:spacing w:after="0" w:line="266" w:lineRule="auto"/>
        <w:rPr>
          <w:sz w:val="20"/>
          <w:szCs w:val="20"/>
          <w:color w:val="auto"/>
        </w:rPr>
      </w:pPr>
      <w:r>
        <w:rPr>
          <w:rFonts w:ascii="Arial" w:cs="Arial" w:eastAsia="Arial" w:hAnsi="Arial"/>
          <w:sz w:val="18"/>
          <w:szCs w:val="18"/>
          <w:b w:val="1"/>
          <w:bCs w:val="1"/>
          <w:color w:val="auto"/>
        </w:rPr>
        <w:t>A substantial portion of our revenue is derived from Financial Advisory fees, which are not long-term contracted sources of revenue and are subject to intense competition, and declines in our Financial Advisory engagements could have a material adverse effect on our business, financial condition and results of operations.</w:t>
      </w:r>
    </w:p>
    <w:p>
      <w:pPr>
        <w:spacing w:after="0" w:line="72" w:lineRule="exact"/>
        <w:rPr>
          <w:sz w:val="20"/>
          <w:szCs w:val="20"/>
          <w:color w:val="auto"/>
        </w:rPr>
      </w:pPr>
    </w:p>
    <w:p>
      <w:pPr>
        <w:ind w:right="180" w:firstLine="598"/>
        <w:spacing w:after="0" w:line="257" w:lineRule="auto"/>
        <w:rPr>
          <w:sz w:val="20"/>
          <w:szCs w:val="20"/>
          <w:color w:val="auto"/>
        </w:rPr>
      </w:pPr>
      <w:r>
        <w:rPr>
          <w:rFonts w:ascii="Arial" w:cs="Arial" w:eastAsia="Arial" w:hAnsi="Arial"/>
          <w:sz w:val="18"/>
          <w:szCs w:val="18"/>
          <w:color w:val="auto"/>
        </w:rPr>
        <w:t>We historically have earned a substantial portion of our revenue from advisory fees paid to us by our Financial Advisory clients, which usually are payable upon the successful completion of a particular transaction or restructuring. For example, for the year ended December 31, 2019, Financial Advisory services accounted for approximately 53% of our consolidated net revenue. We expect that we will continue to rely on Financial Advisory fees for a substantial portion of our revenue for the foreseeable future, and a decline in our Financial Advisory engagements or the market for financial advisory services would adversely affect our business, financial condition and results of operations.</w:t>
      </w:r>
    </w:p>
    <w:p>
      <w:pPr>
        <w:spacing w:after="0" w:line="188" w:lineRule="exact"/>
        <w:rPr>
          <w:sz w:val="20"/>
          <w:szCs w:val="20"/>
          <w:color w:val="auto"/>
        </w:rPr>
      </w:pPr>
    </w:p>
    <w:p>
      <w:pPr>
        <w:ind w:right="80" w:firstLine="598"/>
        <w:spacing w:after="0" w:line="297" w:lineRule="auto"/>
        <w:rPr>
          <w:sz w:val="20"/>
          <w:szCs w:val="20"/>
          <w:color w:val="auto"/>
        </w:rPr>
      </w:pPr>
      <w:r>
        <w:rPr>
          <w:rFonts w:ascii="Arial" w:cs="Arial" w:eastAsia="Arial" w:hAnsi="Arial"/>
          <w:sz w:val="16"/>
          <w:szCs w:val="16"/>
          <w:color w:val="auto"/>
        </w:rPr>
        <w:t>In addition, we operate in a highly competitive environment where typically there are no long-term contracted sources of revenue. Each revenue-generating engagement typically is separately awarded and negotiated. Furthermore, many businesses do not routinely engage in transactions requiring our services and, as a consequence, our fee paying engagements with many clients are not likely to be predictable. We also lose clients each year, including as a result of the sale or merger of a client, a change in a client’s senior management and competition from other financial advisors and financial institutions. As a result, our engagements with clients are constantly changing and our Financial Advisory fees could decline quickly due to the factors discussed above.</w:t>
      </w:r>
    </w:p>
    <w:p>
      <w:pPr>
        <w:spacing w:after="0" w:line="262" w:lineRule="exact"/>
        <w:rPr>
          <w:sz w:val="20"/>
          <w:szCs w:val="20"/>
          <w:color w:val="auto"/>
        </w:rPr>
      </w:pPr>
    </w:p>
    <w:p>
      <w:pPr>
        <w:ind w:right="280" w:firstLine="598"/>
        <w:spacing w:after="0" w:line="282" w:lineRule="auto"/>
        <w:rPr>
          <w:sz w:val="20"/>
          <w:szCs w:val="20"/>
          <w:color w:val="auto"/>
        </w:rPr>
      </w:pPr>
      <w:r>
        <w:rPr>
          <w:rFonts w:ascii="Arial" w:cs="Arial" w:eastAsia="Arial" w:hAnsi="Arial"/>
          <w:sz w:val="18"/>
          <w:szCs w:val="18"/>
          <w:b w:val="1"/>
          <w:bCs w:val="1"/>
          <w:color w:val="auto"/>
        </w:rPr>
        <w:t>If the number of debt defaults, bankruptcies or other factors affecting demand for our Restructuring services declines, our Restructuring revenue could suffer.</w:t>
      </w:r>
    </w:p>
    <w:p>
      <w:pPr>
        <w:spacing w:after="0" w:line="58" w:lineRule="exact"/>
        <w:rPr>
          <w:sz w:val="20"/>
          <w:szCs w:val="20"/>
          <w:color w:val="auto"/>
        </w:rPr>
      </w:pPr>
    </w:p>
    <w:p>
      <w:pPr>
        <w:ind w:right="220" w:firstLine="598"/>
        <w:spacing w:after="0" w:line="279" w:lineRule="auto"/>
        <w:rPr>
          <w:sz w:val="20"/>
          <w:szCs w:val="20"/>
          <w:color w:val="auto"/>
        </w:rPr>
      </w:pPr>
      <w:r>
        <w:rPr>
          <w:rFonts w:ascii="Arial" w:cs="Arial" w:eastAsia="Arial" w:hAnsi="Arial"/>
          <w:sz w:val="17"/>
          <w:szCs w:val="17"/>
          <w:color w:val="auto"/>
        </w:rPr>
        <w:t>We provide various restructuring and restructuring-related advice to companies in financial distress or to their creditors or other stakeholders. Historically, the fees from restructuring-related services have been a significant part of our Financial Advisory revenue. A number of factors could affect demand for these advisory services, including improving general economic conditions, the availability and cost of debt and equity financing and changes to laws, rules and regulations, including those that protect creditors, and the deregulation or privatization of particular industries.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 w:name="page20"/>
    <w:bookmarkEnd w:id="19"/>
    <w:p>
      <w:pPr>
        <w:ind w:left="600"/>
        <w:spacing w:after="0"/>
        <w:rPr>
          <w:sz w:val="20"/>
          <w:szCs w:val="20"/>
          <w:color w:val="auto"/>
        </w:rPr>
      </w:pPr>
      <w:r>
        <w:rPr>
          <w:rFonts w:ascii="Arial" w:cs="Arial" w:eastAsia="Arial" w:hAnsi="Arial"/>
          <w:sz w:val="18"/>
          <w:szCs w:val="18"/>
          <w:b w:val="1"/>
          <w:bCs w:val="1"/>
          <w:color w:val="auto"/>
        </w:rPr>
        <w:t>Potential underwriting activities may expose us to risk.</w:t>
      </w:r>
    </w:p>
    <w:p>
      <w:pPr>
        <w:spacing w:after="0" w:line="121" w:lineRule="exact"/>
        <w:rPr>
          <w:sz w:val="20"/>
          <w:szCs w:val="20"/>
          <w:color w:val="auto"/>
        </w:rPr>
      </w:pPr>
    </w:p>
    <w:p>
      <w:pPr>
        <w:ind w:right="140" w:firstLine="598"/>
        <w:spacing w:after="0" w:line="271" w:lineRule="auto"/>
        <w:rPr>
          <w:sz w:val="20"/>
          <w:szCs w:val="20"/>
          <w:color w:val="auto"/>
        </w:rPr>
      </w:pPr>
      <w:r>
        <w:rPr>
          <w:rFonts w:ascii="Arial" w:cs="Arial" w:eastAsia="Arial" w:hAnsi="Arial"/>
          <w:sz w:val="17"/>
          <w:szCs w:val="17"/>
          <w:color w:val="auto"/>
        </w:rPr>
        <w:t>In 2014, we took steps that have enabled us to act as an underwriter in public offerings and other distributions of securities in order to buttress our Financial Advisory business. If we act as an underwriter, we may incur losses and be subject to reputational harm to the extent that, for any reason, we are unable to sell securities we purchased as an underwriter at the anticipated price levels. In addition, if we act as an underwriter, we may also be subject to liability for material misstatements or omissions in prospectuses and other offering documents relating to offerings we underwrite. In such cases, any indemnification provisions in the applicable underwriting agreement may not be available to us or may not be sufficient to protect us against losses arising from such liability. Operational risk in connection with any offering we underwrite could arise in the form of errors, deficiencies or noncompliance and also could expose us to risk. We seek to manage the risks associated with underwriting activities through screening, internal review and diligence procedures and processes, but such efforts may not be effective in all cases.</w:t>
      </w:r>
    </w:p>
    <w:p>
      <w:pPr>
        <w:spacing w:after="0" w:line="283" w:lineRule="exact"/>
        <w:rPr>
          <w:sz w:val="20"/>
          <w:szCs w:val="20"/>
          <w:color w:val="auto"/>
        </w:rPr>
      </w:pPr>
    </w:p>
    <w:p>
      <w:pPr>
        <w:ind w:right="180" w:firstLine="598"/>
        <w:spacing w:after="0" w:line="266" w:lineRule="auto"/>
        <w:rPr>
          <w:sz w:val="20"/>
          <w:szCs w:val="20"/>
          <w:color w:val="auto"/>
        </w:rPr>
      </w:pPr>
      <w:r>
        <w:rPr>
          <w:rFonts w:ascii="Arial" w:cs="Arial" w:eastAsia="Arial" w:hAnsi="Arial"/>
          <w:sz w:val="18"/>
          <w:szCs w:val="18"/>
          <w:b w:val="1"/>
          <w:bCs w:val="1"/>
          <w:color w:val="auto"/>
        </w:rPr>
        <w:t>Our investment style in our Asset Management business, including the mix of asset classes and investment strategies comprising our AUM, may underperform or generate less demand than other investment approaches, which may result in significant client or asset departures, or a reduction in AUM.</w:t>
      </w:r>
    </w:p>
    <w:p>
      <w:pPr>
        <w:spacing w:after="0" w:line="72" w:lineRule="exact"/>
        <w:rPr>
          <w:sz w:val="20"/>
          <w:szCs w:val="20"/>
          <w:color w:val="auto"/>
        </w:rPr>
      </w:pPr>
    </w:p>
    <w:p>
      <w:pPr>
        <w:ind w:firstLine="598"/>
        <w:spacing w:after="0" w:line="288" w:lineRule="auto"/>
        <w:rPr>
          <w:sz w:val="20"/>
          <w:szCs w:val="20"/>
          <w:color w:val="auto"/>
        </w:rPr>
      </w:pPr>
      <w:r>
        <w:rPr>
          <w:rFonts w:ascii="Arial" w:cs="Arial" w:eastAsia="Arial" w:hAnsi="Arial"/>
          <w:sz w:val="16"/>
          <w:szCs w:val="16"/>
          <w:color w:val="auto"/>
        </w:rPr>
        <w:t>Even when securities prices are rising generally, performance can be affected by investment style and mix of asset classes. For example, many of the equity investment strategies in our Asset Management business share a common investment orientation towards relative value investing. We believe this style tends to outperform the market in some market environments and underperform it in others. In particular, a prolonged growth environment may cause some of our investment strategies to go out of favor with some clients, advisors, consultants or third-party intermediaries. In addition, all of our investment strategies are actively managed strategies which seek to outperform relative to a benchmark or generate an absolute return. Management fees for actively managed strategies tend to be higher than those charged for passively managed strategies. The perception that actively managed strategies have, on average, underperformed relative to passively managed strategies over time, combined with greater pressure on clients to acquire asset management services at lower costs, has contributed to increased trends toward passively managed investment strategies. This, in turn, may adversely affect demand for our strategies or result in fee pressure on our business overall. In combination with poor performance relative to peers, changes in personnel, challenging market environments or other difficulties, the underperformance of our investment style may result in significant client or asset departures or a reduction in AUM.</w:t>
      </w:r>
    </w:p>
    <w:p>
      <w:pPr>
        <w:spacing w:after="0" w:line="273" w:lineRule="exact"/>
        <w:rPr>
          <w:sz w:val="20"/>
          <w:szCs w:val="20"/>
          <w:color w:val="auto"/>
        </w:rPr>
      </w:pPr>
    </w:p>
    <w:p>
      <w:pPr>
        <w:ind w:right="800" w:firstLine="598"/>
        <w:spacing w:after="0" w:line="282" w:lineRule="auto"/>
        <w:rPr>
          <w:sz w:val="20"/>
          <w:szCs w:val="20"/>
          <w:color w:val="auto"/>
        </w:rPr>
      </w:pPr>
      <w:r>
        <w:rPr>
          <w:rFonts w:ascii="Arial" w:cs="Arial" w:eastAsia="Arial" w:hAnsi="Arial"/>
          <w:sz w:val="18"/>
          <w:szCs w:val="18"/>
          <w:b w:val="1"/>
          <w:bCs w:val="1"/>
          <w:color w:val="auto"/>
        </w:rPr>
        <w:t>We could lose clients and suffer a decline in our Asset Management revenue and earnings if the investments we choose in our Asset Management business perform poorly, regardless of overall trends in the prices of securities.</w:t>
      </w:r>
    </w:p>
    <w:p>
      <w:pPr>
        <w:spacing w:after="0" w:line="58"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Investment performance affects our AUM relating to existing clients and is one of the most important factors in retaining clients and competing for new Asset Management business. Poor investment performance could impair our revenue and growth because:</w:t>
      </w:r>
    </w:p>
    <w:p>
      <w:pPr>
        <w:spacing w:after="0" w:line="62" w:lineRule="exact"/>
        <w:rPr>
          <w:sz w:val="20"/>
          <w:szCs w:val="20"/>
          <w:color w:val="auto"/>
        </w:rPr>
      </w:pPr>
    </w:p>
    <w:p>
      <w:pPr>
        <w:ind w:left="1200" w:right="300" w:hanging="598"/>
        <w:spacing w:after="0" w:line="277" w:lineRule="auto"/>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existing clients might withdraw funds from our Asset Management business in favor of better performing products, which would result in lower investment advisory fees;</w:t>
      </w:r>
    </w:p>
    <w:p>
      <w:pPr>
        <w:spacing w:after="0" w:line="62" w:lineRule="exact"/>
        <w:rPr>
          <w:rFonts w:ascii="Arial" w:cs="Arial" w:eastAsia="Arial" w:hAnsi="Arial"/>
          <w:sz w:val="18"/>
          <w:szCs w:val="18"/>
          <w:color w:val="auto"/>
        </w:rPr>
      </w:pPr>
    </w:p>
    <w:p>
      <w:pPr>
        <w:ind w:left="1200" w:right="520" w:hanging="598"/>
        <w:spacing w:after="0" w:line="277" w:lineRule="auto"/>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incentive fees, which provide us with a set percentage of returns on some alternative investment and private equity funds and other accounts, would decline;</w:t>
      </w:r>
    </w:p>
    <w:p>
      <w:pPr>
        <w:spacing w:after="0" w:line="62" w:lineRule="exact"/>
        <w:rPr>
          <w:rFonts w:ascii="Arial" w:cs="Arial" w:eastAsia="Arial" w:hAnsi="Arial"/>
          <w:sz w:val="18"/>
          <w:szCs w:val="18"/>
          <w:color w:val="auto"/>
        </w:rPr>
      </w:pPr>
    </w:p>
    <w:p>
      <w:pPr>
        <w:ind w:left="1200" w:right="740" w:hanging="598"/>
        <w:spacing w:after="0" w:line="277" w:lineRule="auto"/>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third-party financial intermediaries, rating services, advisors or consultants may rate our products poorly, which may result in client withdrawals and reduced asset flows; or</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firms with which we have strategic alliances may terminate such relationships with us, and future strategic alliances may be unavailable.</w:t>
      </w:r>
    </w:p>
    <w:p>
      <w:pPr>
        <w:spacing w:after="0" w:line="237" w:lineRule="exact"/>
        <w:rPr>
          <w:sz w:val="20"/>
          <w:szCs w:val="20"/>
          <w:color w:val="auto"/>
        </w:rPr>
      </w:pPr>
    </w:p>
    <w:p>
      <w:pPr>
        <w:ind w:right="280" w:firstLine="598"/>
        <w:spacing w:after="0" w:line="259" w:lineRule="auto"/>
        <w:rPr>
          <w:sz w:val="20"/>
          <w:szCs w:val="20"/>
          <w:color w:val="auto"/>
        </w:rPr>
      </w:pPr>
      <w:r>
        <w:rPr>
          <w:rFonts w:ascii="Arial" w:cs="Arial" w:eastAsia="Arial" w:hAnsi="Arial"/>
          <w:sz w:val="18"/>
          <w:szCs w:val="18"/>
          <w:color w:val="auto"/>
        </w:rPr>
        <w:t>Over certain time periods, we may have a higher concentration of assets in certain strategies. To the extent that this is the case, underperformance, changes in investment personnel or other changes in these strategies, as well as changes in a variety of macroeconomic and other factors, may result in a withdrawal of assets. If a significant amount of clients withdraw from these strategies for any reason, our revenues would decline and our operating results would be adversely affected.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0" w:name="page21"/>
    <w:bookmarkEnd w:id="20"/>
    <w:p>
      <w:pPr>
        <w:ind w:right="80" w:firstLine="598"/>
        <w:spacing w:after="0" w:line="282" w:lineRule="auto"/>
        <w:rPr>
          <w:sz w:val="20"/>
          <w:szCs w:val="20"/>
          <w:color w:val="auto"/>
        </w:rPr>
      </w:pPr>
      <w:r>
        <w:rPr>
          <w:rFonts w:ascii="Arial" w:cs="Arial" w:eastAsia="Arial" w:hAnsi="Arial"/>
          <w:sz w:val="18"/>
          <w:szCs w:val="18"/>
          <w:b w:val="1"/>
          <w:bCs w:val="1"/>
          <w:color w:val="auto"/>
        </w:rPr>
        <w:t>Because many of our Asset Management clients can remove the assets we manage on short notice, we may experience unexpected declines in revenue and profitability.</w:t>
      </w:r>
    </w:p>
    <w:p>
      <w:pPr>
        <w:spacing w:after="0" w:line="58"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Our investment advisory contracts are generally terminable upon very short notice. Institutional and individual clients, and firms with which we have strategic alliances, can terminate their relationship with us, reduce the aggregate amount of AUM or shift their funds to other types of accounts with different rate structures or to other investment management firms for a number of reasons, including investment performance relative to the market, prior years or other investment management firms, departures from or changes to the teams that manage our investment products, changes in prevailing interest rates and financial market performance, or for no stated reason. In addition, the ability to terminate relationships may allow clients to renegotiate for lower fees paid for asset management services.</w:t>
      </w:r>
    </w:p>
    <w:p>
      <w:pPr>
        <w:spacing w:after="0" w:line="193" w:lineRule="exact"/>
        <w:rPr>
          <w:sz w:val="20"/>
          <w:szCs w:val="20"/>
          <w:color w:val="auto"/>
        </w:rPr>
      </w:pPr>
    </w:p>
    <w:p>
      <w:pPr>
        <w:ind w:right="240" w:firstLine="598"/>
        <w:spacing w:after="0" w:line="297" w:lineRule="auto"/>
        <w:rPr>
          <w:sz w:val="20"/>
          <w:szCs w:val="20"/>
          <w:color w:val="auto"/>
        </w:rPr>
      </w:pPr>
      <w:r>
        <w:rPr>
          <w:rFonts w:ascii="Arial" w:cs="Arial" w:eastAsia="Arial" w:hAnsi="Arial"/>
          <w:sz w:val="16"/>
          <w:szCs w:val="16"/>
          <w:color w:val="auto"/>
        </w:rPr>
        <w:t>In addition, in the U.S., as required by the Investment Company Act, each of our investment advisory contracts with the mutual funds we advise or subadvise automatically terminates upon its “assignment.” Each of our other investment advisory contracts subject to the provisions of the Investment Advisers Act provide, as required by the Investment Advisers Act, that the contract may not be “assigned” without the consent of the customer. A sale of a sufficiently large block of shares of our voting securities or other transactions could be deemed an “assignment” in certain circumstances. An assignment, actual or constructive, would trigger these termination provisions and could adversely affect our ability to continue managing client accounts.</w:t>
      </w:r>
    </w:p>
    <w:p>
      <w:pPr>
        <w:spacing w:after="0" w:line="262" w:lineRule="exact"/>
        <w:rPr>
          <w:sz w:val="20"/>
          <w:szCs w:val="20"/>
          <w:color w:val="auto"/>
        </w:rPr>
      </w:pPr>
    </w:p>
    <w:p>
      <w:pPr>
        <w:ind w:right="240" w:firstLine="598"/>
        <w:spacing w:after="0" w:line="266" w:lineRule="auto"/>
        <w:rPr>
          <w:sz w:val="20"/>
          <w:szCs w:val="20"/>
          <w:color w:val="auto"/>
        </w:rPr>
      </w:pPr>
      <w:r>
        <w:rPr>
          <w:rFonts w:ascii="Arial" w:cs="Arial" w:eastAsia="Arial" w:hAnsi="Arial"/>
          <w:sz w:val="18"/>
          <w:szCs w:val="18"/>
          <w:b w:val="1"/>
          <w:bCs w:val="1"/>
          <w:color w:val="auto"/>
        </w:rPr>
        <w:t>Access to clients through intermediaries and consultants is important to our Asset Management business, and reductions in referrals from such intermediaries or consultants or poor reviews of our products or our organization by such intermediaries or consultants could materially reduce our revenue and impair our ability to attract new clients.</w:t>
      </w:r>
    </w:p>
    <w:p>
      <w:pPr>
        <w:spacing w:after="0" w:line="72"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Our ability to market our Asset Management services relies in part on receiving mandates from the client base of national and regional securities firms, banks, insurance companies, defined contribution plan administrators, investment consultants and other intermediaries. To an increasing extent, our Asset Management business uses referrals from accountants, lawyers, financial planners and other professional advisors. The inability to have this access could materially adversely affect our Asset Management business. In addition, many of these intermediaries and consultants review and evaluate our products and our organization. Poor reviews or evaluations of either the particular product or of us may result in client withdrawals or an inability to attract new assets through such intermediaries or consultants.</w:t>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Our Asset Management business relies on non-affiliated third-party service providers.</w:t>
      </w:r>
    </w:p>
    <w:p>
      <w:pPr>
        <w:spacing w:after="0" w:line="121" w:lineRule="exact"/>
        <w:rPr>
          <w:sz w:val="20"/>
          <w:szCs w:val="20"/>
          <w:color w:val="auto"/>
        </w:rPr>
      </w:pPr>
    </w:p>
    <w:p>
      <w:pPr>
        <w:ind w:right="80" w:firstLine="598"/>
        <w:spacing w:after="0" w:line="276" w:lineRule="auto"/>
        <w:rPr>
          <w:sz w:val="20"/>
          <w:szCs w:val="20"/>
          <w:color w:val="auto"/>
        </w:rPr>
      </w:pPr>
      <w:r>
        <w:rPr>
          <w:rFonts w:ascii="Arial" w:cs="Arial" w:eastAsia="Arial" w:hAnsi="Arial"/>
          <w:sz w:val="17"/>
          <w:szCs w:val="17"/>
          <w:color w:val="auto"/>
        </w:rPr>
        <w:t>Our Asset Management business has entered into service agreements with third-party service providers for client order management and the execution and settlement of client securities transactions. This business faces the risk of operational failure of any of our clearing agents, the exchanges, clearing houses or other intermediaries we use to facilitate our securities transactions. We oversee and manage these relationships. Poor oversight and control or inferior performance or service on the part of the service provider could result in loss of customers and violations of applicable rules and regulations. Any such failure could adversely affect our ability to effect transactions and to manage our exposure to risk.</w:t>
      </w:r>
    </w:p>
    <w:p>
      <w:pPr>
        <w:spacing w:after="0" w:line="27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Our results of operations may be affected by fluctuations in the fair value of positions held in our investment portfolios.</w:t>
      </w:r>
    </w:p>
    <w:p>
      <w:pPr>
        <w:spacing w:after="0" w:line="121"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We invest capital in various types of equity and debt securities in order to seed equity, debt and alternative investment funds, and for general corporate purposes. Such investments are subject to market fluctuations due to changes in the market prices of securities, interest rates or other market factors, such as liquidity. While we may seek to hedge the market risk for some of these investments, an effective hedge may not be available, and if available, may not be fully effective. These investments are adjusted for accounting purposes to fair value at the end of each quarter regardless of our intended holding period, with any related gains or losses reflected in our results of operations, and therefore may increase the volatility of our earnings, even though such gains or losses may not be realized.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1" w:name="page22"/>
    <w:bookmarkEnd w:id="21"/>
    <w:p>
      <w:pPr>
        <w:ind w:right="40" w:firstLine="598"/>
        <w:spacing w:after="0" w:line="282" w:lineRule="auto"/>
        <w:rPr>
          <w:sz w:val="20"/>
          <w:szCs w:val="20"/>
          <w:color w:val="auto"/>
        </w:rPr>
      </w:pPr>
      <w:r>
        <w:rPr>
          <w:rFonts w:ascii="Arial" w:cs="Arial" w:eastAsia="Arial" w:hAnsi="Arial"/>
          <w:sz w:val="18"/>
          <w:szCs w:val="18"/>
          <w:b w:val="1"/>
          <w:bCs w:val="1"/>
          <w:color w:val="auto"/>
        </w:rPr>
        <w:t>Fluctuations in foreign currency exchange rates could reduce our members’ equity and net income or negatively impact the portfolios of our Asset Management clients and may affect the levels of our AUM.</w:t>
      </w:r>
    </w:p>
    <w:p>
      <w:pPr>
        <w:spacing w:after="0" w:line="58" w:lineRule="exact"/>
        <w:rPr>
          <w:sz w:val="20"/>
          <w:szCs w:val="20"/>
          <w:color w:val="auto"/>
        </w:rPr>
      </w:pPr>
    </w:p>
    <w:p>
      <w:pPr>
        <w:ind w:right="20" w:firstLine="598"/>
        <w:spacing w:after="0" w:line="293" w:lineRule="auto"/>
        <w:rPr>
          <w:sz w:val="20"/>
          <w:szCs w:val="20"/>
          <w:color w:val="auto"/>
        </w:rPr>
      </w:pPr>
      <w:r>
        <w:rPr>
          <w:rFonts w:ascii="Arial" w:cs="Arial" w:eastAsia="Arial" w:hAnsi="Arial"/>
          <w:sz w:val="16"/>
          <w:szCs w:val="16"/>
          <w:color w:val="auto"/>
        </w:rPr>
        <w:t>We are exposed to fluctuations in foreign currencies, including through advisory fees paid to our Financial Advisory business and management fees paid to our Asset Management business. Our financial statements are denominated in U.S. Dollars and, for the year ended December 31, 2019, we received a portion of our consolidated net revenue in other currencies, predominantly in Euros, British Pounds and Australian Dollars. In addition, we pay a portion of our expenses in such other currencies. The exchange rates of these currencies versus the U.S. Dollar affect the carrying value of our assets and liabilities as well as our revenues, expenses and net income. We do not generally hedge such foreign currency exchange rate exposure arising in our subsidiaries outside of the U.S. Fluctuations in foreign currency exchange rates may also make period to period comparisons of our results of operations difficult.</w:t>
      </w:r>
    </w:p>
    <w:p>
      <w:pPr>
        <w:spacing w:after="0" w:line="165" w:lineRule="exact"/>
        <w:rPr>
          <w:sz w:val="20"/>
          <w:szCs w:val="20"/>
          <w:color w:val="auto"/>
        </w:rPr>
      </w:pPr>
    </w:p>
    <w:p>
      <w:pPr>
        <w:ind w:right="140" w:firstLine="598"/>
        <w:spacing w:after="0" w:line="293" w:lineRule="auto"/>
        <w:rPr>
          <w:sz w:val="20"/>
          <w:szCs w:val="20"/>
          <w:color w:val="auto"/>
        </w:rPr>
      </w:pPr>
      <w:r>
        <w:rPr>
          <w:rFonts w:ascii="Arial" w:cs="Arial" w:eastAsia="Arial" w:hAnsi="Arial"/>
          <w:sz w:val="16"/>
          <w:szCs w:val="16"/>
          <w:color w:val="auto"/>
        </w:rPr>
        <w:t>Fluctuations in foreign currency exchange rates also can impact the portfolios of our Asset Management clients. Client portfolios are invested in securities across the globe, although most portfolios are funded in a single base currency. Foreign currency exchange rate fluctuations can adversely impact investment performance for a client’s portfolio and also may affect the levels of our AUM. As our AUM include significant assets that are denominated in currencies other than U.S. Dollars, an increase in the value of the U.S. Dollar relative to non-U.S. currencies, with all other factors held constant, generally would result in a decrease in the dollar value of our AUM, which, in turn, would result in lower U.S. Dollar-denominated revenue in our Asset Management business. As of December 31, 2019, AUM with foreign currency exposure represented approximately 67% of our total AUM.</w:t>
      </w:r>
    </w:p>
    <w:p>
      <w:pPr>
        <w:spacing w:after="0" w:line="165"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color w:val="auto"/>
        </w:rPr>
        <w:t>See Note 15 of Notes to Consolidated Financial Statements for additional information regarding the impact on members’ equity from currency translation adjustments and Note 2 of Notes to Consolidated Financial Statements for additional information regarding the impact on operating results from currency transaction adjustments.</w:t>
      </w:r>
    </w:p>
    <w:p>
      <w:pPr>
        <w:spacing w:after="0" w:line="285" w:lineRule="exact"/>
        <w:rPr>
          <w:sz w:val="20"/>
          <w:szCs w:val="20"/>
          <w:color w:val="auto"/>
        </w:rPr>
      </w:pPr>
    </w:p>
    <w:p>
      <w:pPr>
        <w:ind w:right="120" w:firstLine="598"/>
        <w:spacing w:after="0" w:line="313" w:lineRule="auto"/>
        <w:rPr>
          <w:sz w:val="20"/>
          <w:szCs w:val="20"/>
          <w:color w:val="auto"/>
        </w:rPr>
      </w:pPr>
      <w:r>
        <w:rPr>
          <w:rFonts w:ascii="Arial" w:cs="Arial" w:eastAsia="Arial" w:hAnsi="Arial"/>
          <w:sz w:val="17"/>
          <w:szCs w:val="17"/>
          <w:b w:val="1"/>
          <w:bCs w:val="1"/>
          <w:color w:val="auto"/>
        </w:rPr>
        <w:t>We have investments, primarily through our private equity businesses, in relatively high-risk, illiquid assets, and we may lose some or all of the principal amount of these investments or fail to realize any profits from these investments for a considerable period of time.</w:t>
      </w:r>
    </w:p>
    <w:p>
      <w:pPr>
        <w:spacing w:after="0" w:line="34" w:lineRule="exact"/>
        <w:rPr>
          <w:sz w:val="20"/>
          <w:szCs w:val="20"/>
          <w:color w:val="auto"/>
        </w:rPr>
      </w:pPr>
    </w:p>
    <w:p>
      <w:pPr>
        <w:ind w:firstLine="598"/>
        <w:spacing w:after="0" w:line="288" w:lineRule="auto"/>
        <w:rPr>
          <w:sz w:val="20"/>
          <w:szCs w:val="20"/>
          <w:color w:val="auto"/>
        </w:rPr>
      </w:pPr>
      <w:r>
        <w:rPr>
          <w:rFonts w:ascii="Arial" w:cs="Arial" w:eastAsia="Arial" w:hAnsi="Arial"/>
          <w:sz w:val="16"/>
          <w:szCs w:val="16"/>
          <w:color w:val="auto"/>
        </w:rPr>
        <w:t>We have made, and in the future may make, principal investments in public or private companies or in alternative investments (including private equity funds) established by us, and we continue to hold principal investments directly or through funds managed by certain affiliates of Lazard, including Edgewater, as well as third parties. Making principal investments is risky, and we may lose some or all of the principal amount of our investments. Certain of these types of investments may be in relatively high-risk, illiquid assets. Because it may take several years before attractive alternative investment opportunities are identified, some or all of the capital committed by us to these funds is likely to be invested in government securities, other short-term, highly rated debt securities and money market funds that traditionally have offered investors relatively lower returns. In addition, these investments may be adjusted for accounting purposes to fair value at the end of each quarter, and any related gains or losses would affect our results of operations and could increase the volatility of our earnings, even though such fair value fluctuations may have no cash impact. It takes a substantial period of time to identify attractive alternative investment opportunities, to raise all the funds needed to make an investment and then to realize the cash value of an investment through resale. Even if an alternative investment proves to be profitable, it may be several years or longer before any profits can be realized in cash or other proceeds.</w:t>
      </w:r>
    </w:p>
    <w:p>
      <w:pPr>
        <w:spacing w:after="0" w:line="169" w:lineRule="exact"/>
        <w:rPr>
          <w:sz w:val="20"/>
          <w:szCs w:val="20"/>
          <w:color w:val="auto"/>
        </w:rPr>
      </w:pPr>
    </w:p>
    <w:p>
      <w:pPr>
        <w:ind w:right="60" w:firstLine="598"/>
        <w:spacing w:after="0" w:line="302" w:lineRule="auto"/>
        <w:rPr>
          <w:sz w:val="20"/>
          <w:szCs w:val="20"/>
          <w:color w:val="auto"/>
        </w:rPr>
      </w:pPr>
      <w:r>
        <w:rPr>
          <w:rFonts w:ascii="Arial" w:cs="Arial" w:eastAsia="Arial" w:hAnsi="Arial"/>
          <w:sz w:val="16"/>
          <w:szCs w:val="16"/>
          <w:color w:val="auto"/>
        </w:rPr>
        <w:t>Our revenue from our private equity business is derived in part from management fees, which are calculated as a percentage of committed capital or invested capital depending on the stage of each respective fund. Transaction and advisory fees are also earned. Incentive fees are earned if investments are profitable over a specified threshold. Our ability to form new alternative investment funds is subject to a number of uncertainties, including past performance of our funds, market or economic conditions, competition from other fund managers and the ability to negotiate terms with major investors.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22" w:name="page23"/>
    <w:bookmarkEnd w:id="22"/>
    <w:p>
      <w:pPr>
        <w:ind w:right="60" w:firstLine="598"/>
        <w:spacing w:after="0" w:line="282" w:lineRule="auto"/>
        <w:rPr>
          <w:sz w:val="20"/>
          <w:szCs w:val="20"/>
          <w:color w:val="auto"/>
        </w:rPr>
      </w:pPr>
      <w:r>
        <w:rPr>
          <w:rFonts w:ascii="Arial" w:cs="Arial" w:eastAsia="Arial" w:hAnsi="Arial"/>
          <w:sz w:val="18"/>
          <w:szCs w:val="18"/>
          <w:b w:val="1"/>
          <w:bCs w:val="1"/>
          <w:color w:val="auto"/>
        </w:rPr>
        <w:t>Extensive regulation of our businesses limits our activities and results in ongoing exposure to the potential for significant penalties, including fines or limitations on our ability to conduct our businesses.</w:t>
      </w:r>
    </w:p>
    <w:p>
      <w:pPr>
        <w:spacing w:after="0" w:line="58" w:lineRule="exact"/>
        <w:rPr>
          <w:sz w:val="20"/>
          <w:szCs w:val="20"/>
          <w:color w:val="auto"/>
        </w:rPr>
      </w:pPr>
    </w:p>
    <w:p>
      <w:pPr>
        <w:ind w:right="140" w:firstLine="598"/>
        <w:spacing w:after="0" w:line="255" w:lineRule="auto"/>
        <w:rPr>
          <w:sz w:val="20"/>
          <w:szCs w:val="20"/>
          <w:color w:val="auto"/>
        </w:rPr>
      </w:pPr>
      <w:r>
        <w:rPr>
          <w:rFonts w:ascii="Arial" w:cs="Arial" w:eastAsia="Arial" w:hAnsi="Arial"/>
          <w:sz w:val="18"/>
          <w:szCs w:val="18"/>
          <w:color w:val="auto"/>
        </w:rPr>
        <w:t>The financial services industry is subject to extensive regulation. We are subject to regulation by governmental and self-regulatory organizations in the jurisdictions in which we operate around the world. Many of these regulators, including U.S. and non-U.S. government agencies and self-regulatory organizations, as well as state securities commissions in the U.S., are empowered to conduct administrative proceedings that can result in censure, fine, the issuance of cease-and-desist orders or the suspension or expulsion of a regulated entity from registration or membership. The requirements imposed by our regulators are generally designed to ensure the integrity of the financial markets and to protect customers and other third parties who deal with us, and not to protect our stockholders. Consequently, these regulations often serve to limit our activities, including through net capital, customer protection and market conduct requirements.</w:t>
      </w:r>
    </w:p>
    <w:p>
      <w:pPr>
        <w:spacing w:after="0" w:line="189" w:lineRule="exact"/>
        <w:rPr>
          <w:sz w:val="20"/>
          <w:szCs w:val="20"/>
          <w:color w:val="auto"/>
        </w:rPr>
      </w:pPr>
    </w:p>
    <w:p>
      <w:pPr>
        <w:ind w:firstLine="598"/>
        <w:spacing w:after="0" w:line="254" w:lineRule="auto"/>
        <w:rPr>
          <w:sz w:val="20"/>
          <w:szCs w:val="20"/>
          <w:color w:val="auto"/>
        </w:rPr>
      </w:pPr>
      <w:r>
        <w:rPr>
          <w:rFonts w:ascii="Arial" w:cs="Arial" w:eastAsia="Arial" w:hAnsi="Arial"/>
          <w:sz w:val="18"/>
          <w:szCs w:val="18"/>
          <w:color w:val="auto"/>
        </w:rPr>
        <w:t>We face the risk of significant intervention by regulatory authorities, including extended investigation and surveillance activity, adoption of costly or restrictive new regulations and judicial or administrative proceedings that may result in substantial penalties. Among other things, we could be fined or be prohibited from engaging in some of our business activities. In addition, the regulatory environment in which we operate is subject to modification and further regulation. Such changes may increase the expenses that we incur without necessarily leading to commensurate increases in revenue and income. Certain laws and regulations within the U.S. and externally include extraterritorial application that may lead to overlapping or conflicting legal and regulatory burdens with additional risks and implementation expenses. New laws or regulations or changes in the enforcement of existing laws or regulations applicable to us and our clients also may adversely affect our business, and our ability to function in this environment will depend on our ability to continually monitor and react to these changes.</w:t>
      </w:r>
    </w:p>
    <w:p>
      <w:pPr>
        <w:spacing w:after="0" w:line="192" w:lineRule="exact"/>
        <w:rPr>
          <w:sz w:val="20"/>
          <w:szCs w:val="20"/>
          <w:color w:val="auto"/>
        </w:rPr>
      </w:pPr>
    </w:p>
    <w:p>
      <w:pPr>
        <w:ind w:right="20" w:firstLine="598"/>
        <w:spacing w:after="0" w:line="273" w:lineRule="auto"/>
        <w:rPr>
          <w:sz w:val="20"/>
          <w:szCs w:val="20"/>
          <w:color w:val="auto"/>
        </w:rPr>
      </w:pPr>
      <w:r>
        <w:rPr>
          <w:rFonts w:ascii="Arial" w:cs="Arial" w:eastAsia="Arial" w:hAnsi="Arial"/>
          <w:sz w:val="17"/>
          <w:szCs w:val="17"/>
          <w:color w:val="auto"/>
        </w:rPr>
        <w:t>The U.S. and other governments and institutions have taken actions, and may in the future take further actions, in response to disruption and volatility in the global financial markets. Such further actions could include expanding current or enacting new standards, requirements and rules that may be applicable to us and our subsidiaries. The effect of any such expanded or new standards, requirements and rules is uncertain and could have adverse consequences to our business, financial condition and results of operations. While we continue to examine the requirements of new regulations that may become applicable to us in the U.S. and in the European Union (see “Business—Regulation”), and previously announced actual or potential regulations that may be modified, we are not able to predict the ultimate effect on us.</w:t>
      </w:r>
    </w:p>
    <w:p>
      <w:pPr>
        <w:spacing w:after="0" w:line="178" w:lineRule="exact"/>
        <w:rPr>
          <w:sz w:val="20"/>
          <w:szCs w:val="20"/>
          <w:color w:val="auto"/>
        </w:rPr>
      </w:pPr>
    </w:p>
    <w:p>
      <w:pPr>
        <w:ind w:right="120" w:firstLine="598"/>
        <w:spacing w:after="0" w:line="302" w:lineRule="auto"/>
        <w:rPr>
          <w:sz w:val="20"/>
          <w:szCs w:val="20"/>
          <w:color w:val="auto"/>
        </w:rPr>
      </w:pPr>
      <w:r>
        <w:rPr>
          <w:rFonts w:ascii="Arial" w:cs="Arial" w:eastAsia="Arial" w:hAnsi="Arial"/>
          <w:sz w:val="16"/>
          <w:szCs w:val="16"/>
          <w:color w:val="auto"/>
        </w:rPr>
        <w:t>The regulatory environment in which our clients operate may also impact our business. For example, changes in antitrust laws or the enforcement of antitrust laws could affect the level of M&amp;A activity, and changes in state laws may limit investment activities of state pension plans. In addition, many tax laws and regulations have been modified, or are otherwise under review, in the U.S. and in many other jurisdictions in which we and our clients operate. Actual and proposed changes to these laws and regulations may affect the level of M&amp;A activity, including cross-border M&amp;A activity.</w:t>
      </w:r>
    </w:p>
    <w:p>
      <w:pPr>
        <w:spacing w:after="0" w:line="154"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For asset management businesses in general, there have been a number of highly publicized cases involving fraud or other misconduct by employees of asset management firms, as well as industry-wide regulatory inquiries. These cases and inquiries have resulted in increased scrutiny in the industry and may result in new rules and regulations for mutual funds, hedge funds, private equity funds and their investment managers. This regulatory scrutiny and these rulemaking initiatives may result in an increase in operational and compliance costs or the risk of assessment of significant fines or penalties against our Asset Management business, and may otherwise limit our ability to engage in certain activities.</w:t>
      </w:r>
    </w:p>
    <w:p>
      <w:pPr>
        <w:spacing w:after="0" w:line="173" w:lineRule="exact"/>
        <w:rPr>
          <w:sz w:val="20"/>
          <w:szCs w:val="20"/>
          <w:color w:val="auto"/>
        </w:rPr>
      </w:pPr>
    </w:p>
    <w:p>
      <w:pPr>
        <w:ind w:right="60" w:firstLine="598"/>
        <w:spacing w:after="0" w:line="293" w:lineRule="auto"/>
        <w:rPr>
          <w:sz w:val="20"/>
          <w:szCs w:val="20"/>
          <w:color w:val="auto"/>
        </w:rPr>
      </w:pPr>
      <w:r>
        <w:rPr>
          <w:rFonts w:ascii="Arial" w:cs="Arial" w:eastAsia="Arial" w:hAnsi="Arial"/>
          <w:sz w:val="16"/>
          <w:szCs w:val="16"/>
          <w:color w:val="auto"/>
        </w:rPr>
        <w:t>Specific regulatory changes also may have a direct impact on the revenue of our Asset Management business. In addition to regulatory scrutiny and potential fines and sanctions, regulators continue to examine different aspects of the asset management industry. For example, the use of “soft dollars,” where a portion of commissions paid to broker-dealers in connection with the execution of client trades also pays for research and other eligible services that are used by investment advisors, is being reexamined by different regulatory bodies and industry participants. Although a substantial portion of the research relied on by our Asset Management business in its investment decision-making processes is generated internally by our investment personnel, external research, including external research and other eligible services traditionally paid for with soft dollars, is also important to the process. This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3" w:name="page24"/>
    <w:bookmarkEnd w:id="23"/>
    <w:p>
      <w:pPr>
        <w:spacing w:after="0" w:line="254" w:lineRule="auto"/>
        <w:rPr>
          <w:sz w:val="20"/>
          <w:szCs w:val="20"/>
          <w:color w:val="auto"/>
        </w:rPr>
      </w:pPr>
      <w:r>
        <w:rPr>
          <w:rFonts w:ascii="Arial" w:cs="Arial" w:eastAsia="Arial" w:hAnsi="Arial"/>
          <w:sz w:val="18"/>
          <w:szCs w:val="18"/>
          <w:color w:val="auto"/>
        </w:rPr>
        <w:t>external research includes materials provided by broker-dealers and research firms, as well as eligible data and analytics services from various sources. In connection with the implementation of the EU Markets in Financial Instruments Directive II (“MiFID II”) in 2018, our Asset Management affiliates in France, Germany and the U.K. decided to pay for broker research services from their own resources. The ultimate impact of MiFID II and potential similar, future regulatory changes on our Asset Management business and on the financial industry as a whole remains uncertain, although it has reduced our ability to utilize commissions to pay for research services and other soft dollar services in certain European jurisdictions. Similar pressures may come from changes in the asset management industry itself, which may further increase our costs related to external research services. For the year ended December 31, 2019, our Asset Management business obtained research and other eligible services through third-party soft dollar arrangements, the total value of which we estimate to be approximately $25 million.</w:t>
      </w:r>
    </w:p>
    <w:p>
      <w:pPr>
        <w:spacing w:after="0" w:line="192" w:lineRule="exact"/>
        <w:rPr>
          <w:sz w:val="20"/>
          <w:szCs w:val="20"/>
          <w:color w:val="auto"/>
        </w:rPr>
      </w:pPr>
    </w:p>
    <w:p>
      <w:pPr>
        <w:ind w:right="40" w:firstLine="598"/>
        <w:spacing w:after="0" w:line="270" w:lineRule="auto"/>
        <w:rPr>
          <w:sz w:val="20"/>
          <w:szCs w:val="20"/>
          <w:color w:val="auto"/>
        </w:rPr>
      </w:pPr>
      <w:r>
        <w:rPr>
          <w:rFonts w:ascii="Arial" w:cs="Arial" w:eastAsia="Arial" w:hAnsi="Arial"/>
          <w:sz w:val="17"/>
          <w:szCs w:val="17"/>
          <w:color w:val="auto"/>
        </w:rPr>
        <w:t>In addition, new regulations affecting the asset management business, including those regarding the management of U.S. mutual funds, hedge funds, UCITs funds and the use of certain investment products may impact our Asset Management business and result in increased costs. For example, the European Union has adopted updated directives on the coordination of laws, regulations and administrative provisions relating to undertakings for collective investment in transferable securities (“UCITS V”) with respect to various subjects. Among other things, UCITS V establishes remunerations policies which impact the structure of compensation for certain portfolio managers and other personnel within the Company. UCITS V also establishes certain regulations governing oversight and independence of depository functions. While these rules have already been implemented, they could further impact our personnel or result in changes to our operations, resulting in increased costs to the business. In addition, many regulators around the world, including those in the U.S., continue to adopt disclosure requirements impacting the asset management business, as well as changes to the laws, rules and regulations relating to recordkeeping and reporting obligations.</w:t>
      </w:r>
    </w:p>
    <w:p>
      <w:pPr>
        <w:spacing w:after="0" w:line="182" w:lineRule="exact"/>
        <w:rPr>
          <w:sz w:val="20"/>
          <w:szCs w:val="20"/>
          <w:color w:val="auto"/>
        </w:rPr>
      </w:pPr>
    </w:p>
    <w:p>
      <w:pPr>
        <w:ind w:right="180" w:firstLine="598"/>
        <w:spacing w:after="0" w:line="308" w:lineRule="auto"/>
        <w:rPr>
          <w:sz w:val="20"/>
          <w:szCs w:val="20"/>
          <w:color w:val="auto"/>
        </w:rPr>
      </w:pPr>
      <w:r>
        <w:rPr>
          <w:rFonts w:ascii="Arial" w:cs="Arial" w:eastAsia="Arial" w:hAnsi="Arial"/>
          <w:sz w:val="17"/>
          <w:szCs w:val="17"/>
          <w:color w:val="auto"/>
        </w:rPr>
        <w:t>Legislators and regulators around the world continue to explore changes to, and additional oversight of, the financial industry generally. The impact of the potential changes on us are uncertain and may result in an increase in costs or a reduction of revenue associated with our businesses.</w:t>
      </w:r>
    </w:p>
    <w:p>
      <w:pPr>
        <w:spacing w:after="0" w:line="14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See “Business—Regulation” above for a further discussion of the regulatory environment in which we conduct our businesses.</w:t>
      </w:r>
    </w:p>
    <w:p>
      <w:pPr>
        <w:spacing w:after="0" w:line="329" w:lineRule="exact"/>
        <w:rPr>
          <w:sz w:val="20"/>
          <w:szCs w:val="20"/>
          <w:color w:val="auto"/>
        </w:rPr>
      </w:pPr>
    </w:p>
    <w:p>
      <w:pPr>
        <w:ind w:right="140" w:firstLine="598"/>
        <w:spacing w:after="0" w:line="282" w:lineRule="auto"/>
        <w:rPr>
          <w:sz w:val="20"/>
          <w:szCs w:val="20"/>
          <w:color w:val="auto"/>
        </w:rPr>
      </w:pPr>
      <w:r>
        <w:rPr>
          <w:rFonts w:ascii="Arial" w:cs="Arial" w:eastAsia="Arial" w:hAnsi="Arial"/>
          <w:sz w:val="18"/>
          <w:szCs w:val="18"/>
          <w:b w:val="1"/>
          <w:bCs w:val="1"/>
          <w:color w:val="auto"/>
        </w:rPr>
        <w:t>The financial services industry faces substantial litigation and regulatory risks, and we may face damage to our professional reputation and legal liability if our services are not regarded as satisfactory or if conflicts of interest should arise.</w:t>
      </w:r>
    </w:p>
    <w:p>
      <w:pPr>
        <w:spacing w:after="0" w:line="58"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color w:val="auto"/>
        </w:rPr>
        <w:t>As a financial services firm, we depend to a large extent on our relationships with our clients and our reputation for integrity and high-caliber professional services to attract and retain clients. As a result, if a client is not satisfied with our services, such dissatisfaction may be more damaging to our business than to other types of businesses. Moreover, our role as advisor to our clients on important transactions involves complex analysis and the exercise of professional judgment, including, if appropriate, rendering fairness opinions in connection with mergers and other transactions. Our role as advisor to our sovereign and government clients in particular may occasionally result in increased publicity of our involvement with, and our advice to, such clients.</w:t>
      </w:r>
    </w:p>
    <w:p>
      <w:pPr>
        <w:spacing w:after="0" w:line="158" w:lineRule="exact"/>
        <w:rPr>
          <w:sz w:val="20"/>
          <w:szCs w:val="20"/>
          <w:color w:val="auto"/>
        </w:rPr>
      </w:pPr>
    </w:p>
    <w:p>
      <w:pPr>
        <w:ind w:firstLine="598"/>
        <w:spacing w:after="0" w:line="291" w:lineRule="auto"/>
        <w:rPr>
          <w:sz w:val="20"/>
          <w:szCs w:val="20"/>
          <w:color w:val="auto"/>
        </w:rPr>
      </w:pPr>
      <w:r>
        <w:rPr>
          <w:rFonts w:ascii="Arial" w:cs="Arial" w:eastAsia="Arial" w:hAnsi="Arial"/>
          <w:sz w:val="16"/>
          <w:szCs w:val="16"/>
          <w:color w:val="auto"/>
        </w:rPr>
        <w:t>In recent years, the volume of claims and amount of damages claimed in litigation and regulatory proceedings against financial advisors has increased. The activities of our Financial Advisory business may subject us to the risk of significant legal actions by our clients and third parties, including our clients’ stockholders, under securities or other laws. Such legal actions may include allegations relating to aiding and abetting breaches of fiduciary duties and to materially false or misleading statements or misrepresentations made in connection with securities and other transactions, including private placements. We may also be exposed to potential liability for the fairness opinions and other advice provided to participants in corporate transactions. In our Asset Management business, we make investment decisions on behalf of our clients which could result in substantial losses. Many of our business activities may subject us to the risk of legal actions alleging negligence, misconduct, breach of fiduciary duty or breach of contract.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 w:name="page25"/>
    <w:bookmarkEnd w:id="24"/>
    <w:p>
      <w:pPr>
        <w:ind w:right="20" w:firstLine="598"/>
        <w:spacing w:after="0" w:line="290" w:lineRule="auto"/>
        <w:rPr>
          <w:sz w:val="20"/>
          <w:szCs w:val="20"/>
          <w:color w:val="auto"/>
        </w:rPr>
      </w:pPr>
      <w:r>
        <w:rPr>
          <w:rFonts w:ascii="Arial" w:cs="Arial" w:eastAsia="Arial" w:hAnsi="Arial"/>
          <w:sz w:val="16"/>
          <w:szCs w:val="16"/>
          <w:color w:val="auto"/>
        </w:rPr>
        <w:t>We increasingly confront actual and potential conflicts of interest relating to our Financial Advisory business, as well as to the fact that we have both a Financial Advisory business and an Asset Management business. It is possible that actual, potential or perceived conflicts of interest could give rise to client dissatisfaction, litigation or regulatory enforcement actions, which could have the effect of limiting our business opportunities. Appropriately identifying and managing actual or perceived conflicts of interest is complex and difficult, and our reputation could be damaged if we fail, or appear to fail, to deal appropriately with one or more potential or actual conflicts of interest. We have adopted various policies, controls and procedures to address or limit actual or perceived conflicts of interest. However, these policies, controls and procedures may not be adhered to by our employees or be effective in reducing the applicable risks. Any failure of, or failure to adhere to, these policies, controls and procedures may result in regulatory sanctions or client litigation. We may also face competition from time to time from other financial services firms that do not operate under similar policies, controls and procedures.</w:t>
      </w:r>
    </w:p>
    <w:p>
      <w:pPr>
        <w:spacing w:after="0" w:line="166" w:lineRule="exact"/>
        <w:rPr>
          <w:sz w:val="20"/>
          <w:szCs w:val="20"/>
          <w:color w:val="auto"/>
        </w:rPr>
      </w:pPr>
    </w:p>
    <w:p>
      <w:pPr>
        <w:ind w:firstLine="598"/>
        <w:spacing w:after="0" w:line="279" w:lineRule="auto"/>
        <w:rPr>
          <w:sz w:val="20"/>
          <w:szCs w:val="20"/>
          <w:color w:val="auto"/>
        </w:rPr>
      </w:pPr>
      <w:r>
        <w:rPr>
          <w:rFonts w:ascii="Arial" w:cs="Arial" w:eastAsia="Arial" w:hAnsi="Arial"/>
          <w:sz w:val="17"/>
          <w:szCs w:val="17"/>
          <w:color w:val="auto"/>
        </w:rPr>
        <w:t>Our Financial Advisory engagements typically include broad indemnities from our clients and provisions designed to limit our exposure to legal claims relating to our services, but these provisions may not protect us or may not be available or adhered to in all cases. We also are subject to claims arising from disputes with employees for alleged wrongful termination, discrimination or harassment, among other things. These risks often may be difficult to assess or quantify, and their existence and magnitude often remain unknown for substantial periods of time.</w:t>
      </w:r>
    </w:p>
    <w:p>
      <w:pPr>
        <w:spacing w:after="0" w:line="171"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We may incur significant legal expenses in defending ourselves against litigation or regulatory action. Substantial legal liability or significant regulatory action against us could materially adversely affect our business, financial condition or results of operations and cause significant reputational harm to us, which could seriously harm our business.</w:t>
      </w:r>
    </w:p>
    <w:p>
      <w:pPr>
        <w:spacing w:after="0" w:line="285" w:lineRule="exact"/>
        <w:rPr>
          <w:sz w:val="20"/>
          <w:szCs w:val="20"/>
          <w:color w:val="auto"/>
        </w:rPr>
      </w:pPr>
    </w:p>
    <w:p>
      <w:pPr>
        <w:ind w:right="740" w:firstLine="598"/>
        <w:spacing w:after="0" w:line="282" w:lineRule="auto"/>
        <w:rPr>
          <w:sz w:val="20"/>
          <w:szCs w:val="20"/>
          <w:color w:val="auto"/>
        </w:rPr>
      </w:pPr>
      <w:r>
        <w:rPr>
          <w:rFonts w:ascii="Arial" w:cs="Arial" w:eastAsia="Arial" w:hAnsi="Arial"/>
          <w:sz w:val="18"/>
          <w:szCs w:val="18"/>
          <w:b w:val="1"/>
          <w:bCs w:val="1"/>
          <w:color w:val="auto"/>
        </w:rPr>
        <w:t>Employee misconduct, which is difficult to detect and deter, could harm us by impairing our ability to attract and retain clients and subjecting us to significant legal liability and reputational harm.</w:t>
      </w:r>
    </w:p>
    <w:p>
      <w:pPr>
        <w:spacing w:after="0" w:line="58" w:lineRule="exact"/>
        <w:rPr>
          <w:sz w:val="20"/>
          <w:szCs w:val="20"/>
          <w:color w:val="auto"/>
        </w:rPr>
      </w:pPr>
    </w:p>
    <w:p>
      <w:pPr>
        <w:ind w:right="40" w:firstLine="598"/>
        <w:spacing w:after="0" w:line="270" w:lineRule="auto"/>
        <w:rPr>
          <w:sz w:val="20"/>
          <w:szCs w:val="20"/>
          <w:color w:val="auto"/>
        </w:rPr>
      </w:pPr>
      <w:r>
        <w:rPr>
          <w:rFonts w:ascii="Arial" w:cs="Arial" w:eastAsia="Arial" w:hAnsi="Arial"/>
          <w:sz w:val="17"/>
          <w:szCs w:val="17"/>
          <w:color w:val="auto"/>
        </w:rPr>
        <w:t>There have been a number of highly publicized cases involving fraud or other misconduct by employees in the financial services industry generally, and we run the risk that employee misconduct could occur in our business as well. For example, misconduct by employees could involve the improper use or disclosure of confidential information, which could result in legal action, regulatory sanctions and reputational or financial harm. Our Financial Advisory business often requires that we deal with confidences of great significance to our clients or their counterparties, improper use of which may harm our clients or our relationships with our clients. Any breach of confidences as a result of employee misconduct may adversely affect our reputation, impair our ability to attract and retain Financial Advisory clients and subject us to liability. Similarly, in our Asset Management business, we have authority over client assets, and we may, from time to time, have custody of such assets. In addition, we often have discretion to trade client assets on the client’s behalf and must do so acting in the best interests of the client. As a result, we are subject to a number of obligations and standards, and the violation of those obligations or standards may adversely affect our clients and us. It is difficult to detect and deter employee misconduct, and the precautions we take to detect and prevent this activity may not be effective in all cases.</w:t>
      </w:r>
    </w:p>
    <w:p>
      <w:pPr>
        <w:spacing w:after="0" w:line="178"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In recent years, the U.S. Department of Justice and the SEC have also devoted greater resources to the enforcement of the Foreign Corrupt Practices Act. In addition, the United Kingdom, France and other jurisdictions have expanded the reach of their anti-bribery laws. While we have developed and implemented policies and procedures designed to ensure compliance with anti-bribery and other laws, such policies and procedures may not be effective in all instances to prevent violations. Any determination that we have violated these laws could subject us to, among other things, civil and criminal penalties, material fines, profit disgorgement, injunction against future conduct, securities litigation and reputational damage, any one of which could adversely affect our business, financial condition and results of operations.</w:t>
      </w:r>
    </w:p>
    <w:p>
      <w:pPr>
        <w:spacing w:after="0" w:line="297" w:lineRule="exact"/>
        <w:rPr>
          <w:sz w:val="20"/>
          <w:szCs w:val="20"/>
          <w:color w:val="auto"/>
        </w:rPr>
      </w:pPr>
    </w:p>
    <w:p>
      <w:pPr>
        <w:ind w:right="80" w:firstLine="598"/>
        <w:spacing w:after="0" w:line="347" w:lineRule="auto"/>
        <w:rPr>
          <w:sz w:val="20"/>
          <w:szCs w:val="20"/>
          <w:color w:val="auto"/>
        </w:rPr>
      </w:pPr>
      <w:r>
        <w:rPr>
          <w:rFonts w:ascii="Arial" w:cs="Arial" w:eastAsia="Arial" w:hAnsi="Arial"/>
          <w:sz w:val="16"/>
          <w:szCs w:val="16"/>
          <w:b w:val="1"/>
          <w:bCs w:val="1"/>
          <w:color w:val="auto"/>
        </w:rPr>
        <w:t>A failure in or breach of our information systems or infrastructure, or those of third parties with which we do business, including as a result of cyber attacks, could disrupt our businesses, lead to reputational harm and legal liability or otherwise impact our ability to operate our business.</w:t>
      </w:r>
    </w:p>
    <w:p>
      <w:pPr>
        <w:spacing w:after="0" w:line="12" w:lineRule="exact"/>
        <w:rPr>
          <w:sz w:val="20"/>
          <w:szCs w:val="20"/>
          <w:color w:val="auto"/>
        </w:rPr>
      </w:pPr>
    </w:p>
    <w:p>
      <w:pPr>
        <w:ind w:right="620" w:firstLine="598"/>
        <w:spacing w:after="0" w:line="277" w:lineRule="auto"/>
        <w:rPr>
          <w:sz w:val="20"/>
          <w:szCs w:val="20"/>
          <w:color w:val="auto"/>
        </w:rPr>
      </w:pPr>
      <w:r>
        <w:rPr>
          <w:rFonts w:ascii="Arial" w:cs="Arial" w:eastAsia="Arial" w:hAnsi="Arial"/>
          <w:sz w:val="18"/>
          <w:szCs w:val="18"/>
          <w:color w:val="auto"/>
        </w:rPr>
        <w:t>Our operations rely on the secure processing, storage and transmission of confidential and other information involving our computer systems, hardware, software and networks, which we refer to as information systems,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 w:name="page26"/>
    <w:bookmarkEnd w:id="25"/>
    <w:p>
      <w:pPr>
        <w:spacing w:after="0" w:line="268" w:lineRule="auto"/>
        <w:rPr>
          <w:sz w:val="20"/>
          <w:szCs w:val="20"/>
          <w:color w:val="auto"/>
        </w:rPr>
      </w:pPr>
      <w:r>
        <w:rPr>
          <w:rFonts w:ascii="Arial" w:cs="Arial" w:eastAsia="Arial" w:hAnsi="Arial"/>
          <w:sz w:val="17"/>
          <w:szCs w:val="17"/>
          <w:color w:val="auto"/>
        </w:rPr>
        <w:t>involving the information systems of third parties with which we do business. Such information systems, which frequently include “cloud”-based networks and services, may be subject to unauthorized or fraudulent access, computer viruses or other malicious code or other threats, including “phishing” attempts, that are constantly evolving and that could have a security impact on us. There can be no assurance that we will not suffer material losses relating to cyber attacks on, or other security breaches involving, our information systems, or the information systems of third parties with which we do business, despite taking protective measures to prevent such breaches. The increased use of mobile technologies can heighten these and other operational risks. If a successful cyber attack or other security breach were to occur, our confidential or proprietary information, or the confidential or proprietary information of our clients or their counterparties, that is stored in, or transmitted through, such information systems could be compromised or misappropriated. Any such cyber attack or other security breach, or any disruption of or failure in the physical or logical infrastructure or operating systems that support such information systems or our businesses, could significantly impact our ability to operate our businesses and could result in reputational damage, legal liability, the loss of clients or business opportunities and financial losses that are either not insured against or not fully covered through any insurance maintained by us. Additionally, as geopolitical tensions rise, cyber retaliation between nation states can impact the business of those countries which could adversely affect our business. As cyber threats continue to multiply, become more sophisticated and threaten additional aspects of our businesses, we may also be required to expend additional resources on information security and compliance costs in order to continue to modify or enhance our protective measures or to investigate and remediate any information security vulnerabilities or other exposures.</w:t>
      </w:r>
    </w:p>
    <w:p>
      <w:pPr>
        <w:spacing w:after="0" w:line="289"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Other operational risks may disrupt our businesses, result in regulatory action against us or limit our growth.</w:t>
      </w:r>
    </w:p>
    <w:p>
      <w:pPr>
        <w:spacing w:after="0" w:line="121" w:lineRule="exact"/>
        <w:rPr>
          <w:sz w:val="20"/>
          <w:szCs w:val="20"/>
          <w:color w:val="auto"/>
        </w:rPr>
      </w:pPr>
    </w:p>
    <w:p>
      <w:pPr>
        <w:ind w:right="200" w:firstLine="598"/>
        <w:spacing w:after="0" w:line="279" w:lineRule="auto"/>
        <w:rPr>
          <w:sz w:val="20"/>
          <w:szCs w:val="20"/>
          <w:color w:val="auto"/>
        </w:rPr>
      </w:pPr>
      <w:r>
        <w:rPr>
          <w:rFonts w:ascii="Arial" w:cs="Arial" w:eastAsia="Arial" w:hAnsi="Arial"/>
          <w:sz w:val="17"/>
          <w:szCs w:val="17"/>
          <w:color w:val="auto"/>
        </w:rPr>
        <w:t>Our business is highly dependent on communications and information systems, including those of our vendors. Any failure or interruption of these systems, whether caused by fire, other natural disaster, power or telecommunications failure, act of terrorism or war, system modification or upgrade or a delay of any modification or upgrade, or otherwise, could materially adversely affect our business. Although back-up systems are in place, our back-up procedures and capabilities in the event of a failure or interruption may not be adequate.</w:t>
      </w:r>
    </w:p>
    <w:p>
      <w:pPr>
        <w:spacing w:after="0" w:line="171" w:lineRule="exact"/>
        <w:rPr>
          <w:sz w:val="20"/>
          <w:szCs w:val="20"/>
          <w:color w:val="auto"/>
        </w:rPr>
      </w:pPr>
    </w:p>
    <w:p>
      <w:pPr>
        <w:ind w:right="40" w:firstLine="598"/>
        <w:spacing w:after="0" w:line="287" w:lineRule="auto"/>
        <w:rPr>
          <w:sz w:val="20"/>
          <w:szCs w:val="20"/>
          <w:color w:val="auto"/>
        </w:rPr>
      </w:pPr>
      <w:r>
        <w:rPr>
          <w:rFonts w:ascii="Arial" w:cs="Arial" w:eastAsia="Arial" w:hAnsi="Arial"/>
          <w:sz w:val="16"/>
          <w:szCs w:val="16"/>
          <w:color w:val="auto"/>
        </w:rPr>
        <w:t>Particularly in our Asset Management business, we rely heavily on our financial, accounting, trading, compliance and other data processing systems, and those of our third party vendors or service providers who support these functions. We expect that we will need to review whether to continue to upgrade and expand the capabilities of these systems in the future to avoid disruption of, or constraints on, our operations, and any such system upgrades or expansions could result in significant costs to us. We may need to hire additional staff in order to continue to upgrade or expand the capabilities of our systems and failure to attract and retain staff with the proper skillset could disrupt or constrain our operations. Certain investment teams within our Asset Management business employ proprietary systems, including quantitative models, in connection with their investment processes. These systems and models are often designed and, with assistance from technology personnel, maintained by employees who are members of those investment teams. If any of the foregoing systems fail to operate properly or are disabled, including for reasons beyond our control, we could suffer financial loss, a disruption of our businesses, liability to clients, regulatory intervention or reputational damage. The inability of our systems (or those of our vendors or service providers) to accommodate an increasing volume of transactions also could constrain our ability to expand our businesses. In addition, errors resulting from these issues or from human error when conducting a trade or other transaction could expose us to significant risk.</w:t>
      </w:r>
    </w:p>
    <w:p>
      <w:pPr>
        <w:spacing w:after="0" w:line="173" w:lineRule="exact"/>
        <w:rPr>
          <w:sz w:val="20"/>
          <w:szCs w:val="20"/>
          <w:color w:val="auto"/>
        </w:rPr>
      </w:pPr>
    </w:p>
    <w:p>
      <w:pPr>
        <w:ind w:right="120" w:firstLine="598"/>
        <w:spacing w:after="0" w:line="276" w:lineRule="auto"/>
        <w:rPr>
          <w:sz w:val="20"/>
          <w:szCs w:val="20"/>
          <w:color w:val="auto"/>
        </w:rPr>
      </w:pPr>
      <w:r>
        <w:rPr>
          <w:rFonts w:ascii="Arial" w:cs="Arial" w:eastAsia="Arial" w:hAnsi="Arial"/>
          <w:sz w:val="17"/>
          <w:szCs w:val="17"/>
          <w:color w:val="auto"/>
        </w:rPr>
        <w:t>In addition, if we were to experience a local or regional disaster or other business continuity problem, such as a pandemic or other man-made or natural disaster, our continued success will depend, in part, on the availability of our personnel and office facilities and the proper functioning of and remote accessibility to our computer, telecommunications, transaction processing and other information systems and operations, as well as those of third parties on whom we rely. Such events could lead us to experience operational challenges, and our inability to successfully recover could materially disrupt our businesses and cause material financial loss, regulatory actions, reputational harm or legal liability.</w:t>
      </w:r>
    </w:p>
    <w:p>
      <w:pPr>
        <w:spacing w:after="0" w:line="173" w:lineRule="exact"/>
        <w:rPr>
          <w:sz w:val="20"/>
          <w:szCs w:val="20"/>
          <w:color w:val="auto"/>
        </w:rPr>
      </w:pPr>
    </w:p>
    <w:p>
      <w:pPr>
        <w:ind w:right="460" w:firstLine="598"/>
        <w:spacing w:after="0" w:line="277" w:lineRule="auto"/>
        <w:rPr>
          <w:sz w:val="20"/>
          <w:szCs w:val="20"/>
          <w:color w:val="auto"/>
        </w:rPr>
      </w:pPr>
      <w:r>
        <w:rPr>
          <w:rFonts w:ascii="Arial" w:cs="Arial" w:eastAsia="Arial" w:hAnsi="Arial"/>
          <w:sz w:val="18"/>
          <w:szCs w:val="18"/>
          <w:color w:val="auto"/>
        </w:rPr>
        <w:t>For additional information regarding operational risks with respect to our businesses, see “Management’s Discussion and Analysis of Financial Condition and Results of Operations—Operational Risk” below.</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26" w:name="page27"/>
    <w:bookmarkEnd w:id="26"/>
    <w:p>
      <w:pPr>
        <w:ind w:left="600"/>
        <w:spacing w:after="0"/>
        <w:rPr>
          <w:sz w:val="20"/>
          <w:szCs w:val="20"/>
          <w:color w:val="auto"/>
        </w:rPr>
      </w:pPr>
      <w:r>
        <w:rPr>
          <w:rFonts w:ascii="Arial" w:cs="Arial" w:eastAsia="Arial" w:hAnsi="Arial"/>
          <w:sz w:val="16"/>
          <w:szCs w:val="16"/>
          <w:b w:val="1"/>
          <w:bCs w:val="1"/>
          <w:color w:val="auto"/>
        </w:rPr>
        <w:t>The soundness of third parties, including our clients, as well as financial, governmental and other institutions, could adversely affect us.</w:t>
      </w:r>
    </w:p>
    <w:p>
      <w:pPr>
        <w:spacing w:after="0" w:line="144"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We have exposure to many different industries, institutions, products and counterparties, and we routinely execute transactions with counterparties in the financial services industry, including brokers and dealers, commercial banks, investment banks, mutual and hedge funds and other institutions. Many of these transactions expose us to credit risk in the event of default of our counterparty or client. In addition, our credit and settlement risk may be exacerbated when the collateral held by us, if any, cannot be fully realized or is liquidated at prices not sufficient to recover the full amount of the loan or derivative exposure due to us.</w:t>
      </w:r>
    </w:p>
    <w:p>
      <w:pPr>
        <w:spacing w:after="0" w:line="292" w:lineRule="exact"/>
        <w:rPr>
          <w:sz w:val="20"/>
          <w:szCs w:val="20"/>
          <w:color w:val="auto"/>
        </w:rPr>
      </w:pPr>
    </w:p>
    <w:p>
      <w:pPr>
        <w:ind w:right="260" w:firstLine="598"/>
        <w:spacing w:after="0" w:line="282" w:lineRule="auto"/>
        <w:rPr>
          <w:sz w:val="20"/>
          <w:szCs w:val="20"/>
          <w:color w:val="auto"/>
        </w:rPr>
      </w:pPr>
      <w:r>
        <w:rPr>
          <w:rFonts w:ascii="Arial" w:cs="Arial" w:eastAsia="Arial" w:hAnsi="Arial"/>
          <w:sz w:val="18"/>
          <w:szCs w:val="18"/>
          <w:b w:val="1"/>
          <w:bCs w:val="1"/>
          <w:color w:val="auto"/>
        </w:rPr>
        <w:t>Failure to maintain effective internal controls in accordance with Section 404 of the Sarbanes-Oxley Act could materially adversely affect our business.</w:t>
      </w:r>
    </w:p>
    <w:p>
      <w:pPr>
        <w:spacing w:after="0" w:line="58"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We have documented and tested our internal control procedures in order to satisfy the requirements of Section 404 of the Sarbanes-Oxley Act, which requires annual management assessments of the effectiveness of our internal controls over financial reporting and a report by our independent auditors regarding our internal control over financial reporting. We are in compliance with Section 404 of the Sarbanes-Oxley Act as of December 31, 2019. However, if we fail to maintain the adequacy of our internal controls, as such standards are modified, supplemented or amended from time to time, we may not be able to ensure that we can conclude on an ongoing basis that we have effective internal controls over financial reporting in accordance with Section 404 of the Sarbanes-Oxley Act. Failure to maintain an effective internal control environment could materially adversely affect our business.</w:t>
      </w:r>
    </w:p>
    <w:p>
      <w:pPr>
        <w:spacing w:after="0" w:line="269" w:lineRule="exact"/>
        <w:rPr>
          <w:sz w:val="20"/>
          <w:szCs w:val="20"/>
          <w:color w:val="auto"/>
        </w:rPr>
      </w:pPr>
    </w:p>
    <w:p>
      <w:pPr>
        <w:ind w:right="180" w:firstLine="598"/>
        <w:spacing w:after="0" w:line="282" w:lineRule="auto"/>
        <w:rPr>
          <w:sz w:val="20"/>
          <w:szCs w:val="20"/>
          <w:color w:val="auto"/>
        </w:rPr>
      </w:pPr>
      <w:r>
        <w:rPr>
          <w:rFonts w:ascii="Arial" w:cs="Arial" w:eastAsia="Arial" w:hAnsi="Arial"/>
          <w:sz w:val="18"/>
          <w:szCs w:val="18"/>
          <w:b w:val="1"/>
          <w:bCs w:val="1"/>
          <w:color w:val="auto"/>
        </w:rPr>
        <w:t>We may pursue acquisitions, joint ventures, cooperation agreements or other growth or geographic expansion strategies that may result in additional risks and uncertainties in our business and could present unforeseen integration obstacles or costs.</w:t>
      </w:r>
    </w:p>
    <w:p>
      <w:pPr>
        <w:spacing w:after="0" w:line="58" w:lineRule="exact"/>
        <w:rPr>
          <w:sz w:val="20"/>
          <w:szCs w:val="20"/>
          <w:color w:val="auto"/>
        </w:rPr>
      </w:pPr>
    </w:p>
    <w:p>
      <w:pPr>
        <w:jc w:val="both"/>
        <w:ind w:right="240" w:firstLine="598"/>
        <w:spacing w:after="0" w:line="312" w:lineRule="auto"/>
        <w:rPr>
          <w:sz w:val="20"/>
          <w:szCs w:val="20"/>
          <w:color w:val="auto"/>
        </w:rPr>
      </w:pPr>
      <w:r>
        <w:rPr>
          <w:rFonts w:ascii="Arial" w:cs="Arial" w:eastAsia="Arial" w:hAnsi="Arial"/>
          <w:sz w:val="16"/>
          <w:szCs w:val="16"/>
          <w:color w:val="auto"/>
        </w:rPr>
        <w:t>We routinely assess our strategic position and may in the future seek acquisitions or other transactions or growth strategies to further enhance our competitive position. We have in the past pursued joint ventures and other transactions aimed at expanding the geography and scope of our operations. We expect to continue to explore acquisitions, growth strategies and partnership or strategic alliance opportunities that we believe to be attractive.</w:t>
      </w:r>
    </w:p>
    <w:p>
      <w:pPr>
        <w:spacing w:after="0" w:line="147"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Acquisitions, growth strategies and joint ventures involve a number of risks and present financial, managerial and operational challenges. These risks and challenges include potential disruption of our ongoing business and distraction of management, difficulty integrating personnel and financial and other systems, difficulty hiring additional management and other critical personnel, and other challenges arising from the increased scope, geographic diversity and complexity of our operations.</w:t>
      </w:r>
    </w:p>
    <w:p>
      <w:pPr>
        <w:spacing w:after="0" w:line="187" w:lineRule="exact"/>
        <w:rPr>
          <w:sz w:val="20"/>
          <w:szCs w:val="20"/>
          <w:color w:val="auto"/>
        </w:rPr>
      </w:pPr>
    </w:p>
    <w:p>
      <w:pPr>
        <w:ind w:right="40" w:firstLine="598"/>
        <w:spacing w:after="0" w:line="276" w:lineRule="auto"/>
        <w:rPr>
          <w:sz w:val="20"/>
          <w:szCs w:val="20"/>
          <w:color w:val="auto"/>
        </w:rPr>
      </w:pPr>
      <w:r>
        <w:rPr>
          <w:rFonts w:ascii="Arial" w:cs="Arial" w:eastAsia="Arial" w:hAnsi="Arial"/>
          <w:sz w:val="17"/>
          <w:szCs w:val="17"/>
          <w:color w:val="auto"/>
        </w:rPr>
        <w:t>To the extent that we pursue business opportunities outside of the United States and our other principal business locations, including through acquisitions, joint ventures or other geographic expansion of our existing businesses, we may become subject to political, economic, legal, operational, regulatory and other risks that are inherent in operating in a foreign country, including risks of potential price, capital and currency exchange controls, licensing requirements and other regulatory restrictions, as well as the risk of hostile actions against or affecting our business or people. Our ability to remain in compliance with local laws in a particular foreign jurisdiction could adversely affect our businesses and our reputation.</w:t>
      </w:r>
    </w:p>
    <w:p>
      <w:pPr>
        <w:spacing w:after="0" w:line="173" w:lineRule="exact"/>
        <w:rPr>
          <w:sz w:val="20"/>
          <w:szCs w:val="20"/>
          <w:color w:val="auto"/>
        </w:rPr>
      </w:pPr>
    </w:p>
    <w:p>
      <w:pPr>
        <w:ind w:right="160" w:firstLine="598"/>
        <w:spacing w:after="0" w:line="302" w:lineRule="auto"/>
        <w:rPr>
          <w:sz w:val="20"/>
          <w:szCs w:val="20"/>
          <w:color w:val="auto"/>
        </w:rPr>
      </w:pPr>
      <w:r>
        <w:rPr>
          <w:rFonts w:ascii="Arial" w:cs="Arial" w:eastAsia="Arial" w:hAnsi="Arial"/>
          <w:sz w:val="16"/>
          <w:szCs w:val="16"/>
          <w:color w:val="auto"/>
        </w:rPr>
        <w:t>In addition, our clients and other stakeholders may react unfavorably to our acquisition, growth and joint venture strategies, we may not realize any anticipated benefits from such strategies, we may be exposed to additional liabilities of any acquired business or joint venture, we may be exposed to litigation in connection with an acquisition, growth or joint venture transaction, and we may not be able to renew on similar terms (or at all) previously successful joint ventures or similar arrangements, any of which could materially adversely affect our revenue, financial position and results of operations.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27" w:name="page28"/>
    <w:bookmarkEnd w:id="27"/>
    <w:p>
      <w:pPr>
        <w:ind w:right="100" w:firstLine="598"/>
        <w:spacing w:after="0" w:line="282" w:lineRule="auto"/>
        <w:rPr>
          <w:sz w:val="20"/>
          <w:szCs w:val="20"/>
          <w:color w:val="auto"/>
        </w:rPr>
      </w:pPr>
      <w:r>
        <w:rPr>
          <w:rFonts w:ascii="Arial" w:cs="Arial" w:eastAsia="Arial" w:hAnsi="Arial"/>
          <w:sz w:val="18"/>
          <w:szCs w:val="18"/>
          <w:b w:val="1"/>
          <w:bCs w:val="1"/>
          <w:color w:val="auto"/>
        </w:rPr>
        <w:t>An inability to access the debt and equity capital markets as a result of our debt obligations, credit ratings or other factors could impair our liquidity, increase our borrowing costs or otherwise adversely affect our financial position or results of operations.</w:t>
      </w:r>
    </w:p>
    <w:p>
      <w:pPr>
        <w:spacing w:after="0" w:line="58"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As of December 31, 2019, Lazard Group and its subsidiaries had approximately $1.7 billion in debt outstanding, of which $400 million, $300 million, $500 million and $500 million relate to Lazard Group senior notes that mature in 2025, 2027, 2028 and 2029, respectively. This debt has certain mandated payment obligations, which may constrain our ability to operate our business. If we decide to redeem or retire this debt before maturity, we may be required to pay a significant premium to do so, which may adversely impact our earnings and affect our financial position. In addition, in the future we may need to incur debt or issue equity in order to fund our working capital requirements or refinance existing indebtedness, as well as to make acquisitions and other investments. The amount of our debt obligations may impair our ability to raise debt or issue equity for financing purposes. Our access to funds also may be impaired if regulatory authorities take significant action against us or for a variety of other possible reasons. In addition, our borrowing costs and our access to the debt capital markets depend significantly on our credit ratings. These ratings are assigned by rating agencies, which may reduce or withdraw their ratings or place us on “credit watch” with negative implications at any time.</w:t>
      </w:r>
    </w:p>
    <w:p>
      <w:pPr>
        <w:spacing w:after="0" w:line="286" w:lineRule="exact"/>
        <w:rPr>
          <w:sz w:val="20"/>
          <w:szCs w:val="20"/>
          <w:color w:val="auto"/>
        </w:rPr>
      </w:pPr>
    </w:p>
    <w:p>
      <w:pPr>
        <w:ind w:right="160" w:firstLine="598"/>
        <w:spacing w:after="0" w:line="282" w:lineRule="auto"/>
        <w:rPr>
          <w:sz w:val="20"/>
          <w:szCs w:val="20"/>
          <w:color w:val="auto"/>
        </w:rPr>
      </w:pPr>
      <w:r>
        <w:rPr>
          <w:rFonts w:ascii="Arial" w:cs="Arial" w:eastAsia="Arial" w:hAnsi="Arial"/>
          <w:sz w:val="18"/>
          <w:szCs w:val="18"/>
          <w:b w:val="1"/>
          <w:bCs w:val="1"/>
          <w:color w:val="auto"/>
        </w:rPr>
        <w:t>Lazard Group is a holding company and therefore depends on its subsidiaries to make distributions to Lazard Group to enable it to service its obligations under its indebtedness.</w:t>
      </w:r>
    </w:p>
    <w:p>
      <w:pPr>
        <w:spacing w:after="0" w:line="58" w:lineRule="exact"/>
        <w:rPr>
          <w:sz w:val="20"/>
          <w:szCs w:val="20"/>
          <w:color w:val="auto"/>
        </w:rPr>
      </w:pPr>
    </w:p>
    <w:p>
      <w:pPr>
        <w:ind w:right="100" w:firstLine="598"/>
        <w:spacing w:after="0" w:line="253" w:lineRule="auto"/>
        <w:rPr>
          <w:sz w:val="20"/>
          <w:szCs w:val="20"/>
          <w:color w:val="auto"/>
        </w:rPr>
      </w:pPr>
      <w:r>
        <w:rPr>
          <w:rFonts w:ascii="Arial" w:cs="Arial" w:eastAsia="Arial" w:hAnsi="Arial"/>
          <w:sz w:val="18"/>
          <w:szCs w:val="18"/>
          <w:color w:val="auto"/>
        </w:rPr>
        <w:t>Lazard Group depends on its subsidiaries, which conduct the operations of its businesses, for distributions, dividends and other payments to generate the funds necessary to meet its financial obligations, including payments of principal and interest on its indebtedness. However, none of Lazard Group’s subsidiaries is obligated to make funds available to it for servicing such financial obligations, and the group of entities that constitute Lazard Group’s subsidiaries may change over time. The earnings from, or other available assets of, Lazard Group’s subsidiaries may not be sufficient to pay dividends or make distributions or loans to enable Lazard Group to make payments with respect to its financial obligations when such payments are due. In addition, even if such earnings were sufficient, the agreements governing the current and future obligations of Lazard Group’s subsidiaries, regulatory requirements, including regulatory capital requirements, with respect to our broker-dealer and other regulated subsidiaries, foreign exchange controls and a variety of other factors may impede our subsidiaries’ ability to provide Lazard Group with sufficient dividends, distributions or loans to fund its financial obligations, when due.</w:t>
      </w:r>
    </w:p>
    <w:p>
      <w:pPr>
        <w:spacing w:after="0" w:line="301" w:lineRule="exact"/>
        <w:rPr>
          <w:sz w:val="20"/>
          <w:szCs w:val="20"/>
          <w:color w:val="auto"/>
        </w:rPr>
      </w:pPr>
    </w:p>
    <w:p>
      <w:pPr>
        <w:ind w:right="200" w:firstLine="598"/>
        <w:spacing w:after="0" w:line="313" w:lineRule="auto"/>
        <w:rPr>
          <w:sz w:val="20"/>
          <w:szCs w:val="20"/>
          <w:color w:val="auto"/>
        </w:rPr>
      </w:pPr>
      <w:r>
        <w:rPr>
          <w:rFonts w:ascii="Arial" w:cs="Arial" w:eastAsia="Arial" w:hAnsi="Arial"/>
          <w:sz w:val="17"/>
          <w:szCs w:val="17"/>
          <w:b w:val="1"/>
          <w:bCs w:val="1"/>
          <w:color w:val="auto"/>
        </w:rPr>
        <w:t>In the event of a change or adverse interpretation of relevant income tax law, regulation or treaty, or a failure to qualify for treaty benefits, our overall tax rate may be substantially higher than the rate used for purposes of our consolidated financial statements.</w:t>
      </w:r>
    </w:p>
    <w:p>
      <w:pPr>
        <w:spacing w:after="0" w:line="34"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color w:val="auto"/>
        </w:rPr>
        <w:t>Our effective tax rate is based upon the application of currently applicable income tax laws, regulations and treaties, and current judicial and administrative interpretations of those income tax laws, regulations and treaties. Those income tax laws, regulations and treaties, and the administrative and judicial interpretations of them, are subject to change at any time, and any such change may be retroactive.</w:t>
      </w:r>
    </w:p>
    <w:p>
      <w:pPr>
        <w:spacing w:after="0" w:line="181" w:lineRule="exact"/>
        <w:rPr>
          <w:sz w:val="20"/>
          <w:szCs w:val="20"/>
          <w:color w:val="auto"/>
        </w:rPr>
      </w:pPr>
    </w:p>
    <w:p>
      <w:pPr>
        <w:ind w:right="120" w:firstLine="598"/>
        <w:spacing w:after="0" w:line="279" w:lineRule="auto"/>
        <w:rPr>
          <w:sz w:val="20"/>
          <w:szCs w:val="20"/>
          <w:color w:val="auto"/>
        </w:rPr>
      </w:pPr>
      <w:r>
        <w:rPr>
          <w:rFonts w:ascii="Arial" w:cs="Arial" w:eastAsia="Arial" w:hAnsi="Arial"/>
          <w:sz w:val="17"/>
          <w:szCs w:val="17"/>
          <w:color w:val="auto"/>
        </w:rPr>
        <w:t>On December 22, 2017, the Tax Cuts and Jobs Act (the “Tax Act”) was enacted. The Tax Act significantly revised the U.S. corporate income tax system by, among other changes, lowering the corporate income tax rate from 35% to 21%, implementing a partial territorial tax system and imposing a one-time repatriation tax on the deemed repatriated earnings of foreign subsidiaries. The Tax Act also included several provisions that limited the benefit of the tax rate reduction, such as restricting the deductibility of interest expense and other corporate business expenses.</w:t>
      </w:r>
    </w:p>
    <w:p>
      <w:pPr>
        <w:spacing w:after="0" w:line="171" w:lineRule="exact"/>
        <w:rPr>
          <w:sz w:val="20"/>
          <w:szCs w:val="20"/>
          <w:color w:val="auto"/>
        </w:rPr>
      </w:pPr>
    </w:p>
    <w:p>
      <w:pPr>
        <w:ind w:firstLine="598"/>
        <w:spacing w:after="0" w:line="302" w:lineRule="auto"/>
        <w:rPr>
          <w:sz w:val="20"/>
          <w:szCs w:val="20"/>
          <w:color w:val="auto"/>
        </w:rPr>
      </w:pPr>
      <w:r>
        <w:rPr>
          <w:rFonts w:ascii="Arial" w:cs="Arial" w:eastAsia="Arial" w:hAnsi="Arial"/>
          <w:sz w:val="16"/>
          <w:szCs w:val="16"/>
          <w:color w:val="auto"/>
        </w:rPr>
        <w:t>The international tax provisions of the Tax Act are complex and the ultimate impact on us of the international provisions, such as the base erosion and anti-abuse tax (“BEAT”), the tax on global intangible low-taxed income (“GILTI”) and the other provisions of the Tax Act is uncertain. The U.S. Internal Revenue Service (“IRS”) issued final and proposed regulations in 2019 that affect how BEAT, GILTI and certain other international provisions of the Tax Act are interpreted. These regulations are complex and are subject to varying interpretations and change that could adversely affect us.</w:t>
      </w:r>
    </w:p>
    <w:p>
      <w:pPr>
        <w:spacing w:after="0" w:line="154" w:lineRule="exact"/>
        <w:rPr>
          <w:sz w:val="20"/>
          <w:szCs w:val="20"/>
          <w:color w:val="auto"/>
        </w:rPr>
      </w:pPr>
    </w:p>
    <w:p>
      <w:pPr>
        <w:ind w:right="700" w:firstLine="598"/>
        <w:spacing w:after="0" w:line="277" w:lineRule="auto"/>
        <w:rPr>
          <w:sz w:val="20"/>
          <w:szCs w:val="20"/>
          <w:color w:val="auto"/>
        </w:rPr>
      </w:pPr>
      <w:r>
        <w:rPr>
          <w:rFonts w:ascii="Arial" w:cs="Arial" w:eastAsia="Arial" w:hAnsi="Arial"/>
          <w:sz w:val="18"/>
          <w:szCs w:val="18"/>
          <w:color w:val="auto"/>
        </w:rPr>
        <w:t>Multiple levels of government, foreign legislatures and international organizations, such as the Organization for Economic Co-operation and Development (“OECD”) and the European Union, are increasingly focused on tax</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8" w:name="page29"/>
    <w:bookmarkEnd w:id="28"/>
    <w:p>
      <w:pPr>
        <w:ind w:right="600"/>
        <w:spacing w:after="0" w:line="302" w:lineRule="auto"/>
        <w:rPr>
          <w:sz w:val="20"/>
          <w:szCs w:val="20"/>
          <w:color w:val="auto"/>
        </w:rPr>
      </w:pPr>
      <w:r>
        <w:rPr>
          <w:rFonts w:ascii="Arial" w:cs="Arial" w:eastAsia="Arial" w:hAnsi="Arial"/>
          <w:sz w:val="16"/>
          <w:szCs w:val="16"/>
          <w:color w:val="auto"/>
        </w:rPr>
        <w:t>reform and have proposed and implemented tax legislation and regulations that could affect the taxation of multinational companies. For example, the enactment of all or part of the recommendations set forth or that may be introduced in the OECD project on Base Erosion and Profit Shifting by tax authorities in the countries in which we operate could unfavorably impact our overall tax rate. Any implementation of, or changes to, any such laws, regulations and treaties that impact us could materially adversely affect our business, financial condition or results of operations.</w:t>
      </w:r>
    </w:p>
    <w:p>
      <w:pPr>
        <w:spacing w:after="0" w:line="258" w:lineRule="exact"/>
        <w:rPr>
          <w:sz w:val="20"/>
          <w:szCs w:val="20"/>
          <w:color w:val="auto"/>
        </w:rPr>
      </w:pPr>
    </w:p>
    <w:p>
      <w:pPr>
        <w:ind w:right="80" w:firstLine="598"/>
        <w:spacing w:after="0" w:line="282" w:lineRule="auto"/>
        <w:rPr>
          <w:sz w:val="20"/>
          <w:szCs w:val="20"/>
          <w:color w:val="auto"/>
        </w:rPr>
      </w:pPr>
      <w:r>
        <w:rPr>
          <w:rFonts w:ascii="Arial" w:cs="Arial" w:eastAsia="Arial" w:hAnsi="Arial"/>
          <w:sz w:val="18"/>
          <w:szCs w:val="18"/>
          <w:b w:val="1"/>
          <w:bCs w:val="1"/>
          <w:color w:val="auto"/>
        </w:rPr>
        <w:t>Tax authorities may challenge our tax computations and classifications, our transfer pricing methods, and our application of related policies and methods.</w:t>
      </w:r>
    </w:p>
    <w:p>
      <w:pPr>
        <w:spacing w:after="0" w:line="58" w:lineRule="exact"/>
        <w:rPr>
          <w:sz w:val="20"/>
          <w:szCs w:val="20"/>
          <w:color w:val="auto"/>
        </w:rPr>
      </w:pPr>
    </w:p>
    <w:p>
      <w:pPr>
        <w:ind w:right="60" w:firstLine="598"/>
        <w:spacing w:after="0" w:line="276" w:lineRule="auto"/>
        <w:rPr>
          <w:sz w:val="20"/>
          <w:szCs w:val="20"/>
          <w:color w:val="auto"/>
        </w:rPr>
      </w:pPr>
      <w:r>
        <w:rPr>
          <w:rFonts w:ascii="Arial" w:cs="Arial" w:eastAsia="Arial" w:hAnsi="Arial"/>
          <w:sz w:val="17"/>
          <w:szCs w:val="17"/>
          <w:color w:val="auto"/>
        </w:rPr>
        <w:t>Our tax returns are subject to audit by federal, local and foreign tax authorities. These authorities may successfully challenge certain tax positions or deductions taken by our subsidiaries. For example, tax authorities may contest intercompany allocations of fee income, management charges or interest charges among affiliates in different tax jurisdictions. While we believe that we have provided the appropriate required reserves (see Note 2 of Notes to Consolidated Financial Statements), it is possible that a tax authority may disagree with all, or a portion, of the tax benefits claimed. If a tax authority were to successfully challenge our positions, it could result in significant additional tax costs.</w:t>
      </w:r>
    </w:p>
    <w:p>
      <w:pPr>
        <w:spacing w:after="0" w:line="173"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In addition, there are additional transfer pricing and standardized country by country reporting requirements being implemented. Additional information from country by country reporting, certain local information sharing arrangements, and other documentation held by tax authorities is expected to be subject to greater information sharing arrangements and any challenges from tax authorities reviewing such information could adversely impact our overall tax obligations or our business, financial condition or results of operations.</w:t>
      </w:r>
    </w:p>
    <w:p>
      <w:pPr>
        <w:spacing w:after="0" w:line="291" w:lineRule="exact"/>
        <w:rPr>
          <w:sz w:val="20"/>
          <w:szCs w:val="20"/>
          <w:color w:val="auto"/>
        </w:rPr>
      </w:pPr>
    </w:p>
    <w:p>
      <w:pPr>
        <w:ind w:right="120" w:firstLine="598"/>
        <w:spacing w:after="0" w:line="282" w:lineRule="auto"/>
        <w:rPr>
          <w:sz w:val="20"/>
          <w:szCs w:val="20"/>
          <w:color w:val="auto"/>
        </w:rPr>
      </w:pPr>
      <w:r>
        <w:rPr>
          <w:rFonts w:ascii="Arial" w:cs="Arial" w:eastAsia="Arial" w:hAnsi="Arial"/>
          <w:sz w:val="18"/>
          <w:szCs w:val="18"/>
          <w:b w:val="1"/>
          <w:bCs w:val="1"/>
          <w:color w:val="auto"/>
        </w:rPr>
        <w:t>Uncertainty regarding the outcome of future arrangements between the European Union and the United Kingdom may adversely affect our business.</w:t>
      </w:r>
    </w:p>
    <w:p>
      <w:pPr>
        <w:spacing w:after="0" w:line="58" w:lineRule="exact"/>
        <w:rPr>
          <w:sz w:val="20"/>
          <w:szCs w:val="20"/>
          <w:color w:val="auto"/>
        </w:rPr>
      </w:pPr>
    </w:p>
    <w:p>
      <w:pPr>
        <w:ind w:firstLine="598"/>
        <w:spacing w:after="0" w:line="285" w:lineRule="auto"/>
        <w:rPr>
          <w:sz w:val="20"/>
          <w:szCs w:val="20"/>
          <w:color w:val="auto"/>
        </w:rPr>
      </w:pPr>
      <w:r>
        <w:rPr>
          <w:rFonts w:ascii="Arial" w:cs="Arial" w:eastAsia="Arial" w:hAnsi="Arial"/>
          <w:sz w:val="16"/>
          <w:szCs w:val="16"/>
          <w:color w:val="auto"/>
        </w:rPr>
        <w:t xml:space="preserve">The Company has a significant presence in many European Union countries, including the United Kingdom. The U.K. left the European Union on January 31, 2020. The Withdrawal Agreement between the U.K. Government and the European Union </w:t>
      </w:r>
      <w:r>
        <w:rPr>
          <w:rFonts w:ascii="Arial" w:cs="Arial" w:eastAsia="Arial" w:hAnsi="Arial"/>
          <w:sz w:val="16"/>
          <w:szCs w:val="16"/>
          <w:color w:val="222222"/>
        </w:rPr>
        <w:t>includes transitional arrangements that apply following</w:t>
      </w:r>
      <w:r>
        <w:rPr>
          <w:rFonts w:ascii="Arial" w:cs="Arial" w:eastAsia="Arial" w:hAnsi="Arial"/>
          <w:sz w:val="16"/>
          <w:szCs w:val="16"/>
          <w:color w:val="auto"/>
        </w:rPr>
        <w:t xml:space="preserve"> </w:t>
      </w:r>
      <w:r>
        <w:rPr>
          <w:rFonts w:ascii="Arial" w:cs="Arial" w:eastAsia="Arial" w:hAnsi="Arial"/>
          <w:sz w:val="16"/>
          <w:szCs w:val="16"/>
          <w:color w:val="222222"/>
        </w:rPr>
        <w:t xml:space="preserve">the U.K.’s departure until December 31, 2020. A Political Declaration setting out the Framework for the Future Relationship between the European Union and the United Kingdom has also been signed between the U.K. and European Union which keeps open a range of options after the expiration of the transition period, including continuing U.K. participation in the European Union single market and customs union, although the U.K. Government has stated that the U.K. must leave the single market and customs union. The Withdrawal Agreement rules out any extension of the transition period beyond December 31, 2020, creating the risk that if no trade deal between the U.K. and the European Union has been agreed by that date, the U.K could face the prospect of tariffs on exports to the European Union. After expiration of the transition period, the commercial, regulatory and legal environment that would exist, and to which the Company’s U.K. operations would be subject, will be impacted by whether or not a trade deal has been agreed and the nature of the arrangements that are set out in any trade deal. </w:t>
      </w:r>
      <w:r>
        <w:rPr>
          <w:rFonts w:ascii="Arial" w:cs="Arial" w:eastAsia="Arial" w:hAnsi="Arial"/>
          <w:sz w:val="16"/>
          <w:szCs w:val="16"/>
          <w:color w:val="000000"/>
        </w:rPr>
        <w:t>The details of these arrangements are hard to predict, and uncertainty regarding their outcome may continue. The Company currently</w:t>
      </w:r>
      <w:r>
        <w:rPr>
          <w:rFonts w:ascii="Arial" w:cs="Arial" w:eastAsia="Arial" w:hAnsi="Arial"/>
          <w:sz w:val="16"/>
          <w:szCs w:val="16"/>
          <w:color w:val="222222"/>
        </w:rPr>
        <w:t xml:space="preserve"> </w:t>
      </w:r>
      <w:r>
        <w:rPr>
          <w:rFonts w:ascii="Arial" w:cs="Arial" w:eastAsia="Arial" w:hAnsi="Arial"/>
          <w:sz w:val="16"/>
          <w:szCs w:val="16"/>
          <w:color w:val="000000"/>
        </w:rPr>
        <w:t>does not believe that any of the potential arrangements that are likely to be agreed will have a material adverse impact on the Company’s business. These potential arrangements may, however, result in certain changes in the way that we conduct our businesses, which could result in increased costs. In addition, the fact that the U.K. left the European Union and the uncertainty it has produced has impacted, and may continue to impact, geopolitical perspectives and macroeconomic factors including interest rates, foreign currency exchange rates and equity markets, and it has increased volatility in certain markets in which we operate. If these conditions continue or if current conditions worsen, our businesses may be adversely affected, which may impact our financial position and results of operations. See “Difficult market conditions can adversely affect our business in many ways, including by reducing the volume of transactions involving our Financial Advisory business and reducing the value or performance of the assets we manage in our Asset Management business, which, in each case, could materially reduce our revenue or income and adversely affect our financial position” above.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 w:name="page30"/>
    <w:bookmarkEnd w:id="29"/>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140" w:firstLine="598"/>
        <w:spacing w:after="0" w:line="289" w:lineRule="auto"/>
        <w:rPr>
          <w:sz w:val="20"/>
          <w:szCs w:val="20"/>
          <w:color w:val="auto"/>
        </w:rPr>
      </w:pPr>
      <w:r>
        <w:rPr>
          <w:rFonts w:ascii="Arial" w:cs="Arial" w:eastAsia="Arial" w:hAnsi="Arial"/>
          <w:sz w:val="16"/>
          <w:szCs w:val="16"/>
          <w:color w:val="auto"/>
        </w:rPr>
        <w:t>We have made statements under the captions “Business,” “Risk Factors,” “Management’s Discussion and Analysis of Financial Condition and Results of Operations” and in other sections of this Form 10-K that are forward-looking statements. In some cases, you can identify these statements by forward-looking words such as “may,” “might,” “will,” “should,” “could,” “would,” “expect,” “plan,” “anticipate,” “believe,” “estimate,” “predict,” “potential,” “target,” “goal”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the numerous risks and uncertainties outlined in “Risk Factors,” including the following:</w:t>
      </w:r>
    </w:p>
    <w:p>
      <w:pPr>
        <w:spacing w:after="0" w:line="59" w:lineRule="exact"/>
        <w:rPr>
          <w:sz w:val="20"/>
          <w:szCs w:val="20"/>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decline in general economic conditions or the global or regional financial markets;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decline in our revenues, for example due to a decline in overall M&amp;A activity, our share of the M&amp;A market or our AUM;</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and attract employees at current compensation levels.</w:t>
      </w:r>
    </w:p>
    <w:p>
      <w:pPr>
        <w:spacing w:after="0" w:line="225"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These risks and uncertainties are not exhaustive. Other sections of this Form 10-K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188"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10-K to conform our prior statements to actual results or revised expectations and we do not intend to do so.</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117" w:lineRule="exact"/>
        <w:rPr>
          <w:sz w:val="20"/>
          <w:szCs w:val="20"/>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financial goals, including ratios of compensation and benefits expense to operating revenue;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ability to deploy surplus cash through distributions to members, purchases of Class A common stock and debt repurchases;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possible or assumed future results of operations and operating cash flows;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strategies and investment policies;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financing plans and the availability of short-term borrowing;</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competitive position;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30" w:name="page31"/>
    <w:bookmarkEnd w:id="30"/>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impact of investments in our technology infrastructure and data science capabilities;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117" w:lineRule="exact"/>
        <w:rPr>
          <w:rFonts w:ascii="Arial" w:cs="Arial" w:eastAsia="Arial" w:hAnsi="Arial"/>
          <w:sz w:val="18"/>
          <w:szCs w:val="18"/>
          <w:color w:val="auto"/>
        </w:rPr>
      </w:pPr>
    </w:p>
    <w:p>
      <w:pPr>
        <w:ind w:left="1200" w:right="340" w:hanging="598"/>
        <w:spacing w:after="0" w:line="277" w:lineRule="auto"/>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levels of compensation expense, including awarded compensation and benefits expense and adjusted compensation and benefits expense, and non-compensation expense;</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operating performance, achievements, productivity improvements, efficiency and cost reduction efforts;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expected tax rates, including effective tax rates;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availability of certain tax benefits, including certain potential deductions;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impact of certain events or circumstances on our financial statements;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17" w:lineRule="exact"/>
        <w:rPr>
          <w:rFonts w:ascii="Arial" w:cs="Arial" w:eastAsia="Arial" w:hAnsi="Arial"/>
          <w:sz w:val="18"/>
          <w:szCs w:val="18"/>
          <w:color w:val="auto"/>
        </w:rPr>
      </w:pPr>
    </w:p>
    <w:p>
      <w:pPr>
        <w:ind w:left="1200" w:right="520" w:hanging="598"/>
        <w:spacing w:after="0" w:line="308" w:lineRule="auto"/>
        <w:tabs>
          <w:tab w:leader="none" w:pos="12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expectations with respect to the economy, the securities markets, the market for mergers, acquisitions, restructuring and other financial advisory activity, the market for asset management activity and other macroeconomic, regional and industry trends;</w:t>
      </w:r>
    </w:p>
    <w:p>
      <w:pPr>
        <w:spacing w:after="0" w:line="38" w:lineRule="exact"/>
        <w:rPr>
          <w:rFonts w:ascii="Arial" w:cs="Arial" w:eastAsia="Arial" w:hAnsi="Arial"/>
          <w:sz w:val="17"/>
          <w:szCs w:val="17"/>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impact of new or future legislation and regulation, including tax laws and regulations, on our business.</w:t>
      </w:r>
    </w:p>
    <w:p>
      <w:pPr>
        <w:spacing w:after="0" w:line="225"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 xml:space="preserve">The Company is committed to providing timely and accurate information to the investing public, consistent with our legal and regulatory obligations. To that end, the Company uses its website, its twitter account (twitter.com/Lazard) and other social media sites to convey information about our businesses, including the anticipated release of quarterly financial results, quarterly financial, statistical and business-related information, and the posting of updates of AUM in our Asset Management business. Investors can link to Lazard Ltd, Lazard Group and their operating company websites through </w:t>
      </w:r>
      <w:r>
        <w:rPr>
          <w:rFonts w:ascii="Arial" w:cs="Arial" w:eastAsia="Arial" w:hAnsi="Arial"/>
          <w:sz w:val="18"/>
          <w:szCs w:val="18"/>
          <w:i w:val="1"/>
          <w:iCs w:val="1"/>
          <w:color w:val="auto"/>
        </w:rPr>
        <w:t xml:space="preserve">http://www.lazard.com. </w:t>
      </w:r>
      <w:r>
        <w:rPr>
          <w:rFonts w:ascii="Arial" w:cs="Arial" w:eastAsia="Arial" w:hAnsi="Arial"/>
          <w:sz w:val="18"/>
          <w:szCs w:val="18"/>
          <w:color w:val="auto"/>
        </w:rPr>
        <w:t>Our websites and social media sites and the information contained therein or connected thereto shall not be deemed to be incorporated</w:t>
      </w:r>
      <w:r>
        <w:rPr>
          <w:rFonts w:ascii="Arial" w:cs="Arial" w:eastAsia="Arial" w:hAnsi="Arial"/>
          <w:sz w:val="18"/>
          <w:szCs w:val="18"/>
          <w:i w:val="1"/>
          <w:iCs w:val="1"/>
          <w:color w:val="auto"/>
        </w:rPr>
        <w:t xml:space="preserve"> </w:t>
      </w:r>
      <w:r>
        <w:rPr>
          <w:rFonts w:ascii="Arial" w:cs="Arial" w:eastAsia="Arial" w:hAnsi="Arial"/>
          <w:sz w:val="18"/>
          <w:szCs w:val="18"/>
          <w:color w:val="auto"/>
        </w:rPr>
        <w:t>into this Form 10-K.</w:t>
      </w:r>
    </w:p>
    <w:p>
      <w:pPr>
        <w:spacing w:after="0" w:line="29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There are no unresolved written comments that were received from the SEC staff 180 days or more before December 31, 2019 relating to our periodic or current reports under the Exchange Act.</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spacing w:after="0"/>
        <w:tabs>
          <w:tab w:leader="none" w:pos="13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Lazard has offices located around the world. The following table lists the principal properties used for the Lazard organization as of December 31, 2019. As a general matter, one or both of our Financial Advisory and Asset Management segments (as well as our Corporate segment) uses the following properties. Our London office subleases 71,207 square feet to third parties. We remain fully liable for the subleased space to the extent that the subtenants fail to perform their obligations under the subleases for any reason.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2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3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Square Footage</w:t>
            </w:r>
          </w:p>
        </w:tc>
        <w:tc>
          <w:tcPr>
            <w:tcW w:w="2100" w:type="dxa"/>
            <w:vAlign w:val="bottom"/>
          </w:tcPr>
          <w:p>
            <w:pPr>
              <w:spacing w:after="0"/>
              <w:rPr>
                <w:sz w:val="14"/>
                <w:szCs w:val="14"/>
                <w:color w:val="auto"/>
              </w:rPr>
            </w:pPr>
          </w:p>
        </w:tc>
        <w:tc>
          <w:tcPr>
            <w:tcW w:w="2980" w:type="dxa"/>
            <w:vAlign w:val="bottom"/>
          </w:tcPr>
          <w:p>
            <w:pPr>
              <w:ind w:left="220"/>
              <w:spacing w:after="0"/>
              <w:rPr>
                <w:sz w:val="20"/>
                <w:szCs w:val="20"/>
                <w:color w:val="auto"/>
              </w:rPr>
            </w:pPr>
            <w:r>
              <w:rPr>
                <w:rFonts w:ascii="Arial" w:cs="Arial" w:eastAsia="Arial" w:hAnsi="Arial"/>
                <w:sz w:val="14"/>
                <w:szCs w:val="14"/>
                <w:b w:val="1"/>
                <w:bCs w:val="1"/>
                <w:color w:val="auto"/>
              </w:rPr>
              <w:t>Offices</w:t>
            </w:r>
          </w:p>
        </w:tc>
      </w:tr>
      <w:tr>
        <w:trPr>
          <w:trHeight w:val="209"/>
        </w:trPr>
        <w:tc>
          <w:tcPr>
            <w:tcW w:w="2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New York City</w:t>
            </w:r>
          </w:p>
        </w:tc>
        <w:tc>
          <w:tcPr>
            <w:tcW w:w="160" w:type="dxa"/>
            <w:vAlign w:val="bottom"/>
            <w:tcBorders>
              <w:top w:val="single" w:sz="8" w:color="CFF0FC"/>
            </w:tcBorders>
            <w:shd w:val="clear" w:color="auto" w:fill="CFF0FC"/>
          </w:tcPr>
          <w:p>
            <w:pPr>
              <w:spacing w:after="0"/>
              <w:rPr>
                <w:sz w:val="18"/>
                <w:szCs w:val="18"/>
                <w:color w:val="auto"/>
              </w:rPr>
            </w:pPr>
          </w:p>
        </w:tc>
        <w:tc>
          <w:tcPr>
            <w:tcW w:w="30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438,870 square feet of</w:t>
            </w:r>
          </w:p>
        </w:tc>
        <w:tc>
          <w:tcPr>
            <w:tcW w:w="160" w:type="dxa"/>
            <w:vAlign w:val="bottom"/>
            <w:tcBorders>
              <w:top w:val="single" w:sz="8" w:color="CFF0FC"/>
            </w:tcBorders>
            <w:shd w:val="clear" w:color="auto" w:fill="CFF0FC"/>
          </w:tcPr>
          <w:p>
            <w:pPr>
              <w:spacing w:after="0"/>
              <w:rPr>
                <w:sz w:val="18"/>
                <w:szCs w:val="18"/>
                <w:color w:val="auto"/>
              </w:rPr>
            </w:pPr>
          </w:p>
        </w:tc>
        <w:tc>
          <w:tcPr>
            <w:tcW w:w="2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2"/>
              </w:rPr>
              <w:t>Principal office located at 30</w:t>
            </w:r>
          </w:p>
        </w:tc>
        <w:tc>
          <w:tcPr>
            <w:tcW w:w="29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Rockefeller Plaza</w:t>
            </w:r>
          </w:p>
        </w:tc>
      </w:tr>
      <w:tr>
        <w:trPr>
          <w:trHeight w:val="230"/>
        </w:trPr>
        <w:tc>
          <w:tcPr>
            <w:tcW w:w="29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2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82"/>
              </w:rPr>
              <w:t>leased space</w:t>
            </w:r>
          </w:p>
        </w:tc>
        <w:tc>
          <w:tcPr>
            <w:tcW w:w="2100" w:type="dxa"/>
            <w:vAlign w:val="bottom"/>
            <w:shd w:val="clear" w:color="auto" w:fill="CFF0FC"/>
          </w:tcPr>
          <w:p>
            <w:pPr>
              <w:spacing w:after="0"/>
              <w:rPr>
                <w:sz w:val="20"/>
                <w:szCs w:val="20"/>
                <w:color w:val="auto"/>
              </w:rPr>
            </w:pPr>
          </w:p>
        </w:tc>
        <w:tc>
          <w:tcPr>
            <w:tcW w:w="2980" w:type="dxa"/>
            <w:vAlign w:val="bottom"/>
            <w:shd w:val="clear" w:color="auto" w:fill="CFF0FC"/>
          </w:tcPr>
          <w:p>
            <w:pPr>
              <w:spacing w:after="0"/>
              <w:rPr>
                <w:sz w:val="20"/>
                <w:szCs w:val="20"/>
                <w:color w:val="auto"/>
              </w:rPr>
            </w:pPr>
          </w:p>
        </w:tc>
      </w:tr>
      <w:tr>
        <w:trPr>
          <w:trHeight w:val="215"/>
        </w:trPr>
        <w:tc>
          <w:tcPr>
            <w:tcW w:w="3120" w:type="dxa"/>
            <w:vAlign w:val="bottom"/>
            <w:gridSpan w:val="2"/>
          </w:tcPr>
          <w:p>
            <w:pPr>
              <w:spacing w:after="0"/>
              <w:rPr>
                <w:sz w:val="20"/>
                <w:szCs w:val="20"/>
                <w:color w:val="auto"/>
              </w:rPr>
            </w:pPr>
            <w:r>
              <w:rPr>
                <w:rFonts w:ascii="Arial" w:cs="Arial" w:eastAsia="Arial" w:hAnsi="Arial"/>
                <w:sz w:val="18"/>
                <w:szCs w:val="18"/>
                <w:color w:val="auto"/>
              </w:rPr>
              <w:t>Paris</w:t>
            </w:r>
          </w:p>
        </w:tc>
        <w:tc>
          <w:tcPr>
            <w:tcW w:w="32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269,333 square feet of</w:t>
            </w:r>
          </w:p>
        </w:tc>
        <w:tc>
          <w:tcPr>
            <w:tcW w:w="5080" w:type="dxa"/>
            <w:vAlign w:val="bottom"/>
            <w:gridSpan w:val="2"/>
          </w:tcPr>
          <w:p>
            <w:pPr>
              <w:spacing w:after="0"/>
              <w:rPr>
                <w:sz w:val="20"/>
                <w:szCs w:val="20"/>
                <w:color w:val="auto"/>
              </w:rPr>
            </w:pPr>
            <w:r>
              <w:rPr>
                <w:rFonts w:ascii="Arial" w:cs="Arial" w:eastAsia="Arial" w:hAnsi="Arial"/>
                <w:sz w:val="18"/>
                <w:szCs w:val="18"/>
                <w:color w:val="auto"/>
              </w:rPr>
              <w:t>Principal offices located at 121 Boulevard</w:t>
            </w:r>
          </w:p>
        </w:tc>
      </w:tr>
      <w:tr>
        <w:trPr>
          <w:trHeight w:val="230"/>
        </w:trPr>
        <w:tc>
          <w:tcPr>
            <w:tcW w:w="2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2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owned and leased space</w:t>
            </w:r>
          </w:p>
        </w:tc>
        <w:tc>
          <w:tcPr>
            <w:tcW w:w="5080" w:type="dxa"/>
            <w:vAlign w:val="bottom"/>
            <w:gridSpan w:val="2"/>
          </w:tcPr>
          <w:p>
            <w:pPr>
              <w:spacing w:after="0"/>
              <w:rPr>
                <w:sz w:val="20"/>
                <w:szCs w:val="20"/>
                <w:color w:val="auto"/>
              </w:rPr>
            </w:pPr>
            <w:r>
              <w:rPr>
                <w:rFonts w:ascii="Arial" w:cs="Arial" w:eastAsia="Arial" w:hAnsi="Arial"/>
                <w:sz w:val="18"/>
                <w:szCs w:val="18"/>
                <w:color w:val="auto"/>
              </w:rPr>
              <w:t>Haussmann and 25 rue de Courcelles</w:t>
            </w:r>
          </w:p>
        </w:tc>
      </w:tr>
      <w:tr>
        <w:trPr>
          <w:trHeight w:val="215"/>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London</w:t>
            </w:r>
          </w:p>
        </w:tc>
        <w:tc>
          <w:tcPr>
            <w:tcW w:w="322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88"/>
              </w:rPr>
              <w:t>144,548 square feet of</w:t>
            </w:r>
          </w:p>
        </w:tc>
        <w:tc>
          <w:tcPr>
            <w:tcW w:w="2100" w:type="dxa"/>
            <w:vAlign w:val="bottom"/>
            <w:shd w:val="clear" w:color="auto" w:fill="CFF0FC"/>
          </w:tcPr>
          <w:p>
            <w:pPr>
              <w:spacing w:after="0"/>
              <w:rPr>
                <w:sz w:val="20"/>
                <w:szCs w:val="20"/>
                <w:color w:val="auto"/>
              </w:rPr>
            </w:pPr>
            <w:r>
              <w:rPr>
                <w:rFonts w:ascii="Arial" w:cs="Arial" w:eastAsia="Arial" w:hAnsi="Arial"/>
                <w:sz w:val="18"/>
                <w:szCs w:val="18"/>
                <w:color w:val="auto"/>
                <w:w w:val="92"/>
              </w:rPr>
              <w:t>Principal office located at 50</w:t>
            </w:r>
          </w:p>
        </w:tc>
        <w:tc>
          <w:tcPr>
            <w:tcW w:w="2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Stratton Street</w:t>
            </w:r>
          </w:p>
        </w:tc>
      </w:tr>
      <w:tr>
        <w:trPr>
          <w:trHeight w:val="230"/>
        </w:trPr>
        <w:tc>
          <w:tcPr>
            <w:tcW w:w="29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2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82"/>
              </w:rPr>
              <w:t>leased space</w:t>
            </w:r>
          </w:p>
        </w:tc>
        <w:tc>
          <w:tcPr>
            <w:tcW w:w="2100" w:type="dxa"/>
            <w:vAlign w:val="bottom"/>
            <w:shd w:val="clear" w:color="auto" w:fill="CFF0FC"/>
          </w:tcPr>
          <w:p>
            <w:pPr>
              <w:spacing w:after="0"/>
              <w:rPr>
                <w:sz w:val="20"/>
                <w:szCs w:val="20"/>
                <w:color w:val="auto"/>
              </w:rPr>
            </w:pPr>
          </w:p>
        </w:tc>
        <w:tc>
          <w:tcPr>
            <w:tcW w:w="2980" w:type="dxa"/>
            <w:vAlign w:val="bottom"/>
            <w:shd w:val="clear" w:color="auto" w:fill="CFF0FC"/>
          </w:tcPr>
          <w:p>
            <w:pPr>
              <w:spacing w:after="0"/>
              <w:rPr>
                <w:sz w:val="20"/>
                <w:szCs w:val="20"/>
                <w:color w:val="auto"/>
              </w:rPr>
            </w:pPr>
          </w:p>
        </w:tc>
      </w:tr>
    </w:tbl>
    <w:p>
      <w:pPr>
        <w:spacing w:after="0" w:line="333"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60" w:firstLine="598"/>
        <w:spacing w:after="0" w:line="293" w:lineRule="auto"/>
        <w:rPr>
          <w:sz w:val="20"/>
          <w:szCs w:val="20"/>
          <w:color w:val="auto"/>
        </w:rPr>
      </w:pPr>
      <w:r>
        <w:rPr>
          <w:rFonts w:ascii="Arial" w:cs="Arial" w:eastAsia="Arial" w:hAnsi="Arial"/>
          <w:sz w:val="16"/>
          <w:szCs w:val="16"/>
          <w:color w:val="auto"/>
        </w:rPr>
        <w:t>The Company is involved from time to time in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an annual basis. Accordingly, the results of any pending matter or matters could be significant when compared to the Company’s earnings in any particular fiscal year. The Company believes, however, based on currently available information, that the results of any pending matters, in the aggregate, will not have a material effect on its business or financial condition.</w:t>
      </w:r>
    </w:p>
    <w:p>
      <w:pPr>
        <w:spacing w:after="0" w:line="269"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121" w:lineRule="exact"/>
        <w:rPr>
          <w:sz w:val="20"/>
          <w:szCs w:val="20"/>
          <w:color w:val="auto"/>
        </w:rPr>
      </w:pPr>
    </w:p>
    <w:p>
      <w:pPr>
        <w:ind w:right="140" w:firstLine="598"/>
        <w:spacing w:after="0" w:line="264" w:lineRule="auto"/>
        <w:rPr>
          <w:sz w:val="20"/>
          <w:szCs w:val="20"/>
          <w:color w:val="auto"/>
        </w:rPr>
      </w:pPr>
      <w:r>
        <w:rPr>
          <w:rFonts w:ascii="Arial" w:cs="Arial" w:eastAsia="Arial" w:hAnsi="Arial"/>
          <w:sz w:val="18"/>
          <w:szCs w:val="18"/>
          <w:color w:val="auto"/>
        </w:rPr>
        <w:t>As of December 31, 2019, all of our common membership interests are held by indirect wholly-owned subsidiaries of Lazard Ltd. Our co-managing member interests are held by two indirect wholly-owned subsidiaries of Lazard Ltd, and our profit participation interests are held by various managing directors. There are no public trading markets for any of these interests.</w:t>
      </w:r>
    </w:p>
    <w:p>
      <w:pPr>
        <w:spacing w:after="0" w:line="73" w:lineRule="exact"/>
        <w:rPr>
          <w:sz w:val="20"/>
          <w:szCs w:val="20"/>
          <w:color w:val="auto"/>
        </w:rPr>
      </w:pPr>
    </w:p>
    <w:p>
      <w:pPr>
        <w:ind w:right="40" w:firstLine="598"/>
        <w:spacing w:after="0" w:line="288" w:lineRule="auto"/>
        <w:rPr>
          <w:sz w:val="20"/>
          <w:szCs w:val="20"/>
          <w:color w:val="auto"/>
        </w:rPr>
      </w:pPr>
      <w:r>
        <w:rPr>
          <w:rFonts w:ascii="Arial" w:cs="Arial" w:eastAsia="Arial" w:hAnsi="Arial"/>
          <w:sz w:val="16"/>
          <w:szCs w:val="16"/>
          <w:color w:val="auto"/>
        </w:rPr>
        <w:t>As of December 31, 2019, pursuant to provisions of its Amended and Restated Operating Agreement, Lazard Group allocates and distributes to its members a substantial portion of its distributable profits in installments as soon as practicable after the end of each fiscal year. Such installment distributions usually begin in February. Such distributions represent amounts necessary to fund (i) any dividends Lazard Ltd may declare on its Class A common stock and</w:t>
      </w:r>
    </w:p>
    <w:p>
      <w:pPr>
        <w:ind w:firstLine="8"/>
        <w:spacing w:after="0" w:line="261" w:lineRule="auto"/>
        <w:tabs>
          <w:tab w:leader="none" w:pos="26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tax distributions in respect of income taxes that Lazard Ltd’s subsidiaries incur. During the years ended December 31, 2019, 2018 and 2017, Lazard Group distributed approximately $263.9 million, $448.9 million and $346.1 million, respectively, to the subsidiaries of Lazard Ltd.</w:t>
      </w:r>
    </w:p>
    <w:p>
      <w:pPr>
        <w:spacing w:after="0" w:line="288"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sets forth selected consolidated financial data for the Company for all years presented.</w:t>
      </w:r>
    </w:p>
    <w:p>
      <w:pPr>
        <w:spacing w:after="0" w:line="225"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The consolidated statements of financial condition and operations data as of and for each of the years in the five-year period ended December 31, 2019 have been derived from Lazard Group’s consolidated financial statements. The audited consolidated statements of financial condition as of December 31, 2019 and 2018 and audited consolidated statements of operations for each of the years in the three year period ended December 31, 2019 are included in this Form 10-K. The audited consolidated statements of financial condition as of December 31, 2017, 2016 and 2015, and the audited consolidated statements of operations for the years ended December 31, 2016 and 2015, are not included in this Form 10-K. Historical results should not be considered an indication of results for any future period.</w:t>
      </w:r>
    </w:p>
    <w:p>
      <w:pPr>
        <w:spacing w:after="0" w:line="193" w:lineRule="exact"/>
        <w:rPr>
          <w:sz w:val="20"/>
          <w:szCs w:val="20"/>
          <w:color w:val="auto"/>
        </w:rPr>
      </w:pPr>
    </w:p>
    <w:p>
      <w:pPr>
        <w:ind w:right="420" w:firstLine="598"/>
        <w:spacing w:after="0" w:line="342" w:lineRule="auto"/>
        <w:rPr>
          <w:sz w:val="20"/>
          <w:szCs w:val="20"/>
          <w:color w:val="auto"/>
        </w:rPr>
      </w:pPr>
      <w:r>
        <w:rPr>
          <w:rFonts w:ascii="Arial" w:cs="Arial" w:eastAsia="Arial" w:hAnsi="Arial"/>
          <w:sz w:val="16"/>
          <w:szCs w:val="16"/>
          <w:color w:val="auto"/>
        </w:rPr>
        <w:t>The selected consolidated financial data should be read in conjunction with “Management’s Discussion and Analysis of Financial Condition and Results of Operations,” and the Company’s consolidated financial statements and related notes included elsewhere in this Form 10-K.</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9"/>
          </w:tcPr>
          <w:p>
            <w:pPr>
              <w:jc w:val="center"/>
              <w:ind w:right="360"/>
              <w:spacing w:after="0"/>
              <w:rPr>
                <w:sz w:val="20"/>
                <w:szCs w:val="20"/>
                <w:color w:val="auto"/>
              </w:rPr>
            </w:pPr>
            <w:r>
              <w:rPr>
                <w:rFonts w:ascii="Arial" w:cs="Arial" w:eastAsia="Arial" w:hAnsi="Arial"/>
                <w:sz w:val="14"/>
                <w:szCs w:val="14"/>
                <w:b w:val="1"/>
                <w:bCs w:val="1"/>
                <w:color w:val="auto"/>
                <w:w w:val="94"/>
              </w:rPr>
              <w:t>As Of Or For The Year Ended December 31,</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80"/>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79"/>
              <w:spacing w:after="0" w:line="155"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4"/>
          </w:tcPr>
          <w:p>
            <w:pPr>
              <w:jc w:val="center"/>
              <w:ind w:right="60"/>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Consolidated Statements of Operations Data (a)</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80" w:type="dxa"/>
            <w:vAlign w:val="bottom"/>
          </w:tcPr>
          <w:p>
            <w:pPr>
              <w:spacing w:after="0"/>
              <w:rPr>
                <w:sz w:val="20"/>
                <w:szCs w:val="20"/>
                <w:color w:val="auto"/>
              </w:rPr>
            </w:pPr>
            <w:r>
              <w:rPr>
                <w:rFonts w:ascii="Arial" w:cs="Arial" w:eastAsia="Arial" w:hAnsi="Arial"/>
                <w:sz w:val="16"/>
                <w:szCs w:val="16"/>
                <w:color w:val="auto"/>
              </w:rPr>
              <w:t>Net Revenue:</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Financial Advisory</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1,352,168</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1,548,918</w:t>
            </w:r>
          </w:p>
        </w:tc>
        <w:tc>
          <w:tcPr>
            <w:tcW w:w="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1,386,688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1,301,044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1,279,628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260"/>
              <w:spacing w:after="0"/>
              <w:rPr>
                <w:sz w:val="20"/>
                <w:szCs w:val="20"/>
                <w:color w:val="auto"/>
              </w:rPr>
            </w:pPr>
            <w:r>
              <w:rPr>
                <w:rFonts w:ascii="Arial" w:cs="Arial" w:eastAsia="Arial" w:hAnsi="Arial"/>
                <w:sz w:val="16"/>
                <w:szCs w:val="16"/>
                <w:color w:val="auto"/>
              </w:rPr>
              <w:t>Asset Management (b)</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1,237,390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1,331,801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1,255,820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1,051,316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1,111,105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Corporate (c)</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(26,865)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(63,858)</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(2,911)</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(22,489)</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(40,457)</w:t>
            </w:r>
          </w:p>
        </w:tc>
        <w:tc>
          <w:tcPr>
            <w:tcW w:w="0" w:type="dxa"/>
            <w:vAlign w:val="bottom"/>
          </w:tcPr>
          <w:p>
            <w:pPr>
              <w:spacing w:after="0"/>
              <w:rPr>
                <w:sz w:val="1"/>
                <w:szCs w:val="1"/>
                <w:color w:val="auto"/>
              </w:rPr>
            </w:pPr>
          </w:p>
        </w:tc>
      </w:tr>
      <w:tr>
        <w:trPr>
          <w:trHeight w:val="207"/>
        </w:trPr>
        <w:tc>
          <w:tcPr>
            <w:tcW w:w="52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Revenue</w:t>
            </w:r>
          </w:p>
        </w:tc>
        <w:tc>
          <w:tcPr>
            <w:tcW w:w="1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2,562,693</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2,816,861</w:t>
            </w:r>
          </w:p>
        </w:tc>
        <w:tc>
          <w:tcPr>
            <w:tcW w:w="8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2,639,597</w:t>
            </w:r>
          </w:p>
        </w:tc>
        <w:tc>
          <w:tcPr>
            <w:tcW w:w="220" w:type="dxa"/>
            <w:vAlign w:val="bottom"/>
            <w:tcBorders>
              <w:bottom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2,329,871</w:t>
            </w:r>
          </w:p>
        </w:tc>
        <w:tc>
          <w:tcPr>
            <w:tcW w:w="22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2,350,276</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Compensation and Benefits</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1,553,875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1,508,813</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1,507,332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1,338,819</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1,319,620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Operating Expenses (d)</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608,624</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648,765</w:t>
            </w: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498,512</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469,059</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499,811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2,162,499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2,157,578</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2,005,844</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1,807,878</w:t>
            </w:r>
          </w:p>
        </w:tc>
        <w:tc>
          <w:tcPr>
            <w:tcW w:w="2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1,819,431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280" w:type="dxa"/>
            <w:vAlign w:val="bottom"/>
          </w:tcPr>
          <w:p>
            <w:pPr>
              <w:spacing w:after="0"/>
              <w:rPr>
                <w:sz w:val="20"/>
                <w:szCs w:val="20"/>
                <w:color w:val="auto"/>
              </w:rPr>
            </w:pPr>
            <w:r>
              <w:rPr>
                <w:rFonts w:ascii="Arial" w:cs="Arial" w:eastAsia="Arial" w:hAnsi="Arial"/>
                <w:sz w:val="16"/>
                <w:szCs w:val="16"/>
                <w:color w:val="auto"/>
              </w:rPr>
              <w:t>Operating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400,194</w:t>
            </w:r>
          </w:p>
        </w:tc>
        <w:tc>
          <w:tcPr>
            <w:tcW w:w="14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659,283</w:t>
            </w:r>
          </w:p>
        </w:tc>
        <w:tc>
          <w:tcPr>
            <w:tcW w:w="80" w:type="dxa"/>
            <w:vAlign w:val="bottom"/>
          </w:tcPr>
          <w:p>
            <w:pPr>
              <w:spacing w:after="0"/>
              <w:rPr>
                <w:sz w:val="19"/>
                <w:szCs w:val="19"/>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633,753</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521,993</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530,845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6"/>
                <w:szCs w:val="16"/>
                <w:color w:val="auto"/>
              </w:rPr>
              <w:t>Net Income</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80" w:type="dxa"/>
            <w:vAlign w:val="bottom"/>
            <w:vMerge w:val="continue"/>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333,596</w:t>
            </w:r>
          </w:p>
        </w:tc>
        <w:tc>
          <w:tcPr>
            <w:tcW w:w="14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570,920</w:t>
            </w:r>
          </w:p>
        </w:tc>
        <w:tc>
          <w:tcPr>
            <w:tcW w:w="8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551,890</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472,320</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449,297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Net Income Attributable to Lazard Group</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8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322,380</w:t>
            </w:r>
          </w:p>
        </w:tc>
        <w:tc>
          <w:tcPr>
            <w:tcW w:w="140" w:type="dxa"/>
            <w:vAlign w:val="bottom"/>
          </w:tcPr>
          <w:p>
            <w:pPr>
              <w:spacing w:after="0"/>
              <w:rPr>
                <w:sz w:val="20"/>
                <w:szCs w:val="20"/>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565,597</w:t>
            </w:r>
          </w:p>
        </w:tc>
        <w:tc>
          <w:tcPr>
            <w:tcW w:w="80" w:type="dxa"/>
            <w:vAlign w:val="bottom"/>
          </w:tcPr>
          <w:p>
            <w:pPr>
              <w:spacing w:after="0"/>
              <w:rPr>
                <w:sz w:val="20"/>
                <w:szCs w:val="20"/>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545,627</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466,327</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442,738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Consolidated Statements of Financial</w:t>
            </w:r>
          </w:p>
        </w:tc>
        <w:tc>
          <w:tcPr>
            <w:tcW w:w="14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Condition Data</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80" w:type="dxa"/>
            <w:vAlign w:val="bottom"/>
          </w:tcPr>
          <w:p>
            <w:pPr>
              <w:spacing w:after="0"/>
              <w:rPr>
                <w:sz w:val="20"/>
                <w:szCs w:val="20"/>
                <w:color w:val="auto"/>
              </w:rPr>
            </w:pPr>
            <w:r>
              <w:rPr>
                <w:rFonts w:ascii="Arial" w:cs="Arial" w:eastAsia="Arial" w:hAnsi="Arial"/>
                <w:sz w:val="16"/>
                <w:szCs w:val="16"/>
                <w:color w:val="auto"/>
              </w:rPr>
              <w:t>Total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5,051,628</w:t>
            </w:r>
          </w:p>
        </w:tc>
        <w:tc>
          <w:tcPr>
            <w:tcW w:w="1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4,389,475</w:t>
            </w:r>
          </w:p>
        </w:tc>
        <w:tc>
          <w:tcPr>
            <w:tcW w:w="8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4,300,573</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3,515,984</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3,389,054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Total Debt (e)</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1,679,562</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1,434,260</w:t>
            </w:r>
          </w:p>
        </w:tc>
        <w:tc>
          <w:tcPr>
            <w:tcW w:w="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1,190,444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1,195,805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998,386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80" w:type="dxa"/>
            <w:vAlign w:val="bottom"/>
          </w:tcPr>
          <w:p>
            <w:pPr>
              <w:spacing w:after="0"/>
              <w:rPr>
                <w:sz w:val="20"/>
                <w:szCs w:val="20"/>
                <w:color w:val="auto"/>
              </w:rPr>
            </w:pPr>
            <w:r>
              <w:rPr>
                <w:rFonts w:ascii="Arial" w:cs="Arial" w:eastAsia="Arial" w:hAnsi="Arial"/>
                <w:sz w:val="16"/>
                <w:szCs w:val="16"/>
                <w:color w:val="auto"/>
              </w:rPr>
              <w:t>Total Lazard Group Members’ Equity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218,920</w:t>
            </w:r>
          </w:p>
        </w:tc>
        <w:tc>
          <w:tcPr>
            <w:tcW w:w="1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530,045</w:t>
            </w:r>
          </w:p>
        </w:tc>
        <w:tc>
          <w:tcPr>
            <w:tcW w:w="8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848,318</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678,894</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649,759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Total Members’ Equity</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287,326</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582,752</w:t>
            </w:r>
          </w:p>
        </w:tc>
        <w:tc>
          <w:tcPr>
            <w:tcW w:w="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906,900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736,140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702,900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80" w:type="dxa"/>
            <w:vAlign w:val="bottom"/>
          </w:tcPr>
          <w:p>
            <w:pPr>
              <w:spacing w:after="0"/>
              <w:rPr>
                <w:sz w:val="20"/>
                <w:szCs w:val="20"/>
                <w:color w:val="auto"/>
              </w:rPr>
            </w:pPr>
            <w:r>
              <w:rPr>
                <w:rFonts w:ascii="Arial" w:cs="Arial" w:eastAsia="Arial" w:hAnsi="Arial"/>
                <w:sz w:val="16"/>
                <w:szCs w:val="16"/>
                <w:b w:val="1"/>
                <w:bCs w:val="1"/>
                <w:color w:val="auto"/>
              </w:rPr>
              <w:t>Other Data</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Assets Under Management: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260"/>
              <w:spacing w:after="0"/>
              <w:rPr>
                <w:sz w:val="20"/>
                <w:szCs w:val="20"/>
                <w:color w:val="auto"/>
              </w:rPr>
            </w:pPr>
            <w:r>
              <w:rPr>
                <w:rFonts w:ascii="Arial" w:cs="Arial" w:eastAsia="Arial" w:hAnsi="Arial"/>
                <w:sz w:val="16"/>
                <w:szCs w:val="16"/>
                <w:color w:val="auto"/>
              </w:rPr>
              <w:t>As of December 31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w w:val="94"/>
              </w:rPr>
              <w:t>248,239,000</w:t>
            </w:r>
          </w:p>
        </w:tc>
        <w:tc>
          <w:tcPr>
            <w:tcW w:w="1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w w:val="96"/>
              </w:rPr>
              <w:t>214,734,000</w:t>
            </w:r>
          </w:p>
        </w:tc>
        <w:tc>
          <w:tcPr>
            <w:tcW w:w="8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w w:val="94"/>
              </w:rPr>
              <w:t>249,459,000</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w w:val="94"/>
              </w:rPr>
              <w:t>197,910,000</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w w:val="96"/>
              </w:rPr>
              <w:t>186,380,000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Average During Year</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234,374,000</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241,247,000</w:t>
            </w:r>
          </w:p>
        </w:tc>
        <w:tc>
          <w:tcPr>
            <w:tcW w:w="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226,525,000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194,808,000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195,987,000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Arial" w:cs="Arial" w:eastAsia="Arial" w:hAnsi="Arial"/>
                <w:sz w:val="16"/>
                <w:szCs w:val="16"/>
                <w:color w:val="auto"/>
              </w:rPr>
              <w:t>Total Headcount, As of December 31</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2,829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2,771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1150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(in thousands of dollars)</w:t>
      </w:r>
      <w:r>
        <w:rPr>
          <w:rFonts w:ascii="Arial" w:cs="Arial" w:eastAsia="Arial" w:hAnsi="Arial"/>
          <w:sz w:val="18"/>
          <w:szCs w:val="18"/>
          <w:b w:val="1"/>
          <w:bCs w:val="1"/>
          <w:color w:val="auto"/>
        </w:rPr>
        <w:t>:</w:t>
      </w:r>
    </w:p>
    <w:p>
      <w:pPr>
        <w:spacing w:after="0" w:line="54" w:lineRule="exact"/>
        <w:rPr>
          <w:sz w:val="20"/>
          <w:szCs w:val="20"/>
          <w:color w:val="auto"/>
        </w:rPr>
      </w:pPr>
    </w:p>
    <w:p>
      <w:pPr>
        <w:ind w:left="600" w:right="280" w:hanging="592"/>
        <w:spacing w:after="0" w:line="308" w:lineRule="auto"/>
        <w:tabs>
          <w:tab w:leader="none" w:pos="6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Net revenue and other operating expenses data for the years ended December 31, 2019 and 2018 are not comparable to the prior periods due to the adoption of the new revenue recognition guidance on January 1, 2018. See Note 4 of Notes to Consolidated Financial Statements.</w:t>
      </w:r>
    </w:p>
    <w:p>
      <w:pPr>
        <w:ind w:left="600" w:hanging="592"/>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Asset Management net revenue consists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2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1"/>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3"/>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01"/>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01"/>
              <w:spacing w:after="0" w:line="155" w:lineRule="exact"/>
              <w:rPr>
                <w:sz w:val="20"/>
                <w:szCs w:val="20"/>
                <w:color w:val="auto"/>
              </w:rPr>
            </w:pPr>
            <w:r>
              <w:rPr>
                <w:rFonts w:ascii="Arial" w:cs="Arial" w:eastAsia="Arial" w:hAnsi="Arial"/>
                <w:sz w:val="14"/>
                <w:szCs w:val="14"/>
                <w:b w:val="1"/>
                <w:bCs w:val="1"/>
                <w:color w:val="auto"/>
                <w:w w:val="89"/>
              </w:rPr>
              <w:t>2016</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01"/>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r>
      <w:tr>
        <w:trPr>
          <w:trHeight w:val="210"/>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Management Fees and Other</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1,216,115</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1,311,286</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1,210,016</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1,035,726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1,086,030</w:t>
            </w:r>
          </w:p>
        </w:tc>
        <w:tc>
          <w:tcPr>
            <w:tcW w:w="100" w:type="dxa"/>
            <w:vAlign w:val="bottom"/>
            <w:shd w:val="clear" w:color="auto" w:fill="CFF0FC"/>
          </w:tcPr>
          <w:p>
            <w:pPr>
              <w:spacing w:after="0"/>
              <w:rPr>
                <w:sz w:val="18"/>
                <w:szCs w:val="18"/>
                <w:color w:val="auto"/>
              </w:rPr>
            </w:pPr>
          </w:p>
        </w:tc>
      </w:tr>
      <w:tr>
        <w:trPr>
          <w:trHeight w:val="213"/>
        </w:trPr>
        <w:tc>
          <w:tcPr>
            <w:tcW w:w="52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Incentive Fees</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21,275</w:t>
            </w: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20,515</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45,804</w:t>
            </w:r>
          </w:p>
        </w:tc>
        <w:tc>
          <w:tcPr>
            <w:tcW w:w="2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15,590</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25,075</w:t>
            </w:r>
          </w:p>
        </w:tc>
        <w:tc>
          <w:tcPr>
            <w:tcW w:w="100" w:type="dxa"/>
            <w:vAlign w:val="bottom"/>
            <w:tcBorders>
              <w:bottom w:val="single" w:sz="8" w:color="CFF0FC"/>
            </w:tcBorders>
          </w:tcPr>
          <w:p>
            <w:pPr>
              <w:spacing w:after="0"/>
              <w:rPr>
                <w:sz w:val="18"/>
                <w:szCs w:val="18"/>
                <w:color w:val="auto"/>
              </w:rPr>
            </w:pPr>
          </w:p>
        </w:tc>
      </w:tr>
      <w:tr>
        <w:trPr>
          <w:trHeight w:val="210"/>
        </w:trPr>
        <w:tc>
          <w:tcPr>
            <w:tcW w:w="5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Asset Management Net Revenue</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1,237,390</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1,331,801</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1,255,820</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1,051,316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1,111,105</w:t>
            </w:r>
          </w:p>
        </w:tc>
        <w:tc>
          <w:tcPr>
            <w:tcW w:w="100" w:type="dxa"/>
            <w:vAlign w:val="bottom"/>
            <w:shd w:val="clear" w:color="auto" w:fill="CFF0FC"/>
          </w:tcPr>
          <w:p>
            <w:pPr>
              <w:spacing w:after="0"/>
              <w:rPr>
                <w:sz w:val="18"/>
                <w:szCs w:val="18"/>
                <w:color w:val="auto"/>
              </w:rPr>
            </w:pPr>
          </w:p>
        </w:tc>
      </w:tr>
      <w:tr>
        <w:trPr>
          <w:trHeight w:val="20"/>
        </w:trPr>
        <w:tc>
          <w:tcPr>
            <w:tcW w:w="52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left="600" w:hanging="59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“Corporate” includes interest expense (net of interest income) and investment income (losses) from certain investments.</w:t>
      </w:r>
    </w:p>
    <w:p>
      <w:pPr>
        <w:spacing w:after="0" w:line="49" w:lineRule="exact"/>
        <w:rPr>
          <w:rFonts w:ascii="Arial" w:cs="Arial" w:eastAsia="Arial" w:hAnsi="Arial"/>
          <w:sz w:val="18"/>
          <w:szCs w:val="18"/>
          <w:color w:val="auto"/>
        </w:rPr>
      </w:pPr>
    </w:p>
    <w:p>
      <w:pPr>
        <w:ind w:left="600" w:right="60" w:hanging="592"/>
        <w:spacing w:after="0" w:line="270" w:lineRule="auto"/>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Includes (i) in 2019, non-compensation costs of $6,922 relating to expenses associated with business realignment; $17,359 relating to expenses associated with the Enterprise Resource Planning system implementation; $4,711 of incremental rent expense relating to office space reorganization; $75,737 of certain distribution fees and reimbursable deal costs paid to third parties and bad debt expense, which represents fees that are deemed uncollectible; and $6,505 relating to the redemption of the remainder of the Company’s 4.25% senior notes maturing on November 14, 2020 (see Note 13 of Notes to Consolidated Financial Statements), (ii) in 2018, non-compensation costs of $27,495 relating to expenses associated with the Enterprise Resource Planning system implementation; $2,345 of incremental rent expense relating to office space reorganization; $120,990 of certain distribution fees and reimbursable deal costs paid to third parties and bad debt expense, which represents fees that are deemed uncollectible; $10,000 relating to expenses associated with an unconditional commitment to the Lazard Foundation; and $6,523 relating to the partial redemption of the Company’s 4.25% senior notes maturing on November 14, 2020 (see Note 13 of Notes to Consolidated Financial Statements), (iii) in 2017, non-compensation costs of $25,308 relating to expenses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ind w:left="592"/>
        <w:spacing w:after="0" w:line="259" w:lineRule="auto"/>
        <w:rPr>
          <w:sz w:val="20"/>
          <w:szCs w:val="20"/>
          <w:color w:val="auto"/>
        </w:rPr>
      </w:pPr>
      <w:r>
        <w:rPr>
          <w:rFonts w:ascii="Arial" w:cs="Arial" w:eastAsia="Arial" w:hAnsi="Arial"/>
          <w:sz w:val="18"/>
          <w:szCs w:val="18"/>
          <w:color w:val="auto"/>
        </w:rPr>
        <w:t>associated with the Enterprise Resource Planning system implementation; $11,354 of incremental rent expense and lease abandonment costs relating to office space reorganization, (iv) in 2016, non-compensation costs of $30,067 due to the change in fair value of the contingent consideration associated with the Edgewater business acquisition and (v) in 2015, non-compensation costs of $60,219 relating to the redemption of a significant portion of the Company’s 6.85% senior notes maturing on June 15, 2017.</w:t>
      </w:r>
    </w:p>
    <w:p>
      <w:pPr>
        <w:spacing w:after="0" w:line="11" w:lineRule="exact"/>
        <w:rPr>
          <w:sz w:val="20"/>
          <w:szCs w:val="20"/>
          <w:color w:val="auto"/>
        </w:rPr>
      </w:pPr>
    </w:p>
    <w:p>
      <w:pPr>
        <w:ind w:left="5612" w:right="1320" w:hanging="5612"/>
        <w:spacing w:after="0" w:line="763" w:lineRule="auto"/>
        <w:tabs>
          <w:tab w:leader="none" w:pos="59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the aggregate amount reflected in the Company’s consolidated statements of financial condition relating to senior debt.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-229870</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12"/>
          </w:cols>
          <w:pgMar w:left="248" w:top="125" w:right="339" w:bottom="1440" w:gutter="0" w:footer="0" w:header="0"/>
        </w:sectPr>
      </w:pPr>
    </w:p>
    <w:bookmarkStart w:id="35" w:name="page36"/>
    <w:bookmarkEnd w:id="35"/>
    <w:p>
      <w:pPr>
        <w:spacing w:after="0"/>
        <w:tabs>
          <w:tab w:leader="none" w:pos="13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380" w:firstLine="598"/>
        <w:spacing w:after="0" w:line="257" w:lineRule="auto"/>
        <w:rPr>
          <w:sz w:val="20"/>
          <w:szCs w:val="20"/>
          <w:color w:val="auto"/>
        </w:rPr>
      </w:pPr>
      <w:r>
        <w:rPr>
          <w:rFonts w:ascii="Arial" w:cs="Arial" w:eastAsia="Arial" w:hAnsi="Arial"/>
          <w:sz w:val="18"/>
          <w:szCs w:val="18"/>
          <w:i w:val="1"/>
          <w:iCs w:val="1"/>
          <w:color w:val="auto"/>
        </w:rPr>
        <w:t>The following discussion should be read in conjunction with Lazard Group’s consolidated financial statements and the related notes included elsewhere in this Annual Report on Form 10-K (this “Form 10-K”). This discussion contains forward-looking statements that are subject to known and unknown risks and uncertainties. Actual results and the timing of events may differ significantly from those expressed or implied in such forward-looking statements due to a number of factors, including those set forth in the sections entitled “Risk Factors” and “Special Note Regarding Forward-Looking Statements” and elsewhere in this Form 10-K.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121" w:lineRule="exact"/>
        <w:rPr>
          <w:sz w:val="20"/>
          <w:szCs w:val="20"/>
          <w:color w:val="auto"/>
        </w:rPr>
      </w:pPr>
    </w:p>
    <w:p>
      <w:pPr>
        <w:ind w:right="320" w:firstLine="598"/>
        <w:spacing w:after="0" w:line="259" w:lineRule="auto"/>
        <w:rPr>
          <w:sz w:val="20"/>
          <w:szCs w:val="20"/>
          <w:color w:val="auto"/>
        </w:rPr>
      </w:pPr>
      <w:r>
        <w:rPr>
          <w:rFonts w:ascii="Arial" w:cs="Arial" w:eastAsia="Arial" w:hAnsi="Arial"/>
          <w:sz w:val="18"/>
          <w:szCs w:val="18"/>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more than 40 cities and 25 countries across key business and financial centers in North America, Europe, Asia, Australia, and Central and South America.</w:t>
      </w:r>
    </w:p>
    <w:p>
      <w:pPr>
        <w:spacing w:after="0" w:line="187" w:lineRule="exact"/>
        <w:rPr>
          <w:sz w:val="20"/>
          <w:szCs w:val="20"/>
          <w:color w:val="auto"/>
        </w:rPr>
      </w:pPr>
    </w:p>
    <w:p>
      <w:pPr>
        <w:jc w:val="both"/>
        <w:ind w:right="60" w:firstLine="598"/>
        <w:spacing w:after="0" w:line="312" w:lineRule="auto"/>
        <w:rPr>
          <w:sz w:val="20"/>
          <w:szCs w:val="20"/>
          <w:color w:val="auto"/>
        </w:rPr>
      </w:pPr>
      <w:r>
        <w:rPr>
          <w:rFonts w:ascii="Arial" w:cs="Arial" w:eastAsia="Arial" w:hAnsi="Arial"/>
          <w:sz w:val="16"/>
          <w:szCs w:val="16"/>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147" w:lineRule="exact"/>
        <w:rPr>
          <w:sz w:val="20"/>
          <w:szCs w:val="20"/>
          <w:color w:val="auto"/>
        </w:rPr>
      </w:pPr>
    </w:p>
    <w:p>
      <w:pPr>
        <w:ind w:right="120" w:firstLine="598"/>
        <w:spacing w:after="0" w:line="302" w:lineRule="auto"/>
        <w:rPr>
          <w:sz w:val="20"/>
          <w:szCs w:val="20"/>
          <w:color w:val="auto"/>
        </w:rPr>
      </w:pPr>
      <w:r>
        <w:rPr>
          <w:rFonts w:ascii="Arial" w:cs="Arial" w:eastAsia="Arial" w:hAnsi="Arial"/>
          <w:sz w:val="16"/>
          <w:szCs w:val="16"/>
          <w:color w:val="auto"/>
        </w:rPr>
        <w:t>We operate in cyclical businesses across multiple geographies, industries and asset classes. In recent years, we have expanded our geographic reach, bolstered our industry expertise and continued to build in growth areas. Companies, government bodies and investors seek independent advice with a geographic perspective, deep understanding of capital structure, informed research and knowledge of global, regional and local economic conditions. We believe that our business model as an independent advisor will continue to create opportunities for us to attract new clients and key personnel.</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principal sources of revenue are derived from activities in the following business segments:</w:t>
      </w:r>
    </w:p>
    <w:p>
      <w:pPr>
        <w:spacing w:after="0" w:line="117" w:lineRule="exact"/>
        <w:rPr>
          <w:sz w:val="20"/>
          <w:szCs w:val="20"/>
          <w:color w:val="auto"/>
        </w:rPr>
      </w:pPr>
    </w:p>
    <w:p>
      <w:pPr>
        <w:ind w:left="1200" w:right="200" w:hanging="598"/>
        <w:spacing w:after="0" w:line="264" w:lineRule="auto"/>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capital advisory, restructurings, shareholder advisory, sovereign advisory, capital raising and other strategic advisory matters, and</w:t>
      </w:r>
    </w:p>
    <w:p>
      <w:pPr>
        <w:spacing w:after="0" w:line="73" w:lineRule="exact"/>
        <w:rPr>
          <w:rFonts w:ascii="Arial" w:cs="Arial" w:eastAsia="Arial" w:hAnsi="Arial"/>
          <w:sz w:val="18"/>
          <w:szCs w:val="18"/>
          <w:color w:val="auto"/>
        </w:rPr>
      </w:pPr>
    </w:p>
    <w:p>
      <w:pPr>
        <w:ind w:left="1200" w:right="460" w:hanging="598"/>
        <w:spacing w:after="0" w:line="286" w:lineRule="auto"/>
        <w:tabs>
          <w:tab w:leader="none" w:pos="12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Asset Management, which offers a broad range of global investment solutions and investment management services in equity and fixed income strategies, asset allocation strategies, alternative investments and private equity funds to corporations, public funds, sovereign entities, endowments and foundations, labor funds, financial intermediaries and private clients.</w:t>
      </w:r>
    </w:p>
    <w:p>
      <w:pPr>
        <w:spacing w:after="0" w:line="166"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deferred tax assets, outstanding indebtedness, certain contingent obligations, and assets and liabilities associated with Lazard Group’s Paris-based subsidiary, Lazard Frères Banque SA (“LFB”).</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consolidated net revenue was derived from the following segments:</w:t>
      </w:r>
    </w:p>
    <w:p>
      <w:pPr>
        <w:spacing w:after="0" w:line="298" w:lineRule="exact"/>
        <w:rPr>
          <w:sz w:val="20"/>
          <w:szCs w:val="20"/>
          <w:color w:val="auto"/>
        </w:rPr>
      </w:pPr>
    </w:p>
    <w:p>
      <w:pPr>
        <w:ind w:left="768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580" w:type="dxa"/>
        <w:tblCellMar>
          <w:top w:w="0" w:type="dxa"/>
          <w:left w:w="0" w:type="dxa"/>
          <w:bottom w:w="0" w:type="dxa"/>
          <w:right w:w="0" w:type="dxa"/>
        </w:tblCellMar>
      </w:tblPr>
      <w:tr>
        <w:trPr>
          <w:trHeight w:val="156"/>
        </w:trPr>
        <w:tc>
          <w:tcPr>
            <w:tcW w:w="5740" w:type="dxa"/>
            <w:vAlign w:val="bottom"/>
            <w:tcBorders>
              <w:bottom w:val="single" w:sz="8" w:color="CFF0FC"/>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CFF0FC"/>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Financial Advisory</w:t>
            </w:r>
          </w:p>
        </w:tc>
        <w:tc>
          <w:tcPr>
            <w:tcW w:w="8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53%</w:t>
            </w: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55%</w:t>
            </w: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rPr>
              <w:t>Asset Management</w:t>
            </w:r>
          </w:p>
        </w:tc>
        <w:tc>
          <w:tcPr>
            <w:tcW w:w="380" w:type="dxa"/>
            <w:vAlign w:val="bottom"/>
          </w:tcPr>
          <w:p>
            <w:pPr>
              <w:jc w:val="right"/>
              <w:spacing w:after="0"/>
              <w:rPr>
                <w:sz w:val="20"/>
                <w:szCs w:val="20"/>
                <w:color w:val="auto"/>
              </w:rPr>
            </w:pPr>
            <w:r>
              <w:rPr>
                <w:rFonts w:ascii="Arial" w:cs="Arial" w:eastAsia="Arial" w:hAnsi="Arial"/>
                <w:sz w:val="18"/>
                <w:szCs w:val="18"/>
                <w:color w:val="auto"/>
              </w:rPr>
              <w:t>48</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w:t>
            </w: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Corporate</w:t>
            </w:r>
          </w:p>
        </w:tc>
        <w:tc>
          <w:tcPr>
            <w:tcW w:w="8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(1)</w:t>
            </w:r>
          </w:p>
        </w:tc>
        <w:tc>
          <w:tcPr>
            <w:tcW w:w="15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(2)</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4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firstLine="598"/>
        <w:spacing w:after="0" w:line="264" w:lineRule="auto"/>
        <w:rPr>
          <w:sz w:val="20"/>
          <w:szCs w:val="20"/>
          <w:color w:val="auto"/>
        </w:rPr>
      </w:pPr>
      <w:r>
        <w:rPr>
          <w:rFonts w:ascii="Arial" w:cs="Arial" w:eastAsia="Arial" w:hAnsi="Arial"/>
          <w:sz w:val="18"/>
          <w:szCs w:val="18"/>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historically, investments through (i)</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6" w:name="page37"/>
    <w:bookmarkEnd w:id="36"/>
    <w:p>
      <w:pPr>
        <w:ind w:right="100"/>
        <w:spacing w:after="0" w:line="277" w:lineRule="auto"/>
        <w:rPr>
          <w:sz w:val="20"/>
          <w:szCs w:val="20"/>
          <w:color w:val="auto"/>
        </w:rPr>
      </w:pPr>
      <w:r>
        <w:rPr>
          <w:rFonts w:ascii="Arial" w:cs="Arial" w:eastAsia="Arial" w:hAnsi="Arial"/>
          <w:sz w:val="18"/>
          <w:szCs w:val="18"/>
          <w:color w:val="auto"/>
        </w:rPr>
        <w:t>Edgewater, our Chicago-based private equity firm and (ii) a fund targeting significant noncontrolling-stake investments in established private companies. We also make investments to seed our Asset Management strategies.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121" w:lineRule="exact"/>
        <w:rPr>
          <w:sz w:val="20"/>
          <w:szCs w:val="20"/>
          <w:color w:val="auto"/>
        </w:rPr>
      </w:pPr>
    </w:p>
    <w:p>
      <w:pPr>
        <w:ind w:right="160" w:firstLine="598"/>
        <w:spacing w:after="0" w:line="297" w:lineRule="auto"/>
        <w:rPr>
          <w:sz w:val="20"/>
          <w:szCs w:val="20"/>
          <w:color w:val="auto"/>
        </w:rPr>
      </w:pPr>
      <w:r>
        <w:rPr>
          <w:rFonts w:ascii="Arial" w:cs="Arial" w:eastAsia="Arial" w:hAnsi="Arial"/>
          <w:sz w:val="16"/>
          <w:szCs w:val="16"/>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primarily dependent on the successful completion of merger, acquisition, restructuring, capital raising or similar transactions, and our Asset Management revenues are primarily driven by the levels of assets under management,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158" w:lineRule="exact"/>
        <w:rPr>
          <w:sz w:val="20"/>
          <w:szCs w:val="20"/>
          <w:color w:val="auto"/>
        </w:rPr>
      </w:pPr>
    </w:p>
    <w:p>
      <w:pPr>
        <w:ind w:right="260" w:firstLine="598"/>
        <w:spacing w:after="0" w:line="342" w:lineRule="auto"/>
        <w:rPr>
          <w:sz w:val="20"/>
          <w:szCs w:val="20"/>
          <w:color w:val="auto"/>
        </w:rPr>
      </w:pPr>
      <w:r>
        <w:rPr>
          <w:rFonts w:ascii="Arial" w:cs="Arial" w:eastAsia="Arial" w:hAnsi="Arial"/>
          <w:sz w:val="16"/>
          <w:szCs w:val="16"/>
          <w:color w:val="auto"/>
        </w:rPr>
        <w:t>On an ongoing basis, regional, macroeconomic and geopolitical factors, including trade policy and regional tax and regulatory reform, may impact our business. Overall, the global macroeconomic environment remains favorable, equity market fundamentals are strong and credit is widely available.</w:t>
      </w:r>
    </w:p>
    <w:p>
      <w:pPr>
        <w:spacing w:after="0" w:line="12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outlook with respect to our Financial Advisory and Asset Management businesses is described below.</w:t>
      </w:r>
    </w:p>
    <w:p>
      <w:pPr>
        <w:spacing w:after="0" w:line="117" w:lineRule="exact"/>
        <w:rPr>
          <w:sz w:val="20"/>
          <w:szCs w:val="20"/>
          <w:color w:val="auto"/>
        </w:rPr>
      </w:pPr>
    </w:p>
    <w:p>
      <w:pPr>
        <w:ind w:left="1200" w:right="220" w:hanging="598"/>
        <w:spacing w:after="0" w:line="290" w:lineRule="auto"/>
        <w:tabs>
          <w:tab w:leader="none" w:pos="1200"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Financial Advisory</w:t>
      </w:r>
      <w:r>
        <w:rPr>
          <w:rFonts w:ascii="Arial" w:cs="Arial" w:eastAsia="Arial" w:hAnsi="Arial"/>
          <w:sz w:val="16"/>
          <w:szCs w:val="16"/>
          <w:color w:val="auto"/>
        </w:rPr>
        <w:t>—The fundamentals for continued M&amp;A activity and recent trends such as technological disruption and shareholder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activism, which can be a catalyst for global strategic activity, appear to remain in place. We believe our Financial Advisory business is in a strong competitive position as demand continues for expert, independent strategic advice that can be levered across geographies and our range of capabilities. The global scale and breadth of our Financial Advisory business allows us to advise on a wide range of strategic and restructuring transactions across a variety of industries. In addition, we believe our businesses throughout North America, Europe and the emerging markets position us for growth in these markets, while enhancing our relationships with, and the services that we can provide to, clients in other economies. We continue to invest in our Financial Advisory business by selectively hiring talented senior professionals and continuing to focus on our M&amp;A and other advisory services.</w:t>
      </w:r>
    </w:p>
    <w:p>
      <w:pPr>
        <w:spacing w:after="0" w:line="58" w:lineRule="exact"/>
        <w:rPr>
          <w:rFonts w:ascii="Arial" w:cs="Arial" w:eastAsia="Arial" w:hAnsi="Arial"/>
          <w:sz w:val="16"/>
          <w:szCs w:val="16"/>
          <w:color w:val="auto"/>
        </w:rPr>
      </w:pPr>
    </w:p>
    <w:p>
      <w:pPr>
        <w:ind w:left="1200" w:right="20" w:hanging="598"/>
        <w:spacing w:after="0" w:line="270" w:lineRule="auto"/>
        <w:tabs>
          <w:tab w:leader="none" w:pos="1200" w:val="left"/>
        </w:tabs>
        <w:numPr>
          <w:ilvl w:val="0"/>
          <w:numId w:val="24"/>
        </w:numPr>
        <w:rPr>
          <w:rFonts w:ascii="Arial" w:cs="Arial" w:eastAsia="Arial" w:hAnsi="Arial"/>
          <w:sz w:val="17"/>
          <w:szCs w:val="17"/>
          <w:color w:val="auto"/>
        </w:rPr>
      </w:pPr>
      <w:r>
        <w:rPr>
          <w:rFonts w:ascii="Arial" w:cs="Arial" w:eastAsia="Arial" w:hAnsi="Arial"/>
          <w:sz w:val="17"/>
          <w:szCs w:val="17"/>
          <w:b w:val="1"/>
          <w:bCs w:val="1"/>
          <w:i w:val="1"/>
          <w:iCs w:val="1"/>
          <w:color w:val="auto"/>
        </w:rPr>
        <w:t>Asset Management</w:t>
      </w:r>
      <w:r>
        <w:rPr>
          <w:rFonts w:ascii="Arial" w:cs="Arial" w:eastAsia="Arial" w:hAnsi="Arial"/>
          <w:sz w:val="17"/>
          <w:szCs w:val="17"/>
          <w:color w:val="auto"/>
        </w:rPr>
        <w:t>—In the short to intermediate term, we expect most investor demand will come through financial institutions, and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defined benefit and defined contribution plans in developed economies because of their sheer scope and size. Over the longer term, and depending upon local market conditions, we would expect an increasing share of our AUM to come from the developing economies around the globe, as their retirement systems evolve and individual wealth is increasingly deployed in the financial markets. Given our diversified investment platform and our ability to provide investment solutions for a global mix of clients, we believe we are positioned to benefit from opportunities across the asset management industry. We are continually developing and seeding new investment strategies that extend our existing platforms and assessing potential product acquisitions or other inorganic growth opportunities. Recent examples of growth initiatives include the following investment strategies: various Quantitative Equity strategies, explainable AI capabilities, a U.S. Systematic Equity strategy, and sustainable investment strategies.</w:t>
      </w:r>
    </w:p>
    <w:p>
      <w:pPr>
        <w:spacing w:after="0" w:line="182"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We operate in a very competitive and rapidly changing environment. New risks and uncertainties emerge continuously,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Item 1A, “Risk Factors” in this Form 10-K. Furthermore, net income and revenue in any period may not be indicative of full-year results or the results of any other period and may vary significantly from year to year and quarter to quarter.</w:t>
      </w:r>
    </w:p>
    <w:p>
      <w:pPr>
        <w:spacing w:after="0" w:line="188" w:lineRule="exact"/>
        <w:rPr>
          <w:sz w:val="20"/>
          <w:szCs w:val="20"/>
          <w:color w:val="auto"/>
        </w:rPr>
      </w:pPr>
    </w:p>
    <w:p>
      <w:pPr>
        <w:ind w:right="220" w:firstLine="598"/>
        <w:spacing w:after="0" w:line="286" w:lineRule="auto"/>
        <w:rPr>
          <w:sz w:val="20"/>
          <w:szCs w:val="20"/>
          <w:color w:val="auto"/>
        </w:rPr>
      </w:pPr>
      <w:r>
        <w:rPr>
          <w:rFonts w:ascii="Arial" w:cs="Arial" w:eastAsia="Arial" w:hAnsi="Arial"/>
          <w:sz w:val="17"/>
          <w:szCs w:val="17"/>
          <w:color w:val="auto"/>
        </w:rPr>
        <w:t>Overall, we continue to focus on the development of our business, including the generation of stable revenue growth, earnings growth and member returns, the evaluation of potential growth opportunities, the investment in new technology to support the development of existing and new business opportunities, the prudent management of our costs and expenses, the efficient use of our assets and the return of equity to our members.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ind w:left="600"/>
        <w:spacing w:after="0"/>
        <w:rPr>
          <w:sz w:val="20"/>
          <w:szCs w:val="20"/>
          <w:color w:val="auto"/>
        </w:rPr>
      </w:pPr>
      <w:r>
        <w:rPr>
          <w:rFonts w:ascii="Arial" w:cs="Arial" w:eastAsia="Arial" w:hAnsi="Arial"/>
          <w:sz w:val="18"/>
          <w:szCs w:val="18"/>
          <w:color w:val="auto"/>
        </w:rPr>
        <w:t>Certain market data with respect to our Financial Advisory and Asset Management businesses is included below.</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117"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As reflected in the following table, which sets forth global M&amp;A industry statistics, the value and number of all completed transactions, including the subset of completed transactions involving values greater than $500 million, decreased in 2019 as compared to 2018. With respect to announced M&amp;A transactions, the value and number of all transactions, including the subset of announced transactions involving values greater than $500 million, are flat as compared to 2018, apart from the number of announced transactions involving values greater than $500 million, which decreased in 2019 as compared to 2018.</w:t>
      </w:r>
    </w:p>
    <w:p>
      <w:pPr>
        <w:spacing w:after="0" w:line="26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b w:val="1"/>
                <w:bCs w:val="1"/>
                <w:color w:val="auto"/>
                <w:w w:val="93"/>
              </w:rPr>
              <w:t>Year Ended December 31,</w:t>
            </w:r>
          </w:p>
        </w:tc>
        <w:tc>
          <w:tcPr>
            <w:tcW w:w="11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3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1"/>
                <w:szCs w:val="11"/>
                <w:color w:val="auto"/>
              </w:rPr>
            </w:pPr>
          </w:p>
        </w:tc>
        <w:tc>
          <w:tcPr>
            <w:tcW w:w="1180" w:type="dxa"/>
            <w:vAlign w:val="bottom"/>
            <w:vMerge w:val="restart"/>
          </w:tcPr>
          <w:p>
            <w:pPr>
              <w:jc w:val="right"/>
              <w:ind w:right="674"/>
              <w:spacing w:after="0"/>
              <w:rPr>
                <w:sz w:val="20"/>
                <w:szCs w:val="20"/>
                <w:color w:val="auto"/>
              </w:rPr>
            </w:pPr>
            <w:r>
              <w:rPr>
                <w:rFonts w:ascii="Arial" w:cs="Arial" w:eastAsia="Arial" w:hAnsi="Arial"/>
                <w:sz w:val="14"/>
                <w:szCs w:val="14"/>
                <w:b w:val="1"/>
                <w:bCs w:val="1"/>
                <w:color w:val="auto"/>
              </w:rPr>
              <w:t>2018</w:t>
            </w:r>
          </w:p>
        </w:tc>
        <w:tc>
          <w:tcPr>
            <w:tcW w:w="1120" w:type="dxa"/>
            <w:vAlign w:val="bottom"/>
          </w:tcPr>
          <w:p>
            <w:pPr>
              <w:jc w:val="right"/>
              <w:ind w:right="454"/>
              <w:spacing w:after="0" w:line="133"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Incr / (Decr)</w:t>
            </w:r>
          </w:p>
        </w:tc>
        <w:tc>
          <w:tcPr>
            <w:tcW w:w="0" w:type="dxa"/>
            <w:vAlign w:val="bottom"/>
          </w:tcPr>
          <w:p>
            <w:pPr>
              <w:spacing w:after="0"/>
              <w:rPr>
                <w:sz w:val="1"/>
                <w:szCs w:val="1"/>
                <w:color w:val="auto"/>
              </w:rPr>
            </w:pPr>
          </w:p>
        </w:tc>
      </w:tr>
      <w:tr>
        <w:trPr>
          <w:trHeight w:val="156"/>
        </w:trPr>
        <w:tc>
          <w:tcPr>
            <w:tcW w:w="43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w w:val="91"/>
              </w:rPr>
              <w:t>in billions)</w:t>
            </w:r>
          </w:p>
        </w:tc>
        <w:tc>
          <w:tcPr>
            <w:tcW w:w="11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Completed M&amp;A Transactions:</w:t>
            </w:r>
          </w:p>
        </w:tc>
        <w:tc>
          <w:tcPr>
            <w:tcW w:w="1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40"/>
              <w:spacing w:after="0"/>
              <w:rPr>
                <w:sz w:val="20"/>
                <w:szCs w:val="20"/>
                <w:color w:val="auto"/>
              </w:rPr>
            </w:pPr>
            <w:r>
              <w:rPr>
                <w:rFonts w:ascii="Arial" w:cs="Arial" w:eastAsia="Arial" w:hAnsi="Arial"/>
                <w:sz w:val="18"/>
                <w:szCs w:val="18"/>
                <w:color w:val="auto"/>
              </w:rPr>
              <w:t>All deals:</w:t>
            </w:r>
          </w:p>
        </w:tc>
        <w:tc>
          <w:tcPr>
            <w:tcW w:w="1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Value</w:t>
            </w:r>
          </w:p>
        </w:tc>
        <w:tc>
          <w:tcPr>
            <w:tcW w:w="1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3,656</w:t>
            </w:r>
          </w:p>
        </w:tc>
        <w:tc>
          <w:tcPr>
            <w:tcW w:w="56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234"/>
              <w:spacing w:after="0"/>
              <w:rPr>
                <w:sz w:val="20"/>
                <w:szCs w:val="20"/>
                <w:color w:val="auto"/>
              </w:rPr>
            </w:pPr>
            <w:r>
              <w:rPr>
                <w:rFonts w:ascii="Arial" w:cs="Arial" w:eastAsia="Arial" w:hAnsi="Arial"/>
                <w:sz w:val="18"/>
                <w:szCs w:val="18"/>
                <w:color w:val="auto"/>
              </w:rPr>
              <w:t>4,298</w:t>
            </w: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4300" w:type="dxa"/>
            <w:vAlign w:val="bottom"/>
          </w:tcPr>
          <w:p>
            <w:pPr>
              <w:ind w:left="500"/>
              <w:spacing w:after="0"/>
              <w:rPr>
                <w:sz w:val="20"/>
                <w:szCs w:val="20"/>
                <w:color w:val="auto"/>
              </w:rPr>
            </w:pPr>
            <w:r>
              <w:rPr>
                <w:rFonts w:ascii="Arial" w:cs="Arial" w:eastAsia="Arial" w:hAnsi="Arial"/>
                <w:sz w:val="18"/>
                <w:szCs w:val="18"/>
                <w:color w:val="auto"/>
              </w:rPr>
              <w:t>Number</w:t>
            </w:r>
          </w:p>
        </w:tc>
        <w:tc>
          <w:tcPr>
            <w:tcW w:w="1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34,422</w:t>
            </w:r>
          </w:p>
        </w:tc>
        <w:tc>
          <w:tcPr>
            <w:tcW w:w="560" w:type="dxa"/>
            <w:vAlign w:val="bottom"/>
          </w:tcPr>
          <w:p>
            <w:pPr>
              <w:spacing w:after="0"/>
              <w:rPr>
                <w:sz w:val="19"/>
                <w:szCs w:val="19"/>
                <w:color w:val="auto"/>
              </w:rPr>
            </w:pPr>
          </w:p>
        </w:tc>
        <w:tc>
          <w:tcPr>
            <w:tcW w:w="1180" w:type="dxa"/>
            <w:vAlign w:val="bottom"/>
          </w:tcPr>
          <w:p>
            <w:pPr>
              <w:jc w:val="right"/>
              <w:ind w:right="234"/>
              <w:spacing w:after="0"/>
              <w:rPr>
                <w:sz w:val="20"/>
                <w:szCs w:val="20"/>
                <w:color w:val="auto"/>
              </w:rPr>
            </w:pPr>
            <w:r>
              <w:rPr>
                <w:rFonts w:ascii="Arial" w:cs="Arial" w:eastAsia="Arial" w:hAnsi="Arial"/>
                <w:sz w:val="18"/>
                <w:szCs w:val="18"/>
                <w:color w:val="auto"/>
              </w:rPr>
              <w:t>35,755</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Deals Greater than $500 million:</w:t>
            </w:r>
          </w:p>
        </w:tc>
        <w:tc>
          <w:tcPr>
            <w:tcW w:w="1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500"/>
              <w:spacing w:after="0"/>
              <w:rPr>
                <w:sz w:val="20"/>
                <w:szCs w:val="20"/>
                <w:color w:val="auto"/>
              </w:rPr>
            </w:pPr>
            <w:r>
              <w:rPr>
                <w:rFonts w:ascii="Arial" w:cs="Arial" w:eastAsia="Arial" w:hAnsi="Arial"/>
                <w:sz w:val="18"/>
                <w:szCs w:val="18"/>
                <w:color w:val="auto"/>
              </w:rPr>
              <w:t>Value</w:t>
            </w: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2,852</w:t>
            </w:r>
          </w:p>
        </w:tc>
        <w:tc>
          <w:tcPr>
            <w:tcW w:w="56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4"/>
              <w:spacing w:after="0"/>
              <w:rPr>
                <w:sz w:val="20"/>
                <w:szCs w:val="20"/>
                <w:color w:val="auto"/>
              </w:rPr>
            </w:pPr>
            <w:r>
              <w:rPr>
                <w:rFonts w:ascii="Arial" w:cs="Arial" w:eastAsia="Arial" w:hAnsi="Arial"/>
                <w:sz w:val="18"/>
                <w:szCs w:val="18"/>
                <w:color w:val="auto"/>
              </w:rPr>
              <w:t>3,396</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Number</w:t>
            </w:r>
          </w:p>
        </w:tc>
        <w:tc>
          <w:tcPr>
            <w:tcW w:w="1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w:t>
            </w:r>
          </w:p>
        </w:tc>
        <w:tc>
          <w:tcPr>
            <w:tcW w:w="5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234"/>
              <w:spacing w:after="0"/>
              <w:rPr>
                <w:sz w:val="20"/>
                <w:szCs w:val="20"/>
                <w:color w:val="auto"/>
              </w:rPr>
            </w:pPr>
            <w:r>
              <w:rPr>
                <w:rFonts w:ascii="Arial" w:cs="Arial" w:eastAsia="Arial" w:hAnsi="Arial"/>
                <w:sz w:val="18"/>
                <w:szCs w:val="18"/>
                <w:color w:val="auto"/>
              </w:rPr>
              <w:t>1,320</w:t>
            </w: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1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All deals:</w:t>
            </w:r>
          </w:p>
        </w:tc>
        <w:tc>
          <w:tcPr>
            <w:tcW w:w="1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500"/>
              <w:spacing w:after="0"/>
              <w:rPr>
                <w:sz w:val="20"/>
                <w:szCs w:val="20"/>
                <w:color w:val="auto"/>
              </w:rPr>
            </w:pPr>
            <w:r>
              <w:rPr>
                <w:rFonts w:ascii="Arial" w:cs="Arial" w:eastAsia="Arial" w:hAnsi="Arial"/>
                <w:sz w:val="18"/>
                <w:szCs w:val="18"/>
                <w:color w:val="auto"/>
              </w:rPr>
              <w:t>Value</w:t>
            </w: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4,094</w:t>
            </w:r>
          </w:p>
        </w:tc>
        <w:tc>
          <w:tcPr>
            <w:tcW w:w="56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4"/>
              <w:spacing w:after="0"/>
              <w:rPr>
                <w:sz w:val="20"/>
                <w:szCs w:val="20"/>
                <w:color w:val="auto"/>
              </w:rPr>
            </w:pPr>
            <w:r>
              <w:rPr>
                <w:rFonts w:ascii="Arial" w:cs="Arial" w:eastAsia="Arial" w:hAnsi="Arial"/>
                <w:sz w:val="18"/>
                <w:szCs w:val="18"/>
                <w:color w:val="auto"/>
              </w:rPr>
              <w:t>4,114</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Number</w:t>
            </w:r>
          </w:p>
        </w:tc>
        <w:tc>
          <w:tcPr>
            <w:tcW w:w="1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35,299</w:t>
            </w:r>
          </w:p>
        </w:tc>
        <w:tc>
          <w:tcPr>
            <w:tcW w:w="5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234"/>
              <w:spacing w:after="0"/>
              <w:rPr>
                <w:sz w:val="20"/>
                <w:szCs w:val="20"/>
                <w:color w:val="auto"/>
              </w:rPr>
            </w:pPr>
            <w:r>
              <w:rPr>
                <w:rFonts w:ascii="Arial" w:cs="Arial" w:eastAsia="Arial" w:hAnsi="Arial"/>
                <w:sz w:val="18"/>
                <w:szCs w:val="18"/>
                <w:color w:val="auto"/>
              </w:rPr>
              <w:t>35,797</w:t>
            </w: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300" w:type="dxa"/>
            <w:vAlign w:val="bottom"/>
          </w:tcPr>
          <w:p>
            <w:pPr>
              <w:ind w:left="240"/>
              <w:spacing w:after="0"/>
              <w:rPr>
                <w:sz w:val="20"/>
                <w:szCs w:val="20"/>
                <w:color w:val="auto"/>
              </w:rPr>
            </w:pPr>
            <w:r>
              <w:rPr>
                <w:rFonts w:ascii="Arial" w:cs="Arial" w:eastAsia="Arial" w:hAnsi="Arial"/>
                <w:sz w:val="18"/>
                <w:szCs w:val="18"/>
                <w:color w:val="auto"/>
              </w:rPr>
              <w:t>Deals Greater than $500 million:</w:t>
            </w:r>
          </w:p>
        </w:tc>
        <w:tc>
          <w:tcPr>
            <w:tcW w:w="1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Value</w:t>
            </w:r>
          </w:p>
        </w:tc>
        <w:tc>
          <w:tcPr>
            <w:tcW w:w="1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3,236</w:t>
            </w:r>
          </w:p>
        </w:tc>
        <w:tc>
          <w:tcPr>
            <w:tcW w:w="56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234"/>
              <w:spacing w:after="0"/>
              <w:rPr>
                <w:sz w:val="20"/>
                <w:szCs w:val="20"/>
                <w:color w:val="auto"/>
              </w:rPr>
            </w:pPr>
            <w:r>
              <w:rPr>
                <w:rFonts w:ascii="Arial" w:cs="Arial" w:eastAsia="Arial" w:hAnsi="Arial"/>
                <w:sz w:val="18"/>
                <w:szCs w:val="18"/>
                <w:color w:val="auto"/>
              </w:rPr>
              <w:t>3,203</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300" w:type="dxa"/>
            <w:vAlign w:val="bottom"/>
          </w:tcPr>
          <w:p>
            <w:pPr>
              <w:ind w:left="500"/>
              <w:spacing w:after="0"/>
              <w:rPr>
                <w:sz w:val="20"/>
                <w:szCs w:val="20"/>
                <w:color w:val="auto"/>
              </w:rPr>
            </w:pPr>
            <w:r>
              <w:rPr>
                <w:rFonts w:ascii="Arial" w:cs="Arial" w:eastAsia="Arial" w:hAnsi="Arial"/>
                <w:sz w:val="18"/>
                <w:szCs w:val="18"/>
                <w:color w:val="auto"/>
              </w:rPr>
              <w:t>Number</w:t>
            </w:r>
          </w:p>
        </w:tc>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1,222</w:t>
            </w:r>
          </w:p>
        </w:tc>
        <w:tc>
          <w:tcPr>
            <w:tcW w:w="560" w:type="dxa"/>
            <w:vAlign w:val="bottom"/>
          </w:tcPr>
          <w:p>
            <w:pPr>
              <w:spacing w:after="0"/>
              <w:rPr>
                <w:sz w:val="20"/>
                <w:szCs w:val="20"/>
                <w:color w:val="auto"/>
              </w:rPr>
            </w:pPr>
          </w:p>
        </w:tc>
        <w:tc>
          <w:tcPr>
            <w:tcW w:w="1180" w:type="dxa"/>
            <w:vAlign w:val="bottom"/>
          </w:tcPr>
          <w:p>
            <w:pPr>
              <w:jc w:val="right"/>
              <w:ind w:right="234"/>
              <w:spacing w:after="0"/>
              <w:rPr>
                <w:sz w:val="20"/>
                <w:szCs w:val="20"/>
                <w:color w:val="auto"/>
              </w:rPr>
            </w:pPr>
            <w:r>
              <w:rPr>
                <w:rFonts w:ascii="Arial" w:cs="Arial" w:eastAsia="Arial" w:hAnsi="Arial"/>
                <w:sz w:val="18"/>
                <w:szCs w:val="18"/>
                <w:color w:val="auto"/>
              </w:rPr>
              <w:t>1,347</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11150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Source: Dealogic as of January 3, 2020.</w:t>
      </w:r>
    </w:p>
    <w:p>
      <w:pPr>
        <w:spacing w:after="0" w:line="225"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Global restructuring activity during 2019, as measured by the number of corporate defaults, increased as compared to 2018. The number of defaulting issuers increased to 101 in 2019, according to Moody’s Investors Service, Inc., as compared to 79 in 2018.</w:t>
      </w:r>
    </w:p>
    <w:p>
      <w:pPr>
        <w:spacing w:after="0" w:line="170"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Net revenue trends in Financial Advisory are generally correlated to the level of completed industry-wide M&amp;A transactions and restructuring transactions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non-public or sovereign advisory assignments.</w:t>
      </w:r>
    </w:p>
    <w:p>
      <w:pPr>
        <w:spacing w:after="0" w:line="28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117"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Equity market indices for major markets at December 31, 2019 generally increased as compared to such indices at December 31, 2018. Equity market indices for major markets at December 31, 2018 generally decreased as compared to such indices at December 31, 2017.</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8" w:name="page39"/>
    <w:bookmarkEnd w:id="38"/>
    <w:p>
      <w:pPr>
        <w:ind w:right="480" w:firstLine="598"/>
        <w:spacing w:after="0" w:line="277" w:lineRule="auto"/>
        <w:rPr>
          <w:sz w:val="20"/>
          <w:szCs w:val="20"/>
          <w:color w:val="auto"/>
        </w:rPr>
      </w:pPr>
      <w:r>
        <w:rPr>
          <w:rFonts w:ascii="Arial" w:cs="Arial" w:eastAsia="Arial" w:hAnsi="Arial"/>
          <w:sz w:val="18"/>
          <w:szCs w:val="18"/>
          <w:color w:val="auto"/>
        </w:rPr>
        <w:t>The percentage change in major equity market indices (i) at December 31, 2019, as compared to such indices at December 31, 2018, and (ii) at December 31, 2018, as compared to such indices at December 31, 2017, is shown in the table below.</w:t>
      </w:r>
    </w:p>
    <w:p>
      <w:pPr>
        <w:spacing w:after="0" w:line="176" w:lineRule="exact"/>
        <w:rPr>
          <w:sz w:val="20"/>
          <w:szCs w:val="20"/>
          <w:color w:val="auto"/>
        </w:rPr>
      </w:pPr>
    </w:p>
    <w:p>
      <w:pPr>
        <w:jc w:val="center"/>
        <w:ind w:left="5600"/>
        <w:spacing w:after="0"/>
        <w:rPr>
          <w:sz w:val="20"/>
          <w:szCs w:val="20"/>
          <w:color w:val="auto"/>
        </w:rPr>
      </w:pPr>
      <w:r>
        <w:rPr>
          <w:rFonts w:ascii="Arial" w:cs="Arial" w:eastAsia="Arial" w:hAnsi="Arial"/>
          <w:sz w:val="14"/>
          <w:szCs w:val="14"/>
          <w:b w:val="1"/>
          <w:bCs w:val="1"/>
          <w:color w:val="auto"/>
        </w:rPr>
        <w:t>Percentage Changes</w:t>
      </w:r>
    </w:p>
    <w:p>
      <w:pPr>
        <w:spacing w:after="0" w:line="4" w:lineRule="exact"/>
        <w:rPr>
          <w:sz w:val="20"/>
          <w:szCs w:val="20"/>
          <w:color w:val="auto"/>
        </w:rPr>
      </w:pPr>
    </w:p>
    <w:p>
      <w:pPr>
        <w:jc w:val="center"/>
        <w:ind w:left="56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-3175</wp:posOffset>
            </wp:positionV>
            <wp:extent cx="26587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4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860" w:type="dxa"/>
            <w:vAlign w:val="bottom"/>
            <w:tcBorders>
              <w:bottom w:val="single" w:sz="8" w:color="CFF0FC"/>
            </w:tcBorders>
          </w:tcPr>
          <w:p>
            <w:pPr>
              <w:spacing w:after="0"/>
              <w:rPr>
                <w:sz w:val="14"/>
                <w:szCs w:val="14"/>
                <w:color w:val="auto"/>
              </w:rPr>
            </w:pPr>
          </w:p>
        </w:tc>
        <w:tc>
          <w:tcPr>
            <w:tcW w:w="148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2019 vs. 2018</w:t>
            </w:r>
          </w:p>
        </w:tc>
        <w:tc>
          <w:tcPr>
            <w:tcW w:w="360" w:type="dxa"/>
            <w:vAlign w:val="bottom"/>
            <w:tcBorders>
              <w:bottom w:val="single" w:sz="8" w:color="auto"/>
            </w:tcBorders>
          </w:tcPr>
          <w:p>
            <w:pPr>
              <w:spacing w:after="0"/>
              <w:rPr>
                <w:sz w:val="14"/>
                <w:szCs w:val="14"/>
                <w:color w:val="auto"/>
              </w:rPr>
            </w:pPr>
          </w:p>
        </w:tc>
        <w:tc>
          <w:tcPr>
            <w:tcW w:w="580" w:type="dxa"/>
            <w:vAlign w:val="bottom"/>
            <w:tcBorders>
              <w:bottom w:val="single" w:sz="8" w:color="CFF0FC"/>
            </w:tcBorders>
          </w:tcPr>
          <w:p>
            <w:pPr>
              <w:spacing w:after="0"/>
              <w:rPr>
                <w:sz w:val="14"/>
                <w:szCs w:val="14"/>
                <w:color w:val="auto"/>
              </w:rPr>
            </w:pPr>
          </w:p>
        </w:tc>
        <w:tc>
          <w:tcPr>
            <w:tcW w:w="176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2018 vs. 2017</w:t>
            </w:r>
          </w:p>
        </w:tc>
        <w:tc>
          <w:tcPr>
            <w:tcW w:w="240" w:type="dxa"/>
            <w:vAlign w:val="bottom"/>
            <w:tcBorders>
              <w:bottom w:val="single" w:sz="8" w:color="CFF0FC"/>
            </w:tcBorders>
          </w:tcPr>
          <w:p>
            <w:pPr>
              <w:spacing w:after="0"/>
              <w:rPr>
                <w:sz w:val="14"/>
                <w:szCs w:val="14"/>
                <w:color w:val="auto"/>
              </w:rPr>
            </w:pPr>
          </w:p>
        </w:tc>
      </w:tr>
      <w:tr>
        <w:trPr>
          <w:trHeight w:val="223"/>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MSCI World Index</w:t>
            </w:r>
          </w:p>
        </w:tc>
        <w:tc>
          <w:tcPr>
            <w:tcW w:w="14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28%</w:t>
            </w:r>
          </w:p>
        </w:tc>
        <w:tc>
          <w:tcPr>
            <w:tcW w:w="2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r>
      <w:tr>
        <w:trPr>
          <w:trHeight w:val="230"/>
        </w:trPr>
        <w:tc>
          <w:tcPr>
            <w:tcW w:w="7340" w:type="dxa"/>
            <w:vAlign w:val="bottom"/>
            <w:gridSpan w:val="2"/>
          </w:tcPr>
          <w:p>
            <w:pPr>
              <w:spacing w:after="0"/>
              <w:rPr>
                <w:sz w:val="20"/>
                <w:szCs w:val="20"/>
                <w:color w:val="auto"/>
              </w:rPr>
            </w:pPr>
            <w:r>
              <w:rPr>
                <w:rFonts w:ascii="Arial" w:cs="Arial" w:eastAsia="Arial" w:hAnsi="Arial"/>
                <w:sz w:val="18"/>
                <w:szCs w:val="18"/>
                <w:color w:val="auto"/>
              </w:rPr>
              <w:t>Euro Stoxx</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29%</w:t>
            </w:r>
          </w:p>
        </w:tc>
        <w:tc>
          <w:tcPr>
            <w:tcW w:w="20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30"/>
        </w:trPr>
        <w:tc>
          <w:tcPr>
            <w:tcW w:w="7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MSCI Emerging Market</w:t>
            </w:r>
          </w:p>
        </w:tc>
        <w:tc>
          <w:tcPr>
            <w:tcW w:w="9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19%</w:t>
            </w:r>
          </w:p>
        </w:tc>
        <w:tc>
          <w:tcPr>
            <w:tcW w:w="2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w:t>
            </w:r>
          </w:p>
        </w:tc>
      </w:tr>
      <w:tr>
        <w:trPr>
          <w:trHeight w:val="230"/>
        </w:trPr>
        <w:tc>
          <w:tcPr>
            <w:tcW w:w="7340" w:type="dxa"/>
            <w:vAlign w:val="bottom"/>
            <w:gridSpan w:val="2"/>
          </w:tcPr>
          <w:p>
            <w:pPr>
              <w:spacing w:after="0"/>
              <w:rPr>
                <w:sz w:val="20"/>
                <w:szCs w:val="20"/>
                <w:color w:val="auto"/>
              </w:rPr>
            </w:pPr>
            <w:r>
              <w:rPr>
                <w:rFonts w:ascii="Arial" w:cs="Arial" w:eastAsia="Arial" w:hAnsi="Arial"/>
                <w:sz w:val="18"/>
                <w:szCs w:val="18"/>
                <w:color w:val="auto"/>
              </w:rPr>
              <w:t>S&amp;P 500</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31%</w:t>
            </w:r>
          </w:p>
        </w:tc>
        <w:tc>
          <w:tcPr>
            <w:tcW w:w="20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bl>
    <w:p>
      <w:pPr>
        <w:spacing w:after="0" w:line="228" w:lineRule="exact"/>
        <w:rPr>
          <w:sz w:val="20"/>
          <w:szCs w:val="20"/>
          <w:color w:val="auto"/>
        </w:rPr>
      </w:pPr>
    </w:p>
    <w:p>
      <w:pPr>
        <w:jc w:val="both"/>
        <w:ind w:right="80" w:firstLine="598"/>
        <w:spacing w:after="0" w:line="259" w:lineRule="auto"/>
        <w:rPr>
          <w:sz w:val="20"/>
          <w:szCs w:val="20"/>
          <w:color w:val="auto"/>
        </w:rPr>
      </w:pPr>
      <w:r>
        <w:rPr>
          <w:rFonts w:ascii="Arial" w:cs="Arial" w:eastAsia="Arial" w:hAnsi="Arial"/>
          <w:sz w:val="18"/>
          <w:szCs w:val="18"/>
          <w:color w:val="auto"/>
        </w:rPr>
        <w:t>The fees that we receive for providing investment management and advisory services are primarily driven by the level of AUM and the nature of the AUM product mix. Accordingly, market movements, foreign currency exchange rate volatility and changes in our AUM product mix will impact the level of revenues we receive from our Asset Management business when comparing periodic results. A substantial portion of our AUM is invested in equities. Movements in AUM during the period generally reflect the changes in equity market indices.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Net Revenue</w:t>
      </w:r>
    </w:p>
    <w:p>
      <w:pPr>
        <w:spacing w:after="0" w:line="117" w:lineRule="exact"/>
        <w:rPr>
          <w:sz w:val="20"/>
          <w:szCs w:val="20"/>
          <w:color w:val="auto"/>
        </w:rPr>
      </w:pPr>
    </w:p>
    <w:p>
      <w:pPr>
        <w:ind w:right="140" w:firstLine="598"/>
        <w:spacing w:after="0" w:line="289" w:lineRule="auto"/>
        <w:rPr>
          <w:sz w:val="20"/>
          <w:szCs w:val="20"/>
          <w:color w:val="auto"/>
        </w:rPr>
      </w:pPr>
      <w:r>
        <w:rPr>
          <w:rFonts w:ascii="Arial" w:cs="Arial" w:eastAsia="Arial" w:hAnsi="Arial"/>
          <w:sz w:val="16"/>
          <w:szCs w:val="16"/>
          <w:color w:val="auto"/>
        </w:rPr>
        <w:t>The majority of Lazard’s Financial Advisory net revenue historically has been earned from the successful completion of M&amp;A transactions, capital advisory services, capital raising, restructuring, shareholder advisory, sovereign advisory and other strategic advisory matters.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67" w:lineRule="exact"/>
        <w:rPr>
          <w:sz w:val="20"/>
          <w:szCs w:val="20"/>
          <w:color w:val="auto"/>
        </w:rPr>
      </w:pPr>
    </w:p>
    <w:p>
      <w:pPr>
        <w:ind w:firstLine="598"/>
        <w:spacing w:after="0" w:line="286" w:lineRule="auto"/>
        <w:rPr>
          <w:sz w:val="20"/>
          <w:szCs w:val="20"/>
          <w:color w:val="auto"/>
        </w:rPr>
      </w:pPr>
      <w:r>
        <w:rPr>
          <w:rFonts w:ascii="Arial" w:cs="Arial" w:eastAsia="Arial" w:hAnsi="Arial"/>
          <w:sz w:val="16"/>
          <w:szCs w:val="16"/>
          <w:color w:val="auto"/>
        </w:rPr>
        <w:t>Lazard’s Asset Management segment principally includes LAM, LFG and Edgewater. Asset Management net revenue is derived from fees for investment management and advisory services provided to clients. As noted above, the main driver of Asset Management net revenue is the level and product mix of AUM, which is generally influenced by the performance of the global equity markets and, to a lesser extent, fixed income markets as well as Lazard’s investment performance, which impacts its ability to successfully attract and retain assets. As a result, 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changes in product mix, or net client asset flows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and the overall amount of management fees generated by the AUM. Fees vary with the type of assets managed and the vehicle in which they are managed, with higher fees earned on equity assets and alternative investment funds, such as hedge funds and private equity funds, and lower fees earned on fixed income and cash management products.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9" w:name="page40"/>
    <w:bookmarkEnd w:id="39"/>
    <w:p>
      <w:pPr>
        <w:ind w:right="420" w:firstLine="598"/>
        <w:spacing w:after="0" w:line="277"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70" w:lineRule="exact"/>
        <w:rPr>
          <w:sz w:val="20"/>
          <w:szCs w:val="20"/>
          <w:color w:val="auto"/>
        </w:rPr>
      </w:pPr>
    </w:p>
    <w:p>
      <w:pPr>
        <w:ind w:right="100" w:firstLine="598"/>
        <w:spacing w:after="0" w:line="293"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or redemption occurs during the year). The incentive fees received at the end of the measurement period are not subject to reversal or payback. Incentive fees on hedge funds are often subject to loss carryforward provisions in which losses incurred by the hedge funds in any year are applied against certain gains realized by the hedge funds in future periods before any incentive fees can be earned.</w:t>
      </w:r>
    </w:p>
    <w:p>
      <w:pPr>
        <w:spacing w:after="0" w:line="165"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87" w:lineRule="exact"/>
        <w:rPr>
          <w:sz w:val="20"/>
          <w:szCs w:val="20"/>
          <w:color w:val="auto"/>
        </w:rPr>
      </w:pPr>
    </w:p>
    <w:p>
      <w:pPr>
        <w:ind w:right="120" w:firstLine="598"/>
        <w:spacing w:after="0" w:line="302" w:lineRule="auto"/>
        <w:rPr>
          <w:sz w:val="20"/>
          <w:szCs w:val="20"/>
          <w:color w:val="auto"/>
        </w:rPr>
      </w:pPr>
      <w:r>
        <w:rPr>
          <w:rFonts w:ascii="Arial" w:cs="Arial" w:eastAsia="Arial" w:hAnsi="Arial"/>
          <w:sz w:val="16"/>
          <w:szCs w:val="16"/>
          <w:color w:val="auto"/>
        </w:rPr>
        <w:t>Corporate segment net revenue consists primarily of investment gains and losses on the Company’s “seed investments” related to our Asset Management business and principal investments in private equity funds, net of hedging activities, as well as gains and losses on investments held in connection with Lazard Fund Interests (“LFI”) and interest income and interest expense. Corporate net revenue also can fluctuate due to changes in the fair value of debt and equity securities, as well as due to changes in interest and currency exchange rates and in the levels of cash, investments and indebtedness.</w:t>
      </w:r>
    </w:p>
    <w:p>
      <w:pPr>
        <w:spacing w:after="0" w:line="154" w:lineRule="exact"/>
        <w:rPr>
          <w:sz w:val="20"/>
          <w:szCs w:val="20"/>
          <w:color w:val="auto"/>
        </w:rPr>
      </w:pPr>
    </w:p>
    <w:p>
      <w:pPr>
        <w:ind w:right="160" w:firstLine="598"/>
        <w:spacing w:after="0" w:line="312" w:lineRule="auto"/>
        <w:rPr>
          <w:sz w:val="20"/>
          <w:szCs w:val="20"/>
          <w:color w:val="auto"/>
        </w:rPr>
      </w:pPr>
      <w:r>
        <w:rPr>
          <w:rFonts w:ascii="Arial" w:cs="Arial" w:eastAsia="Arial" w:hAnsi="Arial"/>
          <w:sz w:val="16"/>
          <w:szCs w:val="16"/>
          <w:color w:val="auto"/>
        </w:rPr>
        <w:t>Although Corporate segment net revenue during 2019 is not significant compared to Lazard’s net revenue, total assets in the Corporate segment represented 62% of Lazard’s consolidated total assets as of December 31, 2019, which are attributable to cash and cash equivalents, investments in debt and equity securities, interests in alternative investment, debt, equity and private equity funds, deferred tax assets and certain assets associated with LFB.</w:t>
      </w:r>
    </w:p>
    <w:p>
      <w:pPr>
        <w:spacing w:after="0" w:line="25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220" w:firstLine="598"/>
        <w:spacing w:after="0" w:line="271" w:lineRule="auto"/>
        <w:rPr>
          <w:sz w:val="20"/>
          <w:szCs w:val="20"/>
          <w:color w:val="auto"/>
        </w:rPr>
      </w:pPr>
      <w:r>
        <w:rPr>
          <w:rFonts w:ascii="Arial" w:cs="Arial" w:eastAsia="Arial" w:hAnsi="Arial"/>
          <w:sz w:val="17"/>
          <w:szCs w:val="17"/>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 (a) share-based incentive compensation under the Lazard Ltd 2018 Incentive Compensation Plan (the “2018 Plan”) and the Lazard Ltd 2008 Incentive Compensation Plan (the “2008 Plan”), and (b) LFI and other similar deferred compensation arrangements (see Note 16 of Notes to Consolidated Financial Statements), (iii) a provision for discretionary or guaranteed cash bonuses and profit pools and (iv) when applicable, severance payments. Compensation expense in any given period is dependent on many factors, including general economic and market conditions, our actual and forecasted operating and financial performance, staffing levels, estimated forfeiture rates, competitive pay conditions and the nature of revenues earned, as well as the mix between current and deferred compensation.</w:t>
      </w:r>
    </w:p>
    <w:p>
      <w:pPr>
        <w:spacing w:after="0" w:line="179" w:lineRule="exact"/>
        <w:rPr>
          <w:sz w:val="20"/>
          <w:szCs w:val="20"/>
          <w:color w:val="auto"/>
        </w:rPr>
      </w:pPr>
    </w:p>
    <w:p>
      <w:pPr>
        <w:ind w:firstLine="598"/>
        <w:spacing w:after="0" w:line="302" w:lineRule="auto"/>
        <w:rPr>
          <w:sz w:val="20"/>
          <w:szCs w:val="20"/>
          <w:color w:val="auto"/>
        </w:rPr>
      </w:pPr>
      <w:r>
        <w:rPr>
          <w:rFonts w:ascii="Arial" w:cs="Arial" w:eastAsia="Arial" w:hAnsi="Arial"/>
          <w:sz w:val="16"/>
          <w:szCs w:val="16"/>
          <w:color w:val="auto"/>
        </w:rPr>
        <w:t>We believe that “awarded compensation and benefits expense” and the ratio of “awarded compensation and benefits expense” to “operating revenue,” both non-GAAP measures, are the most appropriate measures to assess the annual cost of compensation and provide the most meaningful basis for comparison of compensation and benefits expense between present, historical and future years. “Awarded compensation and benefits expense” for a given year is calculated using “adjusted compensation and benefits expense,” also a non-GAAP measure, as modified by the following items:</w:t>
      </w:r>
    </w:p>
    <w:p>
      <w:pPr>
        <w:spacing w:after="0" w:line="46" w:lineRule="exact"/>
        <w:rPr>
          <w:sz w:val="20"/>
          <w:szCs w:val="20"/>
          <w:color w:val="auto"/>
        </w:rPr>
      </w:pPr>
    </w:p>
    <w:p>
      <w:pPr>
        <w:ind w:left="1200" w:right="480" w:hanging="598"/>
        <w:spacing w:after="0" w:line="277" w:lineRule="auto"/>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deduct amortization expense recorded for accounting principles generally accepted in the United States of America (“U.S. GAAP”) purposes in the fiscal year associated with deferred incentive compensation awards;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add incentive compensation with respect to the fiscal year, which is comprised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0" w:name="page41"/>
    <w:bookmarkEnd w:id="40"/>
    <w:p>
      <w:pPr>
        <w:ind w:left="1800" w:right="20" w:hanging="603"/>
        <w:spacing w:after="0" w:line="259" w:lineRule="auto"/>
        <w:tabs>
          <w:tab w:leader="none" w:pos="18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deferred incentive compensation awards granted in the year-end compensation process with respect to the fiscal year (</w:t>
      </w:r>
      <w:r>
        <w:rPr>
          <w:rFonts w:ascii="Arial" w:cs="Arial" w:eastAsia="Arial" w:hAnsi="Arial"/>
          <w:sz w:val="18"/>
          <w:szCs w:val="18"/>
          <w:i w:val="1"/>
          <w:iCs w:val="1"/>
          <w:color w:val="auto"/>
        </w:rPr>
        <w:t>e.g.,</w:t>
      </w:r>
      <w:r>
        <w:rPr>
          <w:rFonts w:ascii="Arial" w:cs="Arial" w:eastAsia="Arial" w:hAnsi="Arial"/>
          <w:sz w:val="18"/>
          <w:szCs w:val="18"/>
          <w:color w:val="auto"/>
        </w:rPr>
        <w:t xml:space="preserve"> deferred incentive compensation awards granted in 2020 related to the 2019 year-end compensation process), including performance-based restricted stock unit (“PRSU”) and performance-based restricted participation unit (“PRPU”) awards (based on the target payout level);</w:t>
      </w:r>
    </w:p>
    <w:p>
      <w:pPr>
        <w:spacing w:after="0" w:line="78" w:lineRule="exact"/>
        <w:rPr>
          <w:rFonts w:ascii="Arial" w:cs="Arial" w:eastAsia="Arial" w:hAnsi="Arial"/>
          <w:sz w:val="18"/>
          <w:szCs w:val="18"/>
          <w:color w:val="auto"/>
        </w:rPr>
      </w:pPr>
    </w:p>
    <w:p>
      <w:pPr>
        <w:ind w:left="1800" w:right="100" w:hanging="603"/>
        <w:spacing w:after="0" w:line="277" w:lineRule="auto"/>
        <w:tabs>
          <w:tab w:leader="none" w:pos="18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portion of investments in people (</w:t>
      </w:r>
      <w:r>
        <w:rPr>
          <w:rFonts w:ascii="Arial" w:cs="Arial" w:eastAsia="Arial" w:hAnsi="Arial"/>
          <w:sz w:val="18"/>
          <w:szCs w:val="18"/>
          <w:i w:val="1"/>
          <w:iCs w:val="1"/>
          <w:color w:val="auto"/>
        </w:rPr>
        <w:t>e.g.,</w:t>
      </w:r>
      <w:r>
        <w:rPr>
          <w:rFonts w:ascii="Arial" w:cs="Arial" w:eastAsia="Arial" w:hAnsi="Arial"/>
          <w:sz w:val="18"/>
          <w:szCs w:val="18"/>
          <w:color w:val="auto"/>
        </w:rPr>
        <w:t xml:space="preserve"> “sign-on” bonuses or retention awards) and other special deferred incentive compensation awards that is applicable to the fiscal year the award becomes effective; and</w:t>
      </w:r>
    </w:p>
    <w:p>
      <w:pPr>
        <w:spacing w:after="0" w:line="62" w:lineRule="exact"/>
        <w:rPr>
          <w:rFonts w:ascii="Arial" w:cs="Arial" w:eastAsia="Arial" w:hAnsi="Arial"/>
          <w:sz w:val="18"/>
          <w:szCs w:val="18"/>
          <w:color w:val="auto"/>
        </w:rPr>
      </w:pPr>
    </w:p>
    <w:p>
      <w:pPr>
        <w:ind w:left="1800" w:hanging="603"/>
        <w:spacing w:after="0"/>
        <w:tabs>
          <w:tab w:leader="none" w:pos="18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amounts in excess of the target payout level for PRSU and PRPU awards at the end of their respective performance periods; and</w:t>
      </w:r>
    </w:p>
    <w:p>
      <w:pPr>
        <w:spacing w:after="0" w:line="140" w:lineRule="exact"/>
        <w:rPr>
          <w:rFonts w:ascii="Arial" w:cs="Arial" w:eastAsia="Arial" w:hAnsi="Arial"/>
          <w:sz w:val="16"/>
          <w:szCs w:val="16"/>
          <w:color w:val="auto"/>
        </w:rPr>
      </w:pPr>
    </w:p>
    <w:p>
      <w:pPr>
        <w:ind w:left="1200" w:hanging="598"/>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reduce the amounts in (i), (ii) and (iii) above by an estimate of future forfeitures with respect to such awards.</w:t>
      </w:r>
    </w:p>
    <w:p>
      <w:pPr>
        <w:spacing w:after="0" w:line="225" w:lineRule="exact"/>
        <w:rPr>
          <w:sz w:val="20"/>
          <w:szCs w:val="20"/>
          <w:color w:val="auto"/>
        </w:rPr>
      </w:pPr>
    </w:p>
    <w:p>
      <w:pPr>
        <w:ind w:right="300" w:firstLine="598"/>
        <w:spacing w:after="0" w:line="259" w:lineRule="auto"/>
        <w:rPr>
          <w:sz w:val="20"/>
          <w:szCs w:val="20"/>
          <w:color w:val="auto"/>
        </w:rPr>
      </w:pPr>
      <w:r>
        <w:rPr>
          <w:rFonts w:ascii="Arial" w:cs="Arial" w:eastAsia="Arial" w:hAnsi="Arial"/>
          <w:sz w:val="18"/>
          <w:szCs w:val="18"/>
          <w:color w:val="auto"/>
        </w:rPr>
        <w:t>We also use “adjusted compensation and benefits expense” and the ratio of “adjusted compensation and benefits expense” to “operating revenue,” both non-GAAP measures, for comparison of compensation and benefits expense between periods. For the reconciliations and calculations with respect to “adjusted compensation and benefits expense” and “awarded compensation and benefits expense” and related ratios to “operating revenue,” see the table under “Consolidated Results of Operations” below.</w:t>
      </w:r>
    </w:p>
    <w:p>
      <w:pPr>
        <w:spacing w:after="0" w:line="187" w:lineRule="exact"/>
        <w:rPr>
          <w:sz w:val="20"/>
          <w:szCs w:val="20"/>
          <w:color w:val="auto"/>
        </w:rPr>
      </w:pPr>
    </w:p>
    <w:p>
      <w:pPr>
        <w:ind w:right="40" w:firstLine="598"/>
        <w:spacing w:after="0" w:line="290" w:lineRule="auto"/>
        <w:rPr>
          <w:sz w:val="20"/>
          <w:szCs w:val="20"/>
          <w:color w:val="auto"/>
        </w:rPr>
      </w:pPr>
      <w:r>
        <w:rPr>
          <w:rFonts w:ascii="Arial" w:cs="Arial" w:eastAsia="Arial" w:hAnsi="Arial"/>
          <w:sz w:val="16"/>
          <w:szCs w:val="16"/>
          <w:color w:val="auto"/>
        </w:rPr>
        <w:t>Compensation and benefits expense is the largest component of our operating expenses. We seek to maintain discipline with respect to compensation, including the rate at which we award deferred compensation. Our goal is to maintain a ratio of awarded compensation and benefits expense to operating revenue and a ratio of adjusted compensation and benefits expense to operating revenue over the cycle in the mid- to high-50s percentage range. While we have implemented policies and initiatives that we believe will assist us in maintaining ratios within this range, there can be no guarantee that we will continue to maintain such ratios, or that our policies or initiatives will not change in the future. We may benefit from pressure on compensation costs within the financial services industry in future periods; however, increased competition for senior professionals, changes in the macroeconomic environment or the financial markets generally, lower operating revenue resulting from, for example, a decrease in M&amp;A activity, our share of the M&amp;A market or our AUM levels, changes in the mix of revenues from our businesses, investments in our businesses or various other factors could prevent us from achieving this goal.</w:t>
      </w:r>
    </w:p>
    <w:p>
      <w:pPr>
        <w:spacing w:after="0" w:line="166" w:lineRule="exact"/>
        <w:rPr>
          <w:sz w:val="20"/>
          <w:szCs w:val="20"/>
          <w:color w:val="auto"/>
        </w:rPr>
      </w:pPr>
    </w:p>
    <w:p>
      <w:pPr>
        <w:ind w:right="220" w:firstLine="598"/>
        <w:spacing w:after="0" w:line="279" w:lineRule="auto"/>
        <w:rPr>
          <w:sz w:val="20"/>
          <w:szCs w:val="20"/>
          <w:color w:val="auto"/>
        </w:rPr>
      </w:pPr>
      <w:r>
        <w:rPr>
          <w:rFonts w:ascii="Arial" w:cs="Arial" w:eastAsia="Arial" w:hAnsi="Arial"/>
          <w:sz w:val="17"/>
          <w:szCs w:val="17"/>
          <w:color w:val="auto"/>
        </w:rPr>
        <w:t>Our operating expenses also include “non-compensation expense”, which includes costs for occupancy and equipment, marketing and business development, technology and information services, professional services, fund administration and outsourced services and other expenses. Our occupancy costs represent a significant portion of our aggregate operating expenses and are subject to change from time to time, particularly as leases for real property expire and are renewed or replaced with new, long-term leases for the same or other real property.</w:t>
      </w:r>
    </w:p>
    <w:p>
      <w:pPr>
        <w:spacing w:after="0" w:line="171" w:lineRule="exact"/>
        <w:rPr>
          <w:sz w:val="20"/>
          <w:szCs w:val="20"/>
          <w:color w:val="auto"/>
        </w:rPr>
      </w:pPr>
    </w:p>
    <w:p>
      <w:pPr>
        <w:ind w:right="360" w:firstLine="598"/>
        <w:spacing w:after="0" w:line="342" w:lineRule="auto"/>
        <w:rPr>
          <w:sz w:val="20"/>
          <w:szCs w:val="20"/>
          <w:color w:val="auto"/>
        </w:rPr>
      </w:pPr>
      <w:r>
        <w:rPr>
          <w:rFonts w:ascii="Arial" w:cs="Arial" w:eastAsia="Arial" w:hAnsi="Arial"/>
          <w:sz w:val="16"/>
          <w:szCs w:val="16"/>
          <w:color w:val="auto"/>
        </w:rPr>
        <w:t>We believe that “adjusted non-compensation expense”, a non-GAAP measure, provides a more meaningful basis for our investors to assess our operating results. For calculations with respect to “adjusted non-compensation expense”, see the table under “Consolidated Results of Operations” below.</w:t>
      </w:r>
    </w:p>
    <w:p>
      <w:pPr>
        <w:spacing w:after="0" w:line="124" w:lineRule="exact"/>
        <w:rPr>
          <w:sz w:val="20"/>
          <w:szCs w:val="20"/>
          <w:color w:val="auto"/>
        </w:rPr>
      </w:pPr>
    </w:p>
    <w:p>
      <w:pPr>
        <w:ind w:right="480" w:firstLine="598"/>
        <w:spacing w:after="0" w:line="277" w:lineRule="auto"/>
        <w:rPr>
          <w:sz w:val="20"/>
          <w:szCs w:val="20"/>
          <w:color w:val="auto"/>
        </w:rPr>
      </w:pPr>
      <w:r>
        <w:rPr>
          <w:rFonts w:ascii="Arial" w:cs="Arial" w:eastAsia="Arial" w:hAnsi="Arial"/>
          <w:sz w:val="18"/>
          <w:szCs w:val="18"/>
          <w:color w:val="auto"/>
        </w:rPr>
        <w:t>Our operating expenses also include “amortization and other acquisition-related (benefits) costs”, which includes the change in fair value of the contingent consideration associated with business acquisitions.</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Business Realignment</w:t>
      </w:r>
    </w:p>
    <w:p>
      <w:pPr>
        <w:spacing w:after="0" w:line="117"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We conducted a review of our business, which resulted in a realignment that included employee reductions and the closing of subscale offices and investment strategies, most of which were completed during the third quarter of 2019. We believe these actions better align the business with changes in the marketplace and create greater flexibility to focus on strategic growth opportunities. These actions resulted in expenses of $68 million in 2019. See Note 18 of Notes to Consolidated Financial Statements.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 w:name="page42"/>
    <w:bookmarkEnd w:id="41"/>
    <w:p>
      <w:pPr>
        <w:ind w:left="3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color w:val="auto"/>
        </w:rPr>
        <w:t>Lazard Group primarily operates in the U.S. as a limited liability company that is treated as a partnership for U.S. federal income tax purposes. As a result, Lazard Group’s income pertaining to the limited liability company is not subject to U.S. federal income tax because taxes associated with such income represent obligations of its partners. Lazard Group, through its subsidiaries, is subject to state and local taxes on its income apportioned to various state and local jurisdictions. Outside the U.S., Lazard Group operates principally through subsidiary corporations that are subject to local income taxes in foreign jurisdictions. Lazard Group is also subject to Unincorporated Business Tax (“UBT”) attributable to its operations apportioned to New York City.</w:t>
      </w:r>
    </w:p>
    <w:p>
      <w:pPr>
        <w:spacing w:after="0" w:line="158"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On December 22, 2017, the Tax Cuts and Jobs Act (the “Tax Act”) was enacted. The Tax Act significantly revised the U.S. corporate income tax system by, among other changes, lowering the corporate income tax rate from 35% to 21%, implementing a partial territorial tax system and imposing a one-time repatriation tax on the deemed repatriated earnings of foreign subsidiaries. The Tax Act also included several provisions that limited the benefit of the tax rate reduction, such as restricting the deductibility of interest expense and other corporate business expenses. The Tax Act further included anti-base erosion provisions such as the BEAT and tax on GILTI. The GILTI provisions impose a tax on certain income from foreign operations and we have elected to account for the tax on GILTI as a current period expense.</w:t>
      </w:r>
    </w:p>
    <w:p>
      <w:pPr>
        <w:spacing w:after="0" w:line="193" w:lineRule="exact"/>
        <w:rPr>
          <w:sz w:val="20"/>
          <w:szCs w:val="20"/>
          <w:color w:val="auto"/>
        </w:rPr>
      </w:pPr>
    </w:p>
    <w:p>
      <w:pPr>
        <w:ind w:right="180" w:firstLine="598"/>
        <w:spacing w:after="0" w:line="277" w:lineRule="auto"/>
        <w:rPr>
          <w:sz w:val="20"/>
          <w:szCs w:val="20"/>
          <w:color w:val="auto"/>
        </w:rPr>
      </w:pPr>
      <w:r>
        <w:rPr>
          <w:rFonts w:ascii="Arial" w:cs="Arial" w:eastAsia="Arial" w:hAnsi="Arial"/>
          <w:sz w:val="18"/>
          <w:szCs w:val="18"/>
          <w:color w:val="auto"/>
        </w:rPr>
        <w:t>See “Critical Accounting Policies and Estimates—Income Taxes” below and Note 19 of Notes to Consolidated Financial Statements for additional information regarding income taxes, the impact of the Tax Act on us and our deferred tax assets.</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17" w:lineRule="exact"/>
        <w:rPr>
          <w:sz w:val="20"/>
          <w:szCs w:val="20"/>
          <w:color w:val="auto"/>
        </w:rPr>
      </w:pPr>
    </w:p>
    <w:p>
      <w:pPr>
        <w:jc w:val="both"/>
        <w:ind w:right="240" w:firstLine="598"/>
        <w:spacing w:after="0" w:line="264" w:lineRule="auto"/>
        <w:rPr>
          <w:sz w:val="20"/>
          <w:szCs w:val="20"/>
          <w:color w:val="auto"/>
        </w:rPr>
      </w:pPr>
      <w:r>
        <w:rPr>
          <w:rFonts w:ascii="Arial" w:cs="Arial" w:eastAsia="Arial" w:hAnsi="Arial"/>
          <w:sz w:val="18"/>
          <w:szCs w:val="18"/>
          <w:color w:val="auto"/>
        </w:rPr>
        <w:t>Noncontrolling interests primarily consist of amounts related to Edgewater’s management vehicles that the Company is deemed to control but not own and consolidated VIE interests held by employees. See Notes 15 and 23 of Notes to Consolidated Financial Statements for information regarding the Company’s noncontrolling interests and consolidated VIEs.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ind w:right="100" w:firstLine="598"/>
        <w:spacing w:after="0" w:line="293" w:lineRule="auto"/>
        <w:rPr>
          <w:sz w:val="20"/>
          <w:szCs w:val="20"/>
          <w:color w:val="auto"/>
        </w:rPr>
      </w:pPr>
      <w:r>
        <w:rPr>
          <w:rFonts w:ascii="Arial" w:cs="Arial" w:eastAsia="Arial" w:hAnsi="Arial"/>
          <w:sz w:val="16"/>
          <w:szCs w:val="16"/>
          <w:color w:val="auto"/>
        </w:rPr>
        <w:t>Lazard’s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members’ equity. Foreign currency remeasurement gains and losses on transactions in non-functional currencies are included in the consolidated statements of operations.</w:t>
      </w:r>
    </w:p>
    <w:p>
      <w:pPr>
        <w:spacing w:after="0" w:line="165" w:lineRule="exact"/>
        <w:rPr>
          <w:sz w:val="20"/>
          <w:szCs w:val="20"/>
          <w:color w:val="auto"/>
        </w:rPr>
      </w:pPr>
    </w:p>
    <w:p>
      <w:pPr>
        <w:ind w:right="40" w:firstLine="598"/>
        <w:spacing w:after="0" w:line="302" w:lineRule="auto"/>
        <w:rPr>
          <w:sz w:val="20"/>
          <w:szCs w:val="20"/>
          <w:color w:val="auto"/>
        </w:rPr>
      </w:pPr>
      <w:r>
        <w:rPr>
          <w:rFonts w:ascii="Arial" w:cs="Arial" w:eastAsia="Arial" w:hAnsi="Arial"/>
          <w:sz w:val="16"/>
          <w:szCs w:val="16"/>
          <w:color w:val="auto"/>
        </w:rPr>
        <w:t>A portion of our net revenue is derived from transactions that are denominated in currencies other than the U.S. Dollar. Net revenue for the year ended December 31, 2019 was negatively impacted, and net revenue for the year ended December 31, 2018 was positively impacted, by exchange rate movements, in each case in comparison to the relevant prior year period. The majority of the impact to net revenue, in both periods, was offset by the impact of the exchange rate movements on our operating expenses during the years denominated in currencies other than the U.S. Dollar.</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449" w:right="319" w:bottom="1440" w:gutter="0" w:footer="0" w:header="0"/>
        </w:sectPr>
      </w:pPr>
    </w:p>
    <w:bookmarkStart w:id="42" w:name="page43"/>
    <w:bookmarkEnd w:id="42"/>
    <w:p>
      <w:pPr>
        <w:ind w:right="420" w:firstLine="598"/>
        <w:spacing w:after="0" w:line="342" w:lineRule="auto"/>
        <w:rPr>
          <w:sz w:val="20"/>
          <w:szCs w:val="20"/>
          <w:color w:val="auto"/>
        </w:rPr>
      </w:pPr>
      <w:r>
        <w:rPr>
          <w:rFonts w:ascii="Arial" w:cs="Arial" w:eastAsia="Arial" w:hAnsi="Arial"/>
          <w:sz w:val="16"/>
          <w:szCs w:val="16"/>
          <w:color w:val="auto"/>
        </w:rPr>
        <w:t>The consolidated financial statements are prepared in conformity with U.S. GAAP. Selected financial data derived from the Company’s reported consolidated results of operations is set forth below, followed by a more detailed discussion of both the consolidated and business segment results.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1"/>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6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6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5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Revenue</w:t>
            </w:r>
          </w:p>
        </w:tc>
        <w:tc>
          <w:tcPr>
            <w:tcW w:w="1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2,562,693</w:t>
            </w:r>
          </w:p>
        </w:tc>
        <w:tc>
          <w:tcPr>
            <w:tcW w:w="1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2,816,861</w:t>
            </w:r>
          </w:p>
        </w:tc>
        <w:tc>
          <w:tcPr>
            <w:tcW w:w="2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2,639,597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 (a):</w:t>
            </w:r>
          </w:p>
        </w:tc>
        <w:tc>
          <w:tcPr>
            <w:tcW w:w="10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Compensation and benefits</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1,553,875</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1,508,813</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1,507,332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gridSpan w:val="2"/>
          </w:tcPr>
          <w:p>
            <w:pPr>
              <w:ind w:left="260"/>
              <w:spacing w:after="0"/>
              <w:rPr>
                <w:sz w:val="20"/>
                <w:szCs w:val="20"/>
                <w:color w:val="auto"/>
              </w:rPr>
            </w:pPr>
            <w:r>
              <w:rPr>
                <w:rFonts w:ascii="Arial" w:cs="Arial" w:eastAsia="Arial" w:hAnsi="Arial"/>
                <w:sz w:val="18"/>
                <w:szCs w:val="18"/>
                <w:color w:val="auto"/>
              </w:rPr>
              <w:t>Non-compensation</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607,767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649,722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495,636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Amortization and other acquisition-related (benefits) costs</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(957)</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operating expenses</w:t>
            </w:r>
          </w:p>
        </w:tc>
        <w:tc>
          <w:tcPr>
            <w:tcW w:w="10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2,162,499</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2,157,578</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2,005,844</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400,194</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659,283</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633,753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Provision for income taxes</w:t>
            </w:r>
          </w:p>
        </w:tc>
        <w:tc>
          <w:tcPr>
            <w:tcW w:w="10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66,598</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88,363</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81,863</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Income</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333,596</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570,920</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551,890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b w:val="1"/>
                <w:bCs w:val="1"/>
                <w:i w:val="1"/>
                <w:iCs w:val="1"/>
                <w:color w:val="auto"/>
              </w:rPr>
              <w:t>Less - Net Income Attributable to Noncontrolling Interests</w:t>
            </w:r>
          </w:p>
        </w:tc>
        <w:tc>
          <w:tcPr>
            <w:tcW w:w="10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11,216</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5,323</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6,263</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Income Attributable to Lazard Group</w:t>
            </w:r>
          </w:p>
        </w:tc>
        <w:tc>
          <w:tcPr>
            <w:tcW w:w="10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322,380</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565,597</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545,627</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1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gridSpan w:val="2"/>
            <w:vMerge w:val="continue"/>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15.6%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3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hanging="592"/>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See Note 18 of Notes to Consolidated Financial Statements for information regarding business realignment.</w:t>
      </w:r>
    </w:p>
    <w:p>
      <w:pPr>
        <w:spacing w:after="0" w:line="225" w:lineRule="exact"/>
        <w:rPr>
          <w:sz w:val="20"/>
          <w:szCs w:val="20"/>
          <w:color w:val="auto"/>
        </w:rPr>
      </w:pPr>
    </w:p>
    <w:p>
      <w:pPr>
        <w:ind w:right="340" w:firstLine="598"/>
        <w:spacing w:after="0" w:line="312" w:lineRule="auto"/>
        <w:rPr>
          <w:sz w:val="20"/>
          <w:szCs w:val="20"/>
          <w:color w:val="auto"/>
        </w:rPr>
      </w:pPr>
      <w:r>
        <w:rPr>
          <w:rFonts w:ascii="Arial" w:cs="Arial" w:eastAsia="Arial" w:hAnsi="Arial"/>
          <w:sz w:val="16"/>
          <w:szCs w:val="16"/>
          <w:color w:val="auto"/>
        </w:rPr>
        <w:t>The tables below describe the components of operating revenue, adjusted and awarded compensation and benefits expense, adjusted non-compensation expense, earnings from operations and related key ratios, which are non-GAAP measures used by the Company to manage its business. We believe such non-GAAP measures provide the most meaningful basis for comparison between present, historical and future periods, as described above.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3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r>
      <w:tr>
        <w:trPr>
          <w:trHeight w:val="156"/>
        </w:trPr>
        <w:tc>
          <w:tcPr>
            <w:tcW w:w="53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300" w:type="dxa"/>
            <w:vAlign w:val="bottom"/>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Net revenue</w:t>
            </w:r>
          </w:p>
        </w:tc>
        <w:tc>
          <w:tcPr>
            <w:tcW w:w="17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2,562,693</w:t>
            </w:r>
          </w:p>
        </w:tc>
        <w:tc>
          <w:tcPr>
            <w:tcW w:w="100" w:type="dxa"/>
            <w:vAlign w:val="bottom"/>
          </w:tcPr>
          <w:p>
            <w:pPr>
              <w:spacing w:after="0"/>
              <w:rPr>
                <w:sz w:val="19"/>
                <w:szCs w:val="19"/>
                <w:color w:val="auto"/>
              </w:rPr>
            </w:pP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2,816,861</w:t>
            </w:r>
          </w:p>
        </w:tc>
        <w:tc>
          <w:tcPr>
            <w:tcW w:w="260" w:type="dxa"/>
            <w:vAlign w:val="bottom"/>
          </w:tcPr>
          <w:p>
            <w:pPr>
              <w:spacing w:after="0"/>
              <w:rPr>
                <w:sz w:val="19"/>
                <w:szCs w:val="19"/>
                <w:color w:val="auto"/>
              </w:rPr>
            </w:pP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2,639,597</w:t>
            </w:r>
          </w:p>
        </w:tc>
        <w:tc>
          <w:tcPr>
            <w:tcW w:w="10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Adjustments:</w:t>
            </w: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360" w:type="dxa"/>
            <w:vAlign w:val="bottom"/>
          </w:tcPr>
          <w:p>
            <w:pPr>
              <w:ind w:left="260"/>
              <w:spacing w:after="0"/>
              <w:rPr>
                <w:sz w:val="20"/>
                <w:szCs w:val="20"/>
                <w:color w:val="auto"/>
              </w:rPr>
            </w:pPr>
            <w:r>
              <w:rPr>
                <w:rFonts w:ascii="Arial" w:cs="Arial" w:eastAsia="Arial" w:hAnsi="Arial"/>
                <w:sz w:val="18"/>
                <w:szCs w:val="18"/>
                <w:color w:val="auto"/>
              </w:rPr>
              <w:t>Interest expense (a)</w:t>
            </w: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76,325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57,698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53,719</w:t>
            </w:r>
          </w:p>
        </w:tc>
        <w:tc>
          <w:tcPr>
            <w:tcW w:w="100" w:type="dxa"/>
            <w:vAlign w:val="bottom"/>
          </w:tcPr>
          <w:p>
            <w:pPr>
              <w:spacing w:after="0"/>
              <w:rPr>
                <w:sz w:val="19"/>
                <w:szCs w:val="19"/>
                <w:color w:val="auto"/>
              </w:rPr>
            </w:pPr>
          </w:p>
        </w:tc>
      </w:tr>
      <w:tr>
        <w:trPr>
          <w:trHeight w:val="215"/>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Distribution fees, reimbursable deal costs and</w:t>
            </w:r>
          </w:p>
        </w:tc>
        <w:tc>
          <w:tcPr>
            <w:tcW w:w="1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bad debt expense (b)</w:t>
            </w:r>
          </w:p>
        </w:tc>
        <w:tc>
          <w:tcPr>
            <w:tcW w:w="14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(75,737)</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(120,990)</w:t>
            </w: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r>
      <w:tr>
        <w:trPr>
          <w:trHeight w:val="230"/>
        </w:trPr>
        <w:tc>
          <w:tcPr>
            <w:tcW w:w="5360" w:type="dxa"/>
            <w:vAlign w:val="bottom"/>
          </w:tcPr>
          <w:p>
            <w:pPr>
              <w:ind w:left="260"/>
              <w:spacing w:after="0"/>
              <w:rPr>
                <w:sz w:val="20"/>
                <w:szCs w:val="20"/>
                <w:color w:val="auto"/>
              </w:rPr>
            </w:pPr>
            <w:r>
              <w:rPr>
                <w:rFonts w:ascii="Arial" w:cs="Arial" w:eastAsia="Arial" w:hAnsi="Arial"/>
                <w:sz w:val="18"/>
                <w:szCs w:val="18"/>
                <w:color w:val="auto"/>
              </w:rPr>
              <w:t>Revenue related to noncontrolling interests (c)</w:t>
            </w: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(23,426)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(18,787)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(16,228)</w:t>
            </w:r>
          </w:p>
        </w:tc>
      </w:tr>
      <w:tr>
        <w:trPr>
          <w:trHeight w:val="230"/>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(Gains) losses on investments pertaining to LFI (d)</w:t>
            </w: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(31,657)</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14,086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(23,526)</w:t>
            </w:r>
          </w:p>
        </w:tc>
      </w:tr>
      <w:tr>
        <w:trPr>
          <w:trHeight w:val="230"/>
        </w:trPr>
        <w:tc>
          <w:tcPr>
            <w:tcW w:w="5360" w:type="dxa"/>
            <w:vAlign w:val="bottom"/>
          </w:tcPr>
          <w:p>
            <w:pPr>
              <w:ind w:left="260"/>
              <w:spacing w:after="0"/>
              <w:rPr>
                <w:sz w:val="20"/>
                <w:szCs w:val="20"/>
                <w:color w:val="auto"/>
              </w:rPr>
            </w:pPr>
            <w:r>
              <w:rPr>
                <w:rFonts w:ascii="Arial" w:cs="Arial" w:eastAsia="Arial" w:hAnsi="Arial"/>
                <w:sz w:val="18"/>
                <w:szCs w:val="18"/>
                <w:color w:val="auto"/>
              </w:rPr>
              <w:t>Private equity investment adjustment (e)</w:t>
            </w: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Losses associated with business realignment (f)</w:t>
            </w:r>
          </w:p>
        </w:tc>
        <w:tc>
          <w:tcPr>
            <w:tcW w:w="14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Operating revenue</w:t>
            </w:r>
          </w:p>
        </w:tc>
        <w:tc>
          <w:tcPr>
            <w:tcW w:w="14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2,523,981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2,748,868</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2,653,562</w:t>
            </w:r>
          </w:p>
        </w:tc>
        <w:tc>
          <w:tcPr>
            <w:tcW w:w="10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1150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5" w:lineRule="exact"/>
        <w:rPr>
          <w:sz w:val="20"/>
          <w:szCs w:val="20"/>
          <w:color w:val="auto"/>
        </w:rPr>
      </w:pPr>
    </w:p>
    <w:p>
      <w:pPr>
        <w:ind w:left="600" w:right="560" w:hanging="592"/>
        <w:spacing w:after="0" w:line="290" w:lineRule="auto"/>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Interest expense (excluding interest expense incurred by LFB) is added back in determining operating revenue because such expense relates to corporate financing activities and is not considered to be a cost directly related to the revenue of our business.</w:t>
      </w:r>
    </w:p>
    <w:p>
      <w:pPr>
        <w:ind w:left="600" w:right="200" w:hanging="592"/>
        <w:spacing w:after="0" w:line="274" w:lineRule="auto"/>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certain distribution fees, reimbursable deal costs paid to third parties and bad debt expense relating to fees that are deemed uncollectible for which an equal amount is excluded for purposes of determining adjusted non-compensation expense.</w:t>
      </w:r>
    </w:p>
    <w:p>
      <w:pPr>
        <w:ind w:left="600" w:right="20" w:hanging="592"/>
        <w:spacing w:after="0" w:line="274" w:lineRule="auto"/>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from operating revenue because the Company has no economic interest in such amount.</w:t>
      </w:r>
    </w:p>
    <w:p>
      <w:pPr>
        <w:ind w:left="600" w:right="240" w:hanging="592"/>
        <w:spacing w:after="0" w:line="274" w:lineRule="auto"/>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changes in the fair value of investments held in connection with LFI and other similar deferred compensation arrangements for which a corresponding equal amount is excluded from compensation and benefits expense.</w:t>
      </w:r>
    </w:p>
    <w:p>
      <w:pPr>
        <w:ind w:left="600" w:hanging="592"/>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write-down of a private equity investment to the potential transaction value.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3" w:name="page44"/>
    <w:bookmarkEnd w:id="43"/>
    <w:p>
      <w:pPr>
        <w:ind w:left="600" w:hanging="592"/>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losses associated with the closing of certain offices as part of business realignment.</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6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6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Compensation and Benefits Expense:</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spacing w:after="0"/>
              <w:rPr>
                <w:sz w:val="20"/>
                <w:szCs w:val="20"/>
                <w:color w:val="auto"/>
              </w:rPr>
            </w:pPr>
            <w:r>
              <w:rPr>
                <w:rFonts w:ascii="Arial" w:cs="Arial" w:eastAsia="Arial" w:hAnsi="Arial"/>
                <w:sz w:val="18"/>
                <w:szCs w:val="18"/>
                <w:color w:val="auto"/>
              </w:rPr>
              <w:t>Total compensation and benefits expense</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1,553,875</w:t>
            </w:r>
          </w:p>
        </w:tc>
        <w:tc>
          <w:tcPr>
            <w:tcW w:w="180" w:type="dxa"/>
            <w:vAlign w:val="bottom"/>
          </w:tcPr>
          <w:p>
            <w:pPr>
              <w:spacing w:after="0"/>
              <w:rPr>
                <w:sz w:val="19"/>
                <w:szCs w:val="19"/>
                <w:color w:val="auto"/>
              </w:rPr>
            </w:pP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1,508,813</w:t>
            </w:r>
          </w:p>
        </w:tc>
        <w:tc>
          <w:tcPr>
            <w:tcW w:w="260" w:type="dxa"/>
            <w:vAlign w:val="bottom"/>
          </w:tcPr>
          <w:p>
            <w:pPr>
              <w:spacing w:after="0"/>
              <w:rPr>
                <w:sz w:val="19"/>
                <w:szCs w:val="19"/>
                <w:color w:val="auto"/>
              </w:rPr>
            </w:pP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1,507,332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Expenses associated with business realignment</w:t>
            </w: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(56,635)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Noncontrolling interests (a)</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(11,175)</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(10,999)</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(8,285)</w:t>
            </w:r>
          </w:p>
        </w:tc>
        <w:tc>
          <w:tcPr>
            <w:tcW w:w="0" w:type="dxa"/>
            <w:vAlign w:val="bottom"/>
          </w:tcPr>
          <w:p>
            <w:pPr>
              <w:spacing w:after="0"/>
              <w:rPr>
                <w:sz w:val="1"/>
                <w:szCs w:val="1"/>
                <w:color w:val="auto"/>
              </w:rPr>
            </w:pP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(Charges) credits pertaining to LFI (b)</w:t>
            </w: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(31,657)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14,086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(23,526)</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Expenses associated with ERP system implementation (c)</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(1,190)</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gridSpan w:val="2"/>
          </w:tcPr>
          <w:p>
            <w:pPr>
              <w:spacing w:after="0"/>
              <w:rPr>
                <w:sz w:val="20"/>
                <w:szCs w:val="20"/>
                <w:color w:val="auto"/>
              </w:rPr>
            </w:pPr>
            <w:r>
              <w:rPr>
                <w:rFonts w:ascii="Arial" w:cs="Arial" w:eastAsia="Arial" w:hAnsi="Arial"/>
                <w:sz w:val="18"/>
                <w:szCs w:val="18"/>
                <w:color w:val="auto"/>
              </w:rPr>
              <w:t>Adjusted compensation and benefits expense</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1,454,408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1,510,710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1,475,521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Deduct - amortization of deferred incentive compensation</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awards</w:t>
            </w: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(365,861)</w:t>
            </w: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(375,006)</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(367,027)</w:t>
            </w:r>
          </w:p>
        </w:tc>
        <w:tc>
          <w:tcPr>
            <w:tcW w:w="0" w:type="dxa"/>
            <w:vAlign w:val="bottom"/>
          </w:tcPr>
          <w:p>
            <w:pPr>
              <w:spacing w:after="0"/>
              <w:rPr>
                <w:sz w:val="1"/>
                <w:szCs w:val="1"/>
                <w:color w:val="auto"/>
              </w:rPr>
            </w:pPr>
          </w:p>
        </w:tc>
      </w:tr>
      <w:tr>
        <w:trPr>
          <w:trHeight w:val="223"/>
        </w:trPr>
        <w:tc>
          <w:tcPr>
            <w:tcW w:w="6600" w:type="dxa"/>
            <w:vAlign w:val="bottom"/>
            <w:gridSpan w:val="2"/>
          </w:tcPr>
          <w:p>
            <w:pPr>
              <w:spacing w:after="0"/>
              <w:rPr>
                <w:sz w:val="20"/>
                <w:szCs w:val="20"/>
                <w:color w:val="auto"/>
              </w:rPr>
            </w:pPr>
            <w:r>
              <w:rPr>
                <w:rFonts w:ascii="Arial" w:cs="Arial" w:eastAsia="Arial" w:hAnsi="Arial"/>
                <w:sz w:val="18"/>
                <w:szCs w:val="18"/>
                <w:color w:val="auto"/>
              </w:rPr>
              <w:t>Total adjusted cash compensation and benefits expense (d)</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1,088,547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1,135,704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1,108,494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Add:</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Year-end deferred incentive compensation awards (e)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357,878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376,029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349,030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Sign-on and other special incentive awards (f)</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36,789</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45,423</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35,749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spacing w:after="0"/>
              <w:rPr>
                <w:sz w:val="20"/>
                <w:szCs w:val="20"/>
                <w:color w:val="auto"/>
              </w:rPr>
            </w:pPr>
            <w:r>
              <w:rPr>
                <w:rFonts w:ascii="Arial" w:cs="Arial" w:eastAsia="Arial" w:hAnsi="Arial"/>
                <w:sz w:val="18"/>
                <w:szCs w:val="18"/>
                <w:color w:val="auto"/>
              </w:rPr>
              <w:t>Deduct - adjustments for estimated forfeitures (g)</w:t>
            </w: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(25,653)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(27,394)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(25,011)</w:t>
            </w:r>
          </w:p>
        </w:tc>
        <w:tc>
          <w:tcPr>
            <w:tcW w:w="0" w:type="dxa"/>
            <w:vAlign w:val="bottom"/>
          </w:tcPr>
          <w:p>
            <w:pPr>
              <w:spacing w:after="0"/>
              <w:rPr>
                <w:sz w:val="1"/>
                <w:szCs w:val="1"/>
                <w:color w:val="auto"/>
              </w:rPr>
            </w:pPr>
          </w:p>
        </w:tc>
      </w:tr>
      <w:tr>
        <w:trPr>
          <w:trHeight w:val="223"/>
        </w:trPr>
        <w:tc>
          <w:tcPr>
            <w:tcW w:w="66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Awarded compensation and benefits expense</w:t>
            </w: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1,457,561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1,529,762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1,468,262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8"/>
                <w:szCs w:val="18"/>
                <w:color w:val="auto"/>
              </w:rPr>
              <w:t>Adjusted compensation and benefits expense, as</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600" w:type="dxa"/>
            <w:vAlign w:val="bottom"/>
            <w:gridSpan w:val="2"/>
          </w:tcPr>
          <w:p>
            <w:pPr>
              <w:ind w:left="140"/>
              <w:spacing w:after="0"/>
              <w:rPr>
                <w:sz w:val="20"/>
                <w:szCs w:val="20"/>
                <w:color w:val="auto"/>
              </w:rPr>
            </w:pPr>
            <w:r>
              <w:rPr>
                <w:rFonts w:ascii="Arial" w:cs="Arial" w:eastAsia="Arial" w:hAnsi="Arial"/>
                <w:sz w:val="18"/>
                <w:szCs w:val="18"/>
                <w:color w:val="auto"/>
              </w:rPr>
              <w:t>a % of operating revenue</w:t>
            </w:r>
          </w:p>
        </w:tc>
        <w:tc>
          <w:tcPr>
            <w:tcW w:w="300" w:type="dxa"/>
            <w:vAlign w:val="bottom"/>
          </w:tcPr>
          <w:p>
            <w:pPr>
              <w:spacing w:after="0"/>
              <w:rPr>
                <w:sz w:val="23"/>
                <w:szCs w:val="23"/>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57.6%</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196"/>
        </w:trPr>
        <w:tc>
          <w:tcPr>
            <w:tcW w:w="6600" w:type="dxa"/>
            <w:vAlign w:val="bottom"/>
            <w:tcBorders>
              <w:top w:val="single" w:sz="8" w:color="CFF0FC"/>
            </w:tcBorders>
            <w:gridSpan w:val="2"/>
            <w:shd w:val="clear" w:color="auto" w:fill="CFF0FC"/>
          </w:tcPr>
          <w:p>
            <w:pPr>
              <w:spacing w:after="0" w:line="196" w:lineRule="exact"/>
              <w:rPr>
                <w:sz w:val="20"/>
                <w:szCs w:val="20"/>
                <w:color w:val="auto"/>
              </w:rPr>
            </w:pPr>
            <w:r>
              <w:rPr>
                <w:rFonts w:ascii="Arial" w:cs="Arial" w:eastAsia="Arial" w:hAnsi="Arial"/>
                <w:sz w:val="18"/>
                <w:szCs w:val="18"/>
                <w:color w:val="auto"/>
              </w:rPr>
              <w:t>Awarded compensation and benefits expense, as</w:t>
            </w: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 % of operating revenue</w:t>
            </w: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57.7%</w:t>
            </w: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0"/>
        </w:trPr>
        <w:tc>
          <w:tcPr>
            <w:tcW w:w="1760" w:type="dxa"/>
            <w:vAlign w:val="bottom"/>
            <w:tcBorders>
              <w:top w:val="single" w:sz="8" w:color="CFF0FC"/>
            </w:tcBorders>
          </w:tcPr>
          <w:p>
            <w:pPr>
              <w:spacing w:after="0" w:line="20" w:lineRule="exact"/>
              <w:rPr>
                <w:sz w:val="1"/>
                <w:szCs w:val="1"/>
                <w:color w:val="auto"/>
              </w:rPr>
            </w:pPr>
          </w:p>
        </w:tc>
        <w:tc>
          <w:tcPr>
            <w:tcW w:w="48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4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hanging="592"/>
        <w:spacing w:after="0"/>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Expenses related to the consolidation of noncontrolling interests are excluded because Lazard has no economic interest in such amounts.</w:t>
      </w:r>
    </w:p>
    <w:p>
      <w:pPr>
        <w:spacing w:after="0" w:line="61" w:lineRule="exact"/>
        <w:rPr>
          <w:rFonts w:ascii="Arial" w:cs="Arial" w:eastAsia="Arial" w:hAnsi="Arial"/>
          <w:sz w:val="17"/>
          <w:szCs w:val="17"/>
          <w:color w:val="auto"/>
        </w:rPr>
      </w:pPr>
    </w:p>
    <w:p>
      <w:pPr>
        <w:ind w:left="600" w:right="340" w:hanging="592"/>
        <w:spacing w:after="0" w:line="274" w:lineRule="auto"/>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changes in fair value of the compensation liability recorded in connection with LFI and other similar deferred incentive compensation awards for which a corresponding equal amount is excluded from operating revenue.</w:t>
      </w:r>
    </w:p>
    <w:p>
      <w:pPr>
        <w:ind w:left="600" w:hanging="592"/>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expenses associated with the Enterprise Resource Planning (“ERP”) system implementation.</w:t>
      </w:r>
    </w:p>
    <w:p>
      <w:pPr>
        <w:spacing w:after="0" w:line="49" w:lineRule="exact"/>
        <w:rPr>
          <w:rFonts w:ascii="Arial" w:cs="Arial" w:eastAsia="Arial" w:hAnsi="Arial"/>
          <w:sz w:val="18"/>
          <w:szCs w:val="18"/>
          <w:color w:val="auto"/>
        </w:rPr>
      </w:pPr>
    </w:p>
    <w:p>
      <w:pPr>
        <w:ind w:left="600" w:right="200" w:hanging="592"/>
        <w:spacing w:after="0" w:line="274" w:lineRule="auto"/>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base salaries and benefits of $700,985, $692,277 and $645,172 for 2019, 2018 and 2017, respectively, and cash incentive compensation of $387,563, $443,426 and $463,322 for the respective years.</w:t>
      </w:r>
    </w:p>
    <w:p>
      <w:pPr>
        <w:ind w:left="600" w:right="360" w:hanging="592"/>
        <w:spacing w:after="0" w:line="290" w:lineRule="auto"/>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Deferred incentive compensation awards applicable to the relevant year-end compensation process (</w:t>
      </w:r>
      <w:r>
        <w:rPr>
          <w:rFonts w:ascii="Arial" w:cs="Arial" w:eastAsia="Arial" w:hAnsi="Arial"/>
          <w:sz w:val="17"/>
          <w:szCs w:val="17"/>
          <w:i w:val="1"/>
          <w:iCs w:val="1"/>
          <w:color w:val="auto"/>
        </w:rPr>
        <w:t>e.g.,</w:t>
      </w:r>
      <w:r>
        <w:rPr>
          <w:rFonts w:ascii="Arial" w:cs="Arial" w:eastAsia="Arial" w:hAnsi="Arial"/>
          <w:sz w:val="17"/>
          <w:szCs w:val="17"/>
          <w:color w:val="auto"/>
        </w:rPr>
        <w:t xml:space="preserve"> deferred incentive compensation awards granted in 2020, 2019 and 2018 related to the 2019, 2018 and 2017 year-end compensation processes, respectively).</w:t>
      </w:r>
    </w:p>
    <w:p>
      <w:pPr>
        <w:ind w:left="600" w:right="160" w:hanging="592"/>
        <w:spacing w:after="0" w:line="274" w:lineRule="auto"/>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special deferred incentive awards that are granted outside the year-end compensation process, and includes grants to new hires, retention awards and performance units earned under PRSU grants.</w:t>
      </w:r>
    </w:p>
    <w:p>
      <w:pPr>
        <w:ind w:left="600" w:right="240" w:hanging="592"/>
        <w:spacing w:after="0" w:line="342" w:lineRule="auto"/>
        <w:tabs>
          <w:tab w:leader="none" w:pos="6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 estimate, based on historical experience and future expectations, for future forfeitures of the deferred portion of such awards in order to present awarded compensation and benefits expense on a similar basis to that under U.S. GAAP, which also considers estimated forfeitures.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1"/>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6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6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Adjusted Non-Compensation Expense:</w:t>
            </w: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Total non-compensation expense</w:t>
            </w:r>
          </w:p>
        </w:tc>
        <w:tc>
          <w:tcPr>
            <w:tcW w:w="1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607,767</w:t>
            </w:r>
          </w:p>
        </w:tc>
        <w:tc>
          <w:tcPr>
            <w:tcW w:w="180" w:type="dxa"/>
            <w:vAlign w:val="bottom"/>
          </w:tcPr>
          <w:p>
            <w:pPr>
              <w:spacing w:after="0"/>
              <w:rPr>
                <w:sz w:val="19"/>
                <w:szCs w:val="19"/>
                <w:color w:val="auto"/>
              </w:rPr>
            </w:pPr>
          </w:p>
        </w:tc>
        <w:tc>
          <w:tcPr>
            <w:tcW w:w="4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649,722</w:t>
            </w:r>
          </w:p>
        </w:tc>
        <w:tc>
          <w:tcPr>
            <w:tcW w:w="24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495,636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w:t>
            </w: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ind w:left="260"/>
              <w:spacing w:after="0"/>
              <w:rPr>
                <w:sz w:val="20"/>
                <w:szCs w:val="20"/>
                <w:color w:val="auto"/>
              </w:rPr>
            </w:pPr>
            <w:r>
              <w:rPr>
                <w:rFonts w:ascii="Arial" w:cs="Arial" w:eastAsia="Arial" w:hAnsi="Arial"/>
                <w:sz w:val="18"/>
                <w:szCs w:val="18"/>
                <w:color w:val="auto"/>
              </w:rPr>
              <w:t>Expenses associated with business realignment</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(6,922)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Expenses associated with ERP system implementation (a)</w:t>
            </w: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(17,359)</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(27,495)</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(25,308)</w:t>
            </w:r>
          </w:p>
        </w:tc>
        <w:tc>
          <w:tcPr>
            <w:tcW w:w="0" w:type="dxa"/>
            <w:vAlign w:val="bottom"/>
          </w:tcPr>
          <w:p>
            <w:pPr>
              <w:spacing w:after="0"/>
              <w:rPr>
                <w:sz w:val="1"/>
                <w:szCs w:val="1"/>
                <w:color w:val="auto"/>
              </w:rPr>
            </w:pPr>
          </w:p>
        </w:tc>
      </w:tr>
      <w:tr>
        <w:trPr>
          <w:trHeight w:val="230"/>
        </w:trPr>
        <w:tc>
          <w:tcPr>
            <w:tcW w:w="5520" w:type="dxa"/>
            <w:vAlign w:val="bottom"/>
            <w:gridSpan w:val="2"/>
          </w:tcPr>
          <w:p>
            <w:pPr>
              <w:ind w:left="260"/>
              <w:spacing w:after="0"/>
              <w:rPr>
                <w:sz w:val="20"/>
                <w:szCs w:val="20"/>
                <w:color w:val="auto"/>
              </w:rPr>
            </w:pPr>
            <w:r>
              <w:rPr>
                <w:rFonts w:ascii="Arial" w:cs="Arial" w:eastAsia="Arial" w:hAnsi="Arial"/>
                <w:sz w:val="18"/>
                <w:szCs w:val="18"/>
                <w:color w:val="auto"/>
              </w:rPr>
              <w:t>Expenses relating to office space reorganization (b)</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(4,711)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(2,345)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(11,354)</w:t>
            </w:r>
          </w:p>
        </w:tc>
        <w:tc>
          <w:tcPr>
            <w:tcW w:w="0" w:type="dxa"/>
            <w:vAlign w:val="bottom"/>
          </w:tcPr>
          <w:p>
            <w:pPr>
              <w:spacing w:after="0"/>
              <w:rPr>
                <w:sz w:val="1"/>
                <w:szCs w:val="1"/>
                <w:color w:val="auto"/>
              </w:rPr>
            </w:pPr>
          </w:p>
        </w:tc>
      </w:tr>
      <w:tr>
        <w:trPr>
          <w:trHeight w:val="215"/>
        </w:trPr>
        <w:tc>
          <w:tcPr>
            <w:tcW w:w="55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Distribution fees, reimbursable deal costs and bad debt</w:t>
            </w: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ind w:left="340"/>
              <w:spacing w:after="0"/>
              <w:rPr>
                <w:sz w:val="20"/>
                <w:szCs w:val="20"/>
                <w:color w:val="auto"/>
              </w:rPr>
            </w:pPr>
            <w:r>
              <w:rPr>
                <w:rFonts w:ascii="Arial" w:cs="Arial" w:eastAsia="Arial" w:hAnsi="Arial"/>
                <w:sz w:val="18"/>
                <w:szCs w:val="18"/>
                <w:color w:val="auto"/>
              </w:rPr>
              <w:t>expense (c)</w:t>
            </w:r>
          </w:p>
        </w:tc>
        <w:tc>
          <w:tcPr>
            <w:tcW w:w="1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(75,737)</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(120,990)</w:t>
            </w: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ind w:left="260"/>
              <w:spacing w:after="0"/>
              <w:rPr>
                <w:sz w:val="20"/>
                <w:szCs w:val="20"/>
                <w:color w:val="auto"/>
              </w:rPr>
            </w:pPr>
            <w:r>
              <w:rPr>
                <w:rFonts w:ascii="Arial" w:cs="Arial" w:eastAsia="Arial" w:hAnsi="Arial"/>
                <w:sz w:val="18"/>
                <w:szCs w:val="18"/>
                <w:color w:val="auto"/>
              </w:rPr>
              <w:t>Charges pertaining to senior debt refinancing (d)</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(6,505)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(6,523)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Noncontrolling interests (e)</w:t>
            </w: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(1,693)</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(1,754)</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(1,684)</w:t>
            </w:r>
          </w:p>
        </w:tc>
        <w:tc>
          <w:tcPr>
            <w:tcW w:w="0" w:type="dxa"/>
            <w:vAlign w:val="bottom"/>
          </w:tcPr>
          <w:p>
            <w:pPr>
              <w:spacing w:after="0"/>
              <w:rPr>
                <w:sz w:val="1"/>
                <w:szCs w:val="1"/>
                <w:color w:val="auto"/>
              </w:rPr>
            </w:pPr>
          </w:p>
        </w:tc>
      </w:tr>
      <w:tr>
        <w:trPr>
          <w:trHeight w:val="230"/>
        </w:trPr>
        <w:tc>
          <w:tcPr>
            <w:tcW w:w="5520" w:type="dxa"/>
            <w:vAlign w:val="bottom"/>
            <w:gridSpan w:val="2"/>
          </w:tcPr>
          <w:p>
            <w:pPr>
              <w:ind w:left="260"/>
              <w:spacing w:after="0"/>
              <w:rPr>
                <w:sz w:val="20"/>
                <w:szCs w:val="20"/>
                <w:color w:val="auto"/>
              </w:rPr>
            </w:pPr>
            <w:r>
              <w:rPr>
                <w:rFonts w:ascii="Arial" w:cs="Arial" w:eastAsia="Arial" w:hAnsi="Arial"/>
                <w:sz w:val="18"/>
                <w:szCs w:val="18"/>
                <w:color w:val="auto"/>
              </w:rPr>
              <w:t>Expenses associated with the Lazard Foundation (f)</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Adjusted non-compensation expense</w:t>
            </w: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494,840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480,615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457,290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Adjusted non-compensation expense, as</w:t>
            </w:r>
          </w:p>
        </w:tc>
        <w:tc>
          <w:tcPr>
            <w:tcW w:w="1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20" w:type="dxa"/>
            <w:vAlign w:val="bottom"/>
            <w:gridSpan w:val="2"/>
            <w:vMerge w:val="continue"/>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ind w:left="140"/>
              <w:spacing w:after="0"/>
              <w:rPr>
                <w:sz w:val="20"/>
                <w:szCs w:val="20"/>
                <w:color w:val="auto"/>
              </w:rPr>
            </w:pPr>
            <w:r>
              <w:rPr>
                <w:rFonts w:ascii="Arial" w:cs="Arial" w:eastAsia="Arial" w:hAnsi="Arial"/>
                <w:sz w:val="18"/>
                <w:szCs w:val="18"/>
                <w:color w:val="auto"/>
              </w:rPr>
              <w:t>a % of operating revenue</w:t>
            </w: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19.6%</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37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hanging="592"/>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expenses associated with the Enterprise Resource Planning (“ERP”) system implementation.</w:t>
      </w:r>
    </w:p>
    <w:p>
      <w:pPr>
        <w:spacing w:after="0" w:line="49" w:lineRule="exact"/>
        <w:rPr>
          <w:rFonts w:ascii="Arial" w:cs="Arial" w:eastAsia="Arial" w:hAnsi="Arial"/>
          <w:sz w:val="18"/>
          <w:szCs w:val="18"/>
          <w:color w:val="auto"/>
        </w:rPr>
      </w:pPr>
    </w:p>
    <w:p>
      <w:pPr>
        <w:ind w:left="600" w:hanging="592"/>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incremental rent expense and lease abandonment costs related to office space reorganization.</w:t>
      </w:r>
    </w:p>
    <w:p>
      <w:pPr>
        <w:spacing w:after="0" w:line="49" w:lineRule="exact"/>
        <w:rPr>
          <w:rFonts w:ascii="Arial" w:cs="Arial" w:eastAsia="Arial" w:hAnsi="Arial"/>
          <w:sz w:val="18"/>
          <w:szCs w:val="18"/>
          <w:color w:val="auto"/>
        </w:rPr>
      </w:pPr>
    </w:p>
    <w:p>
      <w:pPr>
        <w:ind w:left="600" w:right="200" w:hanging="592"/>
        <w:spacing w:after="0" w:line="274" w:lineRule="auto"/>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certain distribution fees, reimbursable deal costs paid to third parties and bad debt expense relating to fees that are deemed uncollectible for which an equal amount is included for purposes of determining operating revenue.</w:t>
      </w:r>
    </w:p>
    <w:p>
      <w:pPr>
        <w:ind w:left="600" w:hanging="592"/>
        <w:spacing w:after="0" w:line="274" w:lineRule="auto"/>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2019 and 2018, represents charges pertaining to the redemption of the Company’s 4.25% senior notes due 2020 (the “2020 Notes”), due to the non-operating nature of such transaction. See “—Liquidity and Capital Resources—Financing Activities.”</w:t>
      </w:r>
    </w:p>
    <w:p>
      <w:pPr>
        <w:ind w:left="600" w:hanging="592"/>
        <w:spacing w:after="0"/>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Expenses related to the consolidation of noncontrolling interests are excluded because the Company has no economic interest in such amounts.</w:t>
      </w:r>
    </w:p>
    <w:p>
      <w:pPr>
        <w:spacing w:after="0" w:line="72" w:lineRule="exact"/>
        <w:rPr>
          <w:rFonts w:ascii="Arial" w:cs="Arial" w:eastAsia="Arial" w:hAnsi="Arial"/>
          <w:sz w:val="16"/>
          <w:szCs w:val="16"/>
          <w:color w:val="auto"/>
        </w:rPr>
      </w:pPr>
    </w:p>
    <w:p>
      <w:pPr>
        <w:ind w:left="600" w:hanging="592"/>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expenses associated with an unconditional commitment to the Lazard Foundation.</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1"/>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Earnings From Operations:</w:t>
            </w:r>
          </w:p>
        </w:tc>
        <w:tc>
          <w:tcPr>
            <w:tcW w:w="1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Operating revenue</w:t>
            </w:r>
          </w:p>
        </w:tc>
        <w:tc>
          <w:tcPr>
            <w:tcW w:w="21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2,523,981</w:t>
            </w:r>
          </w:p>
        </w:tc>
        <w:tc>
          <w:tcPr>
            <w:tcW w:w="180" w:type="dxa"/>
            <w:vAlign w:val="bottom"/>
          </w:tcPr>
          <w:p>
            <w:pPr>
              <w:spacing w:after="0"/>
              <w:rPr>
                <w:sz w:val="19"/>
                <w:szCs w:val="19"/>
                <w:color w:val="auto"/>
              </w:rPr>
            </w:pPr>
          </w:p>
        </w:tc>
        <w:tc>
          <w:tcPr>
            <w:tcW w:w="4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2,748,868</w:t>
            </w:r>
          </w:p>
        </w:tc>
        <w:tc>
          <w:tcPr>
            <w:tcW w:w="24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2,653,562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Deduct:</w:t>
            </w:r>
          </w:p>
        </w:tc>
        <w:tc>
          <w:tcPr>
            <w:tcW w:w="1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Adjusted compensation and benefits expense</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(1,454,408)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(1,510,710)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(1,475,521)</w:t>
            </w: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Adjusted non-compensation expense</w:t>
            </w:r>
          </w:p>
        </w:tc>
        <w:tc>
          <w:tcPr>
            <w:tcW w:w="1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(494,840)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(480,615)</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(457,291)</w:t>
            </w:r>
          </w:p>
        </w:tc>
        <w:tc>
          <w:tcPr>
            <w:tcW w:w="0" w:type="dxa"/>
            <w:vAlign w:val="bottom"/>
          </w:tcPr>
          <w:p>
            <w:pPr>
              <w:spacing w:after="0"/>
              <w:rPr>
                <w:sz w:val="1"/>
                <w:szCs w:val="1"/>
                <w:color w:val="auto"/>
              </w:rPr>
            </w:pPr>
          </w:p>
        </w:tc>
      </w:tr>
      <w:tr>
        <w:trPr>
          <w:trHeight w:val="263"/>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Earnings from operations</w:t>
            </w:r>
          </w:p>
        </w:tc>
        <w:tc>
          <w:tcPr>
            <w:tcW w:w="184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574,733</w:t>
            </w:r>
          </w:p>
        </w:tc>
        <w:tc>
          <w:tcPr>
            <w:tcW w:w="18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757,543</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720,750</w:t>
            </w:r>
          </w:p>
        </w:tc>
        <w:tc>
          <w:tcPr>
            <w:tcW w:w="1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Earnings from operations, as a % of operating revenue</w:t>
            </w:r>
          </w:p>
        </w:tc>
        <w:tc>
          <w:tcPr>
            <w:tcW w:w="1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22.8%</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27.6%</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tcBorders>
          </w:tcPr>
          <w:p>
            <w:pPr>
              <w:spacing w:after="0" w:line="20" w:lineRule="exact"/>
              <w:rPr>
                <w:sz w:val="1"/>
                <w:szCs w:val="1"/>
                <w:color w:val="auto"/>
              </w:rPr>
            </w:pPr>
          </w:p>
        </w:tc>
        <w:tc>
          <w:tcPr>
            <w:tcW w:w="1840" w:type="dxa"/>
            <w:vAlign w:val="bottom"/>
            <w:tcBorders>
              <w:top w:val="single" w:sz="8" w:color="CFF0FC"/>
              <w:bottom w:val="single" w:sz="8" w:color="CFF0FC"/>
            </w:tcBorders>
            <w:vMerge w:val="restart"/>
          </w:tcPr>
          <w:p>
            <w:pPr>
              <w:jc w:val="right"/>
              <w:ind w:right="730"/>
              <w:spacing w:after="0"/>
              <w:rPr>
                <w:sz w:val="20"/>
                <w:szCs w:val="20"/>
                <w:color w:val="auto"/>
              </w:rPr>
            </w:pPr>
            <w:r>
              <w:rPr>
                <w:rFonts w:ascii="Arial" w:cs="Arial" w:eastAsia="Arial" w:hAnsi="Arial"/>
                <w:sz w:val="18"/>
                <w:szCs w:val="18"/>
                <w:color w:val="auto"/>
              </w:rPr>
              <w:t>43</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8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45" w:name="page46"/>
    <w:bookmarkEnd w:id="45"/>
    <w:p>
      <w:pPr>
        <w:ind w:left="600"/>
        <w:spacing w:after="0"/>
        <w:rPr>
          <w:sz w:val="20"/>
          <w:szCs w:val="20"/>
          <w:color w:val="auto"/>
        </w:rPr>
      </w:pPr>
      <w:r>
        <w:rPr>
          <w:rFonts w:ascii="Arial" w:cs="Arial" w:eastAsia="Arial" w:hAnsi="Arial"/>
          <w:sz w:val="18"/>
          <w:szCs w:val="18"/>
          <w:color w:val="auto"/>
        </w:rPr>
        <w:t>Headcount information is set forth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6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As of December 31,</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53"/>
        </w:trPr>
        <w:tc>
          <w:tcPr>
            <w:tcW w:w="1760" w:type="dxa"/>
            <w:vAlign w:val="bottom"/>
          </w:tcPr>
          <w:p>
            <w:pPr>
              <w:spacing w:after="0"/>
              <w:rPr>
                <w:sz w:val="4"/>
                <w:szCs w:val="4"/>
                <w:color w:val="auto"/>
              </w:rPr>
            </w:pPr>
          </w:p>
        </w:tc>
        <w:tc>
          <w:tcPr>
            <w:tcW w:w="502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gridSpan w:val="2"/>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156"/>
        </w:trPr>
        <w:tc>
          <w:tcPr>
            <w:tcW w:w="176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920" w:type="dxa"/>
            <w:vAlign w:val="bottom"/>
          </w:tcPr>
          <w:p>
            <w:pPr>
              <w:ind w:left="420"/>
              <w:spacing w:after="0" w:line="155" w:lineRule="exact"/>
              <w:rPr>
                <w:sz w:val="20"/>
                <w:szCs w:val="20"/>
                <w:color w:val="auto"/>
              </w:rPr>
            </w:pPr>
            <w:r>
              <w:rPr>
                <w:rFonts w:ascii="Arial" w:cs="Arial" w:eastAsia="Arial" w:hAnsi="Arial"/>
                <w:sz w:val="14"/>
                <w:szCs w:val="14"/>
                <w:b w:val="1"/>
                <w:bCs w:val="1"/>
                <w:color w:val="auto"/>
                <w:w w:val="91"/>
              </w:rPr>
              <w:t>2019 (a)</w:t>
            </w: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4"/>
              </w:rPr>
              <w:t>2018 (b)</w:t>
            </w:r>
          </w:p>
        </w:tc>
        <w:tc>
          <w:tcPr>
            <w:tcW w:w="1340" w:type="dxa"/>
            <w:vAlign w:val="bottom"/>
          </w:tcPr>
          <w:p>
            <w:pPr>
              <w:jc w:val="right"/>
              <w:ind w:right="45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r>
      <w:tr>
        <w:trPr>
          <w:trHeight w:val="223"/>
        </w:trPr>
        <w:tc>
          <w:tcPr>
            <w:tcW w:w="67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Headcount:</w:t>
            </w:r>
          </w:p>
        </w:tc>
        <w:tc>
          <w:tcPr>
            <w:tcW w:w="9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700" w:type="dxa"/>
            <w:vAlign w:val="bottom"/>
            <w:gridSpan w:val="3"/>
          </w:tcPr>
          <w:p>
            <w:pPr>
              <w:ind w:left="260"/>
              <w:spacing w:after="0"/>
              <w:rPr>
                <w:sz w:val="20"/>
                <w:szCs w:val="20"/>
                <w:color w:val="auto"/>
              </w:rPr>
            </w:pPr>
            <w:r>
              <w:rPr>
                <w:rFonts w:ascii="Arial" w:cs="Arial" w:eastAsia="Arial" w:hAnsi="Arial"/>
                <w:sz w:val="18"/>
                <w:szCs w:val="18"/>
                <w:color w:val="auto"/>
              </w:rPr>
              <w:t>Managing Directors:</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00" w:type="dxa"/>
            <w:vAlign w:val="bottom"/>
            <w:gridSpan w:val="3"/>
            <w:shd w:val="clear" w:color="auto" w:fill="CFF0FC"/>
          </w:tcPr>
          <w:p>
            <w:pPr>
              <w:ind w:left="500"/>
              <w:spacing w:after="0"/>
              <w:rPr>
                <w:sz w:val="20"/>
                <w:szCs w:val="20"/>
                <w:color w:val="auto"/>
              </w:rPr>
            </w:pPr>
            <w:r>
              <w:rPr>
                <w:rFonts w:ascii="Arial" w:cs="Arial" w:eastAsia="Arial" w:hAnsi="Arial"/>
                <w:sz w:val="18"/>
                <w:szCs w:val="18"/>
                <w:color w:val="auto"/>
              </w:rPr>
              <w:t>Financial Advisory</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FF0FC"/>
          </w:tcPr>
          <w:p>
            <w:pPr>
              <w:spacing w:after="0"/>
              <w:rPr>
                <w:sz w:val="19"/>
                <w:szCs w:val="19"/>
                <w:color w:val="auto"/>
              </w:rPr>
            </w:pPr>
          </w:p>
        </w:tc>
      </w:tr>
      <w:tr>
        <w:trPr>
          <w:trHeight w:val="230"/>
        </w:trPr>
        <w:tc>
          <w:tcPr>
            <w:tcW w:w="7700" w:type="dxa"/>
            <w:vAlign w:val="bottom"/>
            <w:gridSpan w:val="3"/>
          </w:tcPr>
          <w:p>
            <w:pPr>
              <w:ind w:left="500"/>
              <w:spacing w:after="0"/>
              <w:rPr>
                <w:sz w:val="20"/>
                <w:szCs w:val="20"/>
                <w:color w:val="auto"/>
              </w:rPr>
            </w:pPr>
            <w:r>
              <w:rPr>
                <w:rFonts w:ascii="Arial" w:cs="Arial" w:eastAsia="Arial" w:hAnsi="Arial"/>
                <w:sz w:val="18"/>
                <w:szCs w:val="18"/>
                <w:color w:val="auto"/>
              </w:rPr>
              <w:t>Asset Management</w:t>
            </w:r>
          </w:p>
        </w:tc>
        <w:tc>
          <w:tcPr>
            <w:tcW w:w="420" w:type="dxa"/>
            <w:vAlign w:val="bottom"/>
          </w:tcPr>
          <w:p>
            <w:pPr>
              <w:jc w:val="right"/>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r>
      <w:tr>
        <w:trPr>
          <w:trHeight w:val="230"/>
        </w:trPr>
        <w:tc>
          <w:tcPr>
            <w:tcW w:w="7700" w:type="dxa"/>
            <w:vAlign w:val="bottom"/>
            <w:gridSpan w:val="3"/>
            <w:shd w:val="clear" w:color="auto" w:fill="CFF0FC"/>
          </w:tcPr>
          <w:p>
            <w:pPr>
              <w:ind w:left="500"/>
              <w:spacing w:after="0"/>
              <w:rPr>
                <w:sz w:val="20"/>
                <w:szCs w:val="20"/>
                <w:color w:val="auto"/>
              </w:rPr>
            </w:pPr>
            <w:r>
              <w:rPr>
                <w:rFonts w:ascii="Arial" w:cs="Arial" w:eastAsia="Arial" w:hAnsi="Arial"/>
                <w:sz w:val="18"/>
                <w:szCs w:val="18"/>
                <w:color w:val="auto"/>
              </w:rPr>
              <w:t>Corporate</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19"/>
                <w:szCs w:val="19"/>
                <w:color w:val="auto"/>
              </w:rPr>
            </w:pPr>
          </w:p>
        </w:tc>
      </w:tr>
      <w:tr>
        <w:trPr>
          <w:trHeight w:val="223"/>
        </w:trPr>
        <w:tc>
          <w:tcPr>
            <w:tcW w:w="6780" w:type="dxa"/>
            <w:vAlign w:val="bottom"/>
            <w:gridSpan w:val="2"/>
          </w:tcPr>
          <w:p>
            <w:pPr>
              <w:ind w:left="500"/>
              <w:spacing w:after="0"/>
              <w:rPr>
                <w:sz w:val="20"/>
                <w:szCs w:val="20"/>
                <w:color w:val="auto"/>
              </w:rPr>
            </w:pPr>
            <w:r>
              <w:rPr>
                <w:rFonts w:ascii="Arial" w:cs="Arial" w:eastAsia="Arial" w:hAnsi="Arial"/>
                <w:sz w:val="18"/>
                <w:szCs w:val="18"/>
                <w:color w:val="auto"/>
              </w:rPr>
              <w:t>Total Managing Directors</w:t>
            </w:r>
          </w:p>
        </w:tc>
        <w:tc>
          <w:tcPr>
            <w:tcW w:w="9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26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26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r>
      <w:tr>
        <w:trPr>
          <w:trHeight w:val="230"/>
        </w:trPr>
        <w:tc>
          <w:tcPr>
            <w:tcW w:w="770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Other Business Segment Professionals and Support Staff:</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00" w:type="dxa"/>
            <w:vAlign w:val="bottom"/>
            <w:gridSpan w:val="3"/>
          </w:tcPr>
          <w:p>
            <w:pPr>
              <w:ind w:left="500"/>
              <w:spacing w:after="0"/>
              <w:rPr>
                <w:sz w:val="20"/>
                <w:szCs w:val="20"/>
                <w:color w:val="auto"/>
              </w:rPr>
            </w:pPr>
            <w:r>
              <w:rPr>
                <w:rFonts w:ascii="Arial" w:cs="Arial" w:eastAsia="Arial" w:hAnsi="Arial"/>
                <w:sz w:val="18"/>
                <w:szCs w:val="18"/>
                <w:color w:val="auto"/>
              </w:rPr>
              <w:t>Financial Advisory</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1,342</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1,300</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1,171</w:t>
            </w:r>
          </w:p>
        </w:tc>
        <w:tc>
          <w:tcPr>
            <w:tcW w:w="100" w:type="dxa"/>
            <w:vAlign w:val="bottom"/>
          </w:tcPr>
          <w:p>
            <w:pPr>
              <w:spacing w:after="0"/>
              <w:rPr>
                <w:sz w:val="19"/>
                <w:szCs w:val="19"/>
                <w:color w:val="auto"/>
              </w:rPr>
            </w:pPr>
          </w:p>
        </w:tc>
      </w:tr>
      <w:tr>
        <w:trPr>
          <w:trHeight w:val="230"/>
        </w:trPr>
        <w:tc>
          <w:tcPr>
            <w:tcW w:w="7700" w:type="dxa"/>
            <w:vAlign w:val="bottom"/>
            <w:gridSpan w:val="3"/>
            <w:shd w:val="clear" w:color="auto" w:fill="CFF0FC"/>
          </w:tcPr>
          <w:p>
            <w:pPr>
              <w:ind w:left="500"/>
              <w:spacing w:after="0"/>
              <w:rPr>
                <w:sz w:val="20"/>
                <w:szCs w:val="20"/>
                <w:color w:val="auto"/>
              </w:rPr>
            </w:pPr>
            <w:r>
              <w:rPr>
                <w:rFonts w:ascii="Arial" w:cs="Arial" w:eastAsia="Arial" w:hAnsi="Arial"/>
                <w:sz w:val="18"/>
                <w:szCs w:val="18"/>
                <w:color w:val="auto"/>
              </w:rPr>
              <w:t>Asset Management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w:t>
            </w:r>
          </w:p>
        </w:tc>
        <w:tc>
          <w:tcPr>
            <w:tcW w:w="100" w:type="dxa"/>
            <w:vAlign w:val="bottom"/>
            <w:shd w:val="clear" w:color="auto" w:fill="CFF0FC"/>
          </w:tcPr>
          <w:p>
            <w:pPr>
              <w:spacing w:after="0"/>
              <w:rPr>
                <w:sz w:val="19"/>
                <w:szCs w:val="19"/>
                <w:color w:val="auto"/>
              </w:rPr>
            </w:pPr>
          </w:p>
        </w:tc>
      </w:tr>
      <w:tr>
        <w:trPr>
          <w:trHeight w:val="230"/>
        </w:trPr>
        <w:tc>
          <w:tcPr>
            <w:tcW w:w="7700" w:type="dxa"/>
            <w:vAlign w:val="bottom"/>
            <w:gridSpan w:val="3"/>
          </w:tcPr>
          <w:p>
            <w:pPr>
              <w:ind w:left="500"/>
              <w:spacing w:after="0"/>
              <w:rPr>
                <w:sz w:val="20"/>
                <w:szCs w:val="20"/>
                <w:color w:val="auto"/>
              </w:rPr>
            </w:pPr>
            <w:r>
              <w:rPr>
                <w:rFonts w:ascii="Arial" w:cs="Arial" w:eastAsia="Arial" w:hAnsi="Arial"/>
                <w:sz w:val="18"/>
                <w:szCs w:val="18"/>
                <w:color w:val="auto"/>
              </w:rPr>
              <w:t>Corporate</w:t>
            </w:r>
          </w:p>
        </w:tc>
        <w:tc>
          <w:tcPr>
            <w:tcW w:w="420" w:type="dxa"/>
            <w:vAlign w:val="bottom"/>
          </w:tcPr>
          <w:p>
            <w:pPr>
              <w:jc w:val="right"/>
              <w:spacing w:after="0"/>
              <w:rPr>
                <w:sz w:val="20"/>
                <w:szCs w:val="20"/>
                <w:color w:val="auto"/>
              </w:rPr>
            </w:pPr>
            <w:r>
              <w:rPr>
                <w:rFonts w:ascii="Arial" w:cs="Arial" w:eastAsia="Arial" w:hAnsi="Arial"/>
                <w:sz w:val="18"/>
                <w:szCs w:val="18"/>
                <w:color w:val="auto"/>
              </w:rPr>
              <w:t>389</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383</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9"/>
                <w:szCs w:val="19"/>
                <w:color w:val="auto"/>
              </w:rPr>
            </w:pPr>
          </w:p>
        </w:tc>
      </w:tr>
      <w:tr>
        <w:trPr>
          <w:trHeight w:val="223"/>
        </w:trPr>
        <w:tc>
          <w:tcPr>
            <w:tcW w:w="6780" w:type="dxa"/>
            <w:vAlign w:val="bottom"/>
            <w:tcBorders>
              <w:top w:val="single" w:sz="8" w:color="CFF0FC"/>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3,000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7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50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6" w:lineRule="exact"/>
        <w:rPr>
          <w:sz w:val="20"/>
          <w:szCs w:val="20"/>
          <w:color w:val="auto"/>
        </w:rPr>
      </w:pPr>
    </w:p>
    <w:p>
      <w:pPr>
        <w:ind w:left="600" w:hanging="592"/>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the impact of business realignment as of December 31, 2019.</w:t>
      </w:r>
    </w:p>
    <w:p>
      <w:pPr>
        <w:spacing w:after="0" w:line="49" w:lineRule="exact"/>
        <w:rPr>
          <w:rFonts w:ascii="Arial" w:cs="Arial" w:eastAsia="Arial" w:hAnsi="Arial"/>
          <w:sz w:val="18"/>
          <w:szCs w:val="18"/>
          <w:color w:val="auto"/>
        </w:rPr>
      </w:pPr>
    </w:p>
    <w:p>
      <w:pPr>
        <w:ind w:left="600" w:right="600" w:hanging="592"/>
        <w:spacing w:after="0" w:line="277" w:lineRule="auto"/>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Reduction in the Corporate segment in 2018 relates to a realignment of certain headcount from Corporate to the Financial Advisory and Asset Management segments.</w:t>
      </w:r>
    </w:p>
    <w:p>
      <w:pPr>
        <w:spacing w:after="0" w:line="62"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A review of our operating results for the year ended December 31, 2019 compared to our operating results for the year ended December 31, 2018 appears below. A detailed review of our operating results for the year ended December 31, 2018 compared to the year ended December 31, 2017 is set forth in Part II, Item 7 of our Annual Report on Form 10-K for the year ended December 31, 2018 under the caption “Management’s Discussion and Analysis of Financial Condition and Results of Operations—Operating Results”.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2019 versus December 31, 2018</w:t>
      </w:r>
    </w:p>
    <w:p>
      <w:pPr>
        <w:spacing w:after="0" w:line="117" w:lineRule="exact"/>
        <w:rPr>
          <w:sz w:val="20"/>
          <w:szCs w:val="20"/>
          <w:color w:val="auto"/>
        </w:rPr>
      </w:pPr>
    </w:p>
    <w:p>
      <w:pPr>
        <w:ind w:right="720" w:firstLine="598"/>
        <w:spacing w:after="0" w:line="277" w:lineRule="auto"/>
        <w:rPr>
          <w:sz w:val="20"/>
          <w:szCs w:val="20"/>
          <w:color w:val="auto"/>
        </w:rPr>
      </w:pPr>
      <w:r>
        <w:rPr>
          <w:rFonts w:ascii="Arial" w:cs="Arial" w:eastAsia="Arial" w:hAnsi="Arial"/>
          <w:sz w:val="18"/>
          <w:szCs w:val="18"/>
          <w:color w:val="auto"/>
        </w:rPr>
        <w:t>The Company reported net income attributable to Lazard Group of $322 million, as compared to net income attributable to Lazard Group of $566 million in 2018.</w:t>
      </w:r>
    </w:p>
    <w:p>
      <w:pPr>
        <w:spacing w:after="0" w:line="170" w:lineRule="exact"/>
        <w:rPr>
          <w:sz w:val="20"/>
          <w:szCs w:val="20"/>
          <w:color w:val="auto"/>
        </w:rPr>
      </w:pPr>
    </w:p>
    <w:p>
      <w:pPr>
        <w:ind w:right="140" w:firstLine="598"/>
        <w:spacing w:after="0" w:line="259" w:lineRule="auto"/>
        <w:rPr>
          <w:sz w:val="20"/>
          <w:szCs w:val="20"/>
          <w:color w:val="auto"/>
        </w:rPr>
      </w:pPr>
      <w:r>
        <w:rPr>
          <w:rFonts w:ascii="Arial" w:cs="Arial" w:eastAsia="Arial" w:hAnsi="Arial"/>
          <w:sz w:val="18"/>
          <w:szCs w:val="18"/>
          <w:color w:val="auto"/>
        </w:rPr>
        <w:t>Net revenue decreased $254 million, or 9%, with operating revenue decreasing $225 million, or 8%, as compared to 2018. Fee revenue from investment banking and other advisory activities decreased $198 million, or 13%, as compared to 2018. Asset management fees, including incentive fees, decreased $88 million, or 7%, as compared to 2018. In the aggregate, interest income, other revenue and interest expense increased $31 million as compared to 2018.</w:t>
      </w:r>
    </w:p>
    <w:p>
      <w:pPr>
        <w:spacing w:after="0" w:line="187" w:lineRule="exact"/>
        <w:rPr>
          <w:sz w:val="20"/>
          <w:szCs w:val="20"/>
          <w:color w:val="auto"/>
        </w:rPr>
      </w:pPr>
    </w:p>
    <w:p>
      <w:pPr>
        <w:ind w:right="440" w:firstLine="598"/>
        <w:spacing w:after="0" w:line="277" w:lineRule="auto"/>
        <w:rPr>
          <w:sz w:val="20"/>
          <w:szCs w:val="20"/>
          <w:color w:val="auto"/>
        </w:rPr>
      </w:pPr>
      <w:r>
        <w:rPr>
          <w:rFonts w:ascii="Arial" w:cs="Arial" w:eastAsia="Arial" w:hAnsi="Arial"/>
          <w:sz w:val="18"/>
          <w:szCs w:val="18"/>
          <w:color w:val="auto"/>
        </w:rPr>
        <w:t>Compensation and benefits expense, which included $57 million associated with business realignment in 2019, increased $45 million, or 3%, as compared to 2018.</w:t>
      </w:r>
    </w:p>
    <w:p>
      <w:pPr>
        <w:spacing w:after="0" w:line="170"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Adjusted compensation and benefits expense was $1,454 million, a decrease of $56 million, or 4%, as compared to $1,511 million in 2018. The ratio of adjusted compensation and benefits expense to operating revenue was 57.6% for 2019, as compared to 55.0% for 2018. Awarded compensation and benefits expense in 2019 was $1,458 million, a decrease of $72 million, or 5%, when compared to $1,530 million in 2018. The ratio of awarded compensation and benefits expense to operating revenue was 57.7%, as compared to 55.7% for 2018. The year-end deferred incentive compensation awarded for 2019 was $358 million, representing a decrease of $18 million, or 5%, as compared to 2018. As described above, when analyzing compensation and benefits expense on a full-year basis, we believe that awarded compensation and benefits expense provides the most meaningful basis for comparison of compensation and benefits expense between present, historical and future years.</w:t>
      </w:r>
    </w:p>
    <w:p>
      <w:pPr>
        <w:spacing w:after="0" w:line="178" w:lineRule="exact"/>
        <w:rPr>
          <w:sz w:val="20"/>
          <w:szCs w:val="20"/>
          <w:color w:val="auto"/>
        </w:rPr>
      </w:pPr>
    </w:p>
    <w:p>
      <w:pPr>
        <w:ind w:right="80" w:firstLine="598"/>
        <w:spacing w:after="0" w:line="312" w:lineRule="auto"/>
        <w:rPr>
          <w:sz w:val="20"/>
          <w:szCs w:val="20"/>
          <w:color w:val="auto"/>
        </w:rPr>
      </w:pPr>
      <w:r>
        <w:rPr>
          <w:rFonts w:ascii="Arial" w:cs="Arial" w:eastAsia="Arial" w:hAnsi="Arial"/>
          <w:sz w:val="16"/>
          <w:szCs w:val="16"/>
          <w:color w:val="auto"/>
        </w:rPr>
        <w:t>Non-compensation expense decreased $42 million, or 6%, as compared to 2018, primarily due to higher bad debt expense in 2018 and lower fund administration fees in 2019, partially offset by investments in technology infrastructure and increased business development expenses in 2019. Adjusted non-compensation expense increased $14 million, or 3%, as compared to 2018, primarily due to investments in technology infrastructure and increased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 w:name="page47"/>
    <w:bookmarkEnd w:id="46"/>
    <w:p>
      <w:pPr>
        <w:ind w:right="60"/>
        <w:spacing w:after="0" w:line="277" w:lineRule="auto"/>
        <w:rPr>
          <w:sz w:val="20"/>
          <w:szCs w:val="20"/>
          <w:color w:val="auto"/>
        </w:rPr>
      </w:pPr>
      <w:r>
        <w:rPr>
          <w:rFonts w:ascii="Arial" w:cs="Arial" w:eastAsia="Arial" w:hAnsi="Arial"/>
          <w:sz w:val="18"/>
          <w:szCs w:val="18"/>
          <w:color w:val="auto"/>
        </w:rPr>
        <w:t>business development expenses in 2019. The ratio of adjusted non-compensation expense to operating revenue was 19.6% for 2019, as compared to 17.5% in 2018.</w:t>
      </w:r>
    </w:p>
    <w:p>
      <w:pPr>
        <w:spacing w:after="0" w:line="170" w:lineRule="exact"/>
        <w:rPr>
          <w:sz w:val="20"/>
          <w:szCs w:val="20"/>
          <w:color w:val="auto"/>
        </w:rPr>
      </w:pPr>
    </w:p>
    <w:p>
      <w:pPr>
        <w:ind w:right="20" w:firstLine="598"/>
        <w:spacing w:after="0" w:line="277" w:lineRule="auto"/>
        <w:rPr>
          <w:sz w:val="20"/>
          <w:szCs w:val="20"/>
          <w:color w:val="auto"/>
        </w:rPr>
      </w:pPr>
      <w:r>
        <w:rPr>
          <w:rFonts w:ascii="Arial" w:cs="Arial" w:eastAsia="Arial" w:hAnsi="Arial"/>
          <w:sz w:val="18"/>
          <w:szCs w:val="18"/>
          <w:color w:val="auto"/>
        </w:rPr>
        <w:t>Amortization and other acquisition-related (benefits) costs reflect a cost of $1 million in the 2019 period, as compared to a benefit of $1 million in the 2018 period, primarily due to the change in the fair market value of contingent consideration.</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Operating income decreased $259 million, or 39%, as compared to 2018.</w:t>
      </w:r>
    </w:p>
    <w:p>
      <w:pPr>
        <w:spacing w:after="0" w:line="225"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Earnings from operations decreased $183 million, or 24%, as compared to 2018, and, as a percentage of operating revenue, was 22.8%, as compared to 27.6% in 2018.</w:t>
      </w:r>
    </w:p>
    <w:p>
      <w:pPr>
        <w:spacing w:after="0" w:line="170" w:lineRule="exact"/>
        <w:rPr>
          <w:sz w:val="20"/>
          <w:szCs w:val="20"/>
          <w:color w:val="auto"/>
        </w:rPr>
      </w:pPr>
    </w:p>
    <w:p>
      <w:pPr>
        <w:ind w:right="20" w:firstLine="598"/>
        <w:spacing w:after="0" w:line="277" w:lineRule="auto"/>
        <w:rPr>
          <w:sz w:val="20"/>
          <w:szCs w:val="20"/>
          <w:color w:val="auto"/>
        </w:rPr>
      </w:pPr>
      <w:r>
        <w:rPr>
          <w:rFonts w:ascii="Arial" w:cs="Arial" w:eastAsia="Arial" w:hAnsi="Arial"/>
          <w:sz w:val="18"/>
          <w:szCs w:val="18"/>
          <w:color w:val="auto"/>
        </w:rPr>
        <w:t>The provision for income taxes reflects an effective tax rate of 16.6%, as compared to 13.4% in 2018. See Note 19 of Notes to Consolidated Financial Statements and “Critical Accounting Policies—Income Taxes” below.</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Net income attributable to noncontrolling interests increased $6 million as compared to 2018.</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right="620" w:firstLine="598"/>
        <w:spacing w:after="0" w:line="291" w:lineRule="auto"/>
        <w:rPr>
          <w:sz w:val="20"/>
          <w:szCs w:val="20"/>
          <w:color w:val="auto"/>
        </w:rPr>
      </w:pPr>
      <w:r>
        <w:rPr>
          <w:rFonts w:ascii="Arial" w:cs="Arial" w:eastAsia="Arial" w:hAnsi="Arial"/>
          <w:sz w:val="16"/>
          <w:szCs w:val="16"/>
          <w:color w:val="auto"/>
        </w:rPr>
        <w:t>The following is a discussion of net revenue and operating income for the Company’s segments: Financial Advisory, Asset Management and Corporate. Each segment’s operating expenses include (i) compensation and benefits expenses that are incurred directly in support of the segment and</w:t>
      </w:r>
    </w:p>
    <w:p>
      <w:pPr>
        <w:ind w:right="20" w:firstLine="8"/>
        <w:spacing w:after="0" w:line="271" w:lineRule="auto"/>
        <w:tabs>
          <w:tab w:leader="none" w:pos="265" w:val="left"/>
        </w:tabs>
        <w:numPr>
          <w:ilvl w:val="0"/>
          <w:numId w:val="33"/>
        </w:numPr>
        <w:rPr>
          <w:rFonts w:ascii="Arial" w:cs="Arial" w:eastAsia="Arial" w:hAnsi="Arial"/>
          <w:sz w:val="17"/>
          <w:szCs w:val="17"/>
          <w:color w:val="auto"/>
        </w:rPr>
      </w:pPr>
      <w:r>
        <w:rPr>
          <w:rFonts w:ascii="Arial" w:cs="Arial" w:eastAsia="Arial" w:hAnsi="Arial"/>
          <w:sz w:val="17"/>
          <w:szCs w:val="17"/>
          <w:color w:val="auto"/>
        </w:rPr>
        <w:t>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human resources, legal, information technology, facilities management and senior management activities. Such support costs are allocated to the relevant segments based on various statistical drivers such as revenue, headcount, square footage and other factors.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the reported operating results attributable to the Financial Advisory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4"/>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6"/>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Revenue</w:t>
            </w:r>
          </w:p>
        </w:tc>
        <w:tc>
          <w:tcPr>
            <w:tcW w:w="21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1,352,168</w:t>
            </w:r>
          </w:p>
        </w:tc>
        <w:tc>
          <w:tcPr>
            <w:tcW w:w="1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1,548,918</w:t>
            </w:r>
          </w:p>
        </w:tc>
        <w:tc>
          <w:tcPr>
            <w:tcW w:w="2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1,386,688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Operating Expenses</w:t>
            </w:r>
          </w:p>
        </w:tc>
        <w:tc>
          <w:tcPr>
            <w:tcW w:w="18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1,196,906</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1,206,511</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1,130,186</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Income (a)</w:t>
            </w:r>
          </w:p>
        </w:tc>
        <w:tc>
          <w:tcPr>
            <w:tcW w:w="18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155,262</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342,407</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256,502</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as a % of net revenue</w:t>
            </w:r>
          </w:p>
        </w:tc>
        <w:tc>
          <w:tcPr>
            <w:tcW w:w="1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gridSpan w:val="2"/>
            <w:vMerge w:val="continue"/>
          </w:tcPr>
          <w:p>
            <w:pPr>
              <w:spacing w:after="0"/>
              <w:rPr>
                <w:sz w:val="18"/>
                <w:szCs w:val="18"/>
                <w:color w:val="auto"/>
              </w:rPr>
            </w:pP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30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right="3060" w:hanging="592"/>
        <w:spacing w:after="0" w:line="611" w:lineRule="auto"/>
        <w:tabs>
          <w:tab w:leader="none" w:pos="596" w:val="left"/>
        </w:tabs>
        <w:numPr>
          <w:ilvl w:val="0"/>
          <w:numId w:val="34"/>
        </w:numPr>
        <w:rPr>
          <w:rFonts w:ascii="Arial" w:cs="Arial" w:eastAsia="Arial" w:hAnsi="Arial"/>
          <w:sz w:val="16"/>
          <w:szCs w:val="16"/>
          <w:color w:val="auto"/>
        </w:rPr>
      </w:pPr>
      <w:r>
        <w:rPr>
          <w:rFonts w:ascii="Arial" w:cs="Arial" w:eastAsia="Arial" w:hAnsi="Arial"/>
          <w:sz w:val="16"/>
          <w:szCs w:val="16"/>
          <w:color w:val="auto"/>
        </w:rPr>
        <w:t>See Note 18 of Notes to Consolidated Financial Statements for information regarding business realignment. Certain Lazard fee and transaction statistics for the Financial Advisory segment are set forth below:</w:t>
      </w:r>
    </w:p>
    <w:p>
      <w:pPr>
        <w:ind w:left="812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20" w:type="dxa"/>
            <w:vAlign w:val="bottom"/>
          </w:tcPr>
          <w:p>
            <w:pPr>
              <w:spacing w:after="0"/>
              <w:rPr>
                <w:sz w:val="13"/>
                <w:szCs w:val="13"/>
                <w:color w:val="auto"/>
              </w:rPr>
            </w:pPr>
          </w:p>
        </w:tc>
        <w:tc>
          <w:tcPr>
            <w:tcW w:w="920" w:type="dxa"/>
            <w:vAlign w:val="bottom"/>
            <w:tcBorders>
              <w:top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2019</w:t>
            </w:r>
          </w:p>
        </w:tc>
        <w:tc>
          <w:tcPr>
            <w:tcW w:w="1660" w:type="dxa"/>
            <w:vAlign w:val="bottom"/>
            <w:tcBorders>
              <w:top w:val="single" w:sz="8" w:color="auto"/>
            </w:tcBorders>
            <w:gridSpan w:val="3"/>
          </w:tcPr>
          <w:p>
            <w:pPr>
              <w:jc w:val="right"/>
              <w:ind w:right="120"/>
              <w:spacing w:after="0" w:line="155"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3"/>
                <w:szCs w:val="13"/>
                <w:color w:val="auto"/>
              </w:rPr>
            </w:pPr>
          </w:p>
        </w:tc>
      </w:tr>
      <w:tr>
        <w:trPr>
          <w:trHeight w:val="223"/>
        </w:trPr>
        <w:tc>
          <w:tcPr>
            <w:tcW w:w="6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Lazard Statistics:</w:t>
            </w:r>
          </w:p>
        </w:tc>
        <w:tc>
          <w:tcPr>
            <w:tcW w:w="92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Number of clients with fees greater than $1 million:</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75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Financial Advisory</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180" w:type="dxa"/>
            <w:vAlign w:val="bottom"/>
            <w:shd w:val="clear" w:color="auto" w:fill="CFF0FC"/>
          </w:tcPr>
          <w:p>
            <w:pPr>
              <w:spacing w:after="0"/>
              <w:rPr>
                <w:sz w:val="19"/>
                <w:szCs w:val="19"/>
                <w:color w:val="auto"/>
              </w:rPr>
            </w:pPr>
          </w:p>
        </w:tc>
      </w:tr>
      <w:tr>
        <w:trPr>
          <w:trHeight w:val="215"/>
        </w:trPr>
        <w:tc>
          <w:tcPr>
            <w:tcW w:w="7540" w:type="dxa"/>
            <w:vAlign w:val="bottom"/>
            <w:gridSpan w:val="2"/>
          </w:tcPr>
          <w:p>
            <w:pPr>
              <w:spacing w:after="0"/>
              <w:rPr>
                <w:sz w:val="20"/>
                <w:szCs w:val="20"/>
                <w:color w:val="auto"/>
              </w:rPr>
            </w:pPr>
            <w:r>
              <w:rPr>
                <w:rFonts w:ascii="Arial" w:cs="Arial" w:eastAsia="Arial" w:hAnsi="Arial"/>
                <w:sz w:val="18"/>
                <w:szCs w:val="18"/>
                <w:color w:val="auto"/>
              </w:rPr>
              <w:t>Percentage of total Financial Advisory net revenue</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7540" w:type="dxa"/>
            <w:vAlign w:val="bottom"/>
            <w:gridSpan w:val="2"/>
          </w:tcPr>
          <w:p>
            <w:pPr>
              <w:ind w:left="140"/>
              <w:spacing w:after="0"/>
              <w:rPr>
                <w:sz w:val="20"/>
                <w:szCs w:val="20"/>
                <w:color w:val="auto"/>
              </w:rPr>
            </w:pPr>
            <w:r>
              <w:rPr>
                <w:rFonts w:ascii="Arial" w:cs="Arial" w:eastAsia="Arial" w:hAnsi="Arial"/>
                <w:sz w:val="18"/>
                <w:szCs w:val="18"/>
                <w:color w:val="auto"/>
              </w:rPr>
              <w:t>from top 10 clients (a)</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92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r>
      <w:tr>
        <w:trPr>
          <w:trHeight w:val="215"/>
        </w:trPr>
        <w:tc>
          <w:tcPr>
            <w:tcW w:w="7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Number of M&amp;A transactions completed with</w:t>
            </w: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75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values greater than $500 million (b)</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3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3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FF0FC"/>
          </w:tcPr>
          <w:p>
            <w:pPr>
              <w:spacing w:after="0"/>
              <w:rPr>
                <w:sz w:val="20"/>
                <w:szCs w:val="20"/>
                <w:color w:val="auto"/>
              </w:rPr>
            </w:pPr>
          </w:p>
        </w:tc>
      </w:tr>
      <w:tr>
        <w:trPr>
          <w:trHeight w:val="432"/>
        </w:trPr>
        <w:tc>
          <w:tcPr>
            <w:tcW w:w="6620" w:type="dxa"/>
            <w:vAlign w:val="bottom"/>
          </w:tcPr>
          <w:p>
            <w:pPr>
              <w:ind w:left="5620"/>
              <w:spacing w:after="0"/>
              <w:rPr>
                <w:sz w:val="20"/>
                <w:szCs w:val="20"/>
                <w:color w:val="auto"/>
              </w:rPr>
            </w:pPr>
            <w:r>
              <w:rPr>
                <w:rFonts w:ascii="Arial" w:cs="Arial" w:eastAsia="Arial" w:hAnsi="Arial"/>
                <w:sz w:val="18"/>
                <w:szCs w:val="18"/>
                <w:color w:val="auto"/>
              </w:rPr>
              <w:t>45</w:t>
            </w: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66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7" w:name="page48"/>
    <w:bookmarkEnd w:id="47"/>
    <w:p>
      <w:pPr>
        <w:ind w:left="600" w:right="400" w:hanging="592"/>
        <w:spacing w:after="0" w:line="274" w:lineRule="auto"/>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11150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15060" cy="8890"/>
                    </a:xfrm>
                    <a:prstGeom prst="rect">
                      <a:avLst/>
                    </a:prstGeom>
                    <a:noFill/>
                  </pic:spPr>
                </pic:pic>
              </a:graphicData>
            </a:graphic>
          </wp:anchor>
        </w:drawing>
        <w:t>No individual client constituted more than 10% of our Financial Advisory segment net revenue in the years ended December 31, 2019, 2018 and 2017.</w:t>
      </w:r>
    </w:p>
    <w:p>
      <w:pPr>
        <w:ind w:left="600" w:hanging="592"/>
        <w:spacing w:after="0"/>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Source: Dealogic as of January 3, 2020.</w:t>
      </w:r>
    </w:p>
    <w:p>
      <w:pPr>
        <w:spacing w:after="0" w:line="225"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The geographical distribution of Financial Advisory net revenue is set forth below in percentage terms and is based on the Lazard offices that generate Financial Advisory net revenue, which are located in the Americas (primarily in the U.S. and Latin America), EMEA (primarily in the U.K., France, Germany, Italy and Spain) and the Asia Pacific region (primarily in Australia) and therefore may not be reflective of the geography in which the clients are located.</w:t>
      </w:r>
    </w:p>
    <w:p>
      <w:pPr>
        <w:spacing w:after="0" w:line="260" w:lineRule="exact"/>
        <w:rPr>
          <w:sz w:val="20"/>
          <w:szCs w:val="20"/>
          <w:color w:val="auto"/>
        </w:rPr>
      </w:pPr>
    </w:p>
    <w:p>
      <w:pPr>
        <w:ind w:left="812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20" w:type="dxa"/>
            <w:vAlign w:val="bottom"/>
            <w:tcBorders>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CFF0FC"/>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r>
      <w:tr>
        <w:trPr>
          <w:trHeight w:val="223"/>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9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65%</w:t>
            </w:r>
          </w:p>
        </w:tc>
        <w:tc>
          <w:tcPr>
            <w:tcW w:w="9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60%</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w:t>
            </w: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EMEA</w:t>
            </w:r>
          </w:p>
        </w:tc>
        <w:tc>
          <w:tcPr>
            <w:tcW w:w="400" w:type="dxa"/>
            <w:vAlign w:val="bottom"/>
          </w:tcPr>
          <w:p>
            <w:pPr>
              <w:jc w:val="right"/>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9"/>
                <w:szCs w:val="19"/>
                <w:color w:val="auto"/>
              </w:rPr>
            </w:pPr>
          </w:p>
        </w:tc>
      </w:tr>
      <w:tr>
        <w:trPr>
          <w:trHeight w:val="230"/>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92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20" w:type="dxa"/>
            <w:vAlign w:val="bottom"/>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Total</w:t>
            </w:r>
          </w:p>
        </w:tc>
        <w:tc>
          <w:tcPr>
            <w:tcW w:w="92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92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6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firstLine="598"/>
        <w:spacing w:after="0" w:line="297"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restructuring and other strategic advisory matters,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or other services. Accordingly, Lazard measures performance in its Financial Advisory segment based on overall segment operating revenue and operating income margins.</w:t>
      </w:r>
    </w:p>
    <w:p>
      <w:pPr>
        <w:spacing w:after="0" w:line="26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2019 versus December 31, 2018</w:t>
      </w:r>
    </w:p>
    <w:p>
      <w:pPr>
        <w:spacing w:after="0" w:line="117" w:lineRule="exact"/>
        <w:rPr>
          <w:sz w:val="20"/>
          <w:szCs w:val="20"/>
          <w:color w:val="auto"/>
        </w:rPr>
      </w:pPr>
    </w:p>
    <w:p>
      <w:pPr>
        <w:ind w:right="60" w:firstLine="598"/>
        <w:spacing w:after="0" w:line="277" w:lineRule="auto"/>
        <w:rPr>
          <w:sz w:val="20"/>
          <w:szCs w:val="20"/>
          <w:color w:val="auto"/>
        </w:rPr>
      </w:pPr>
      <w:r>
        <w:rPr>
          <w:rFonts w:ascii="Arial" w:cs="Arial" w:eastAsia="Arial" w:hAnsi="Arial"/>
          <w:sz w:val="18"/>
          <w:szCs w:val="18"/>
          <w:color w:val="auto"/>
        </w:rPr>
        <w:t>Financial Advisory net revenue decreased $197 million, or 13%, as compared to 2018. The decrease in Financial Advisory net revenue was primarily a result of a decrease in the number of fees greater than $5 million as compared to 2018.</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Operating expenses, which included $40 million associated with business realignment in 2019, decreased $10 million, or 1%, as compared to 2018.</w:t>
      </w:r>
    </w:p>
    <w:p>
      <w:pPr>
        <w:spacing w:after="0" w:line="248" w:lineRule="exact"/>
        <w:rPr>
          <w:sz w:val="20"/>
          <w:szCs w:val="20"/>
          <w:color w:val="auto"/>
        </w:rPr>
      </w:pPr>
    </w:p>
    <w:p>
      <w:pPr>
        <w:ind w:right="400" w:firstLine="598"/>
        <w:spacing w:after="0" w:line="277" w:lineRule="auto"/>
        <w:rPr>
          <w:sz w:val="20"/>
          <w:szCs w:val="20"/>
          <w:color w:val="auto"/>
        </w:rPr>
      </w:pPr>
      <w:r>
        <w:rPr>
          <w:rFonts w:ascii="Arial" w:cs="Arial" w:eastAsia="Arial" w:hAnsi="Arial"/>
          <w:sz w:val="18"/>
          <w:szCs w:val="18"/>
          <w:color w:val="auto"/>
        </w:rPr>
        <w:t>Financial Advisory operating income was $155 million, a decrease of $187 million, or 55%, as compared to operating income of $342 million in 2018 and, as a percentage of net revenue, was 11.5%, as compared to 22.1% in 2018.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Asset Management</w:t>
      </w:r>
    </w:p>
    <w:p>
      <w:pPr>
        <w:spacing w:after="0" w:line="121"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color w:val="auto"/>
        </w:rPr>
        <w:t>The following table shows the composition of AUM for the Asset Management segment (see Item 1, “Business—Principal Business Lines—Asset Management—Investment Strategies”):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As of December 31,</w:t>
            </w: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3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r>
      <w:tr>
        <w:trPr>
          <w:trHeight w:val="156"/>
        </w:trPr>
        <w:tc>
          <w:tcPr>
            <w:tcW w:w="43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172"/>
              <w:spacing w:after="0" w:line="155" w:lineRule="exact"/>
              <w:rPr>
                <w:sz w:val="20"/>
                <w:szCs w:val="20"/>
                <w:color w:val="auto"/>
              </w:rPr>
            </w:pPr>
            <w:r>
              <w:rPr>
                <w:rFonts w:ascii="Arial" w:cs="Arial" w:eastAsia="Arial" w:hAnsi="Arial"/>
                <w:sz w:val="14"/>
                <w:szCs w:val="14"/>
                <w:b w:val="1"/>
                <w:bCs w:val="1"/>
                <w:color w:val="auto"/>
                <w:w w:val="91"/>
              </w:rPr>
              <w:t>in millions)</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AUM by Asset Class:</w:t>
            </w:r>
          </w:p>
        </w:tc>
        <w:tc>
          <w:tcPr>
            <w:tcW w:w="2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2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Emerging Markets</w:t>
            </w:r>
          </w:p>
        </w:tc>
        <w:tc>
          <w:tcPr>
            <w:tcW w:w="27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40,612</w:t>
            </w:r>
          </w:p>
        </w:tc>
        <w:tc>
          <w:tcPr>
            <w:tcW w:w="640" w:type="dxa"/>
            <w:vAlign w:val="bottom"/>
            <w:gridSpan w:val="2"/>
            <w:shd w:val="clear" w:color="auto" w:fill="CFF0FC"/>
          </w:tcPr>
          <w:p>
            <w:pPr>
              <w:jc w:val="right"/>
              <w:ind w:right="199"/>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41,899</w:t>
            </w:r>
          </w:p>
        </w:tc>
        <w:tc>
          <w:tcPr>
            <w:tcW w:w="56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52,349</w:t>
            </w:r>
          </w:p>
        </w:tc>
        <w:tc>
          <w:tcPr>
            <w:tcW w:w="100" w:type="dxa"/>
            <w:vAlign w:val="bottom"/>
            <w:shd w:val="clear" w:color="auto" w:fill="CFF0FC"/>
          </w:tcPr>
          <w:p>
            <w:pPr>
              <w:spacing w:after="0"/>
              <w:rPr>
                <w:sz w:val="19"/>
                <w:szCs w:val="19"/>
                <w:color w:val="auto"/>
              </w:rPr>
            </w:pPr>
          </w:p>
        </w:tc>
      </w:tr>
      <w:tr>
        <w:trPr>
          <w:trHeight w:val="230"/>
        </w:trPr>
        <w:tc>
          <w:tcPr>
            <w:tcW w:w="4340" w:type="dxa"/>
            <w:vAlign w:val="bottom"/>
          </w:tcPr>
          <w:p>
            <w:pPr>
              <w:ind w:left="260"/>
              <w:spacing w:after="0"/>
              <w:rPr>
                <w:sz w:val="20"/>
                <w:szCs w:val="20"/>
                <w:color w:val="auto"/>
              </w:rPr>
            </w:pPr>
            <w:r>
              <w:rPr>
                <w:rFonts w:ascii="Arial" w:cs="Arial" w:eastAsia="Arial" w:hAnsi="Arial"/>
                <w:sz w:val="18"/>
                <w:szCs w:val="18"/>
                <w:color w:val="auto"/>
              </w:rPr>
              <w:t>Global</w:t>
            </w:r>
          </w:p>
        </w:tc>
        <w:tc>
          <w:tcPr>
            <w:tcW w:w="2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49,759</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41,490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43,663</w:t>
            </w:r>
          </w:p>
        </w:tc>
        <w:tc>
          <w:tcPr>
            <w:tcW w:w="100" w:type="dxa"/>
            <w:vAlign w:val="bottom"/>
          </w:tcPr>
          <w:p>
            <w:pPr>
              <w:spacing w:after="0"/>
              <w:rPr>
                <w:sz w:val="19"/>
                <w:szCs w:val="19"/>
                <w:color w:val="auto"/>
              </w:rPr>
            </w:pPr>
          </w:p>
        </w:tc>
      </w:tr>
      <w:tr>
        <w:trPr>
          <w:trHeight w:val="230"/>
        </w:trPr>
        <w:tc>
          <w:tcPr>
            <w:tcW w:w="4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Local</w:t>
            </w:r>
          </w:p>
        </w:tc>
        <w:tc>
          <w:tcPr>
            <w:tcW w:w="2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48,985</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36,020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42,650</w:t>
            </w:r>
          </w:p>
        </w:tc>
        <w:tc>
          <w:tcPr>
            <w:tcW w:w="100" w:type="dxa"/>
            <w:vAlign w:val="bottom"/>
            <w:shd w:val="clear" w:color="auto" w:fill="CFF0FC"/>
          </w:tcPr>
          <w:p>
            <w:pPr>
              <w:spacing w:after="0"/>
              <w:rPr>
                <w:sz w:val="19"/>
                <w:szCs w:val="19"/>
                <w:color w:val="auto"/>
              </w:rPr>
            </w:pPr>
          </w:p>
        </w:tc>
      </w:tr>
      <w:tr>
        <w:trPr>
          <w:trHeight w:val="230"/>
        </w:trPr>
        <w:tc>
          <w:tcPr>
            <w:tcW w:w="43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Multi-Regional</w:t>
            </w:r>
          </w:p>
        </w:tc>
        <w:tc>
          <w:tcPr>
            <w:tcW w:w="24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66,185</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57,589</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70,696</w:t>
            </w:r>
          </w:p>
        </w:tc>
        <w:tc>
          <w:tcPr>
            <w:tcW w:w="100" w:type="dxa"/>
            <w:vAlign w:val="bottom"/>
            <w:tcBorders>
              <w:bottom w:val="single" w:sz="8" w:color="CFF0FC"/>
            </w:tcBorders>
          </w:tcPr>
          <w:p>
            <w:pPr>
              <w:spacing w:after="0"/>
              <w:rPr>
                <w:sz w:val="19"/>
                <w:szCs w:val="19"/>
                <w:color w:val="auto"/>
              </w:rPr>
            </w:pPr>
          </w:p>
        </w:tc>
      </w:tr>
      <w:tr>
        <w:trPr>
          <w:trHeight w:val="223"/>
        </w:trPr>
        <w:tc>
          <w:tcPr>
            <w:tcW w:w="4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Equity</w:t>
            </w:r>
          </w:p>
        </w:tc>
        <w:tc>
          <w:tcPr>
            <w:tcW w:w="24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205,541</w:t>
            </w:r>
          </w:p>
        </w:tc>
        <w:tc>
          <w:tcPr>
            <w:tcW w:w="2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176,998</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209,358</w:t>
            </w:r>
          </w:p>
        </w:tc>
        <w:tc>
          <w:tcPr>
            <w:tcW w:w="100" w:type="dxa"/>
            <w:vAlign w:val="bottom"/>
            <w:shd w:val="clear" w:color="auto" w:fill="CFF0FC"/>
          </w:tcPr>
          <w:p>
            <w:pPr>
              <w:spacing w:after="0"/>
              <w:rPr>
                <w:sz w:val="19"/>
                <w:szCs w:val="19"/>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b w:val="1"/>
                <w:bCs w:val="1"/>
                <w:color w:val="auto"/>
              </w:rPr>
              <w:t>Fixed Income:</w:t>
            </w:r>
          </w:p>
        </w:tc>
        <w:tc>
          <w:tcPr>
            <w:tcW w:w="2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Emerging Markets</w:t>
            </w:r>
          </w:p>
        </w:tc>
        <w:tc>
          <w:tcPr>
            <w:tcW w:w="2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14,387</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14,980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17,320</w:t>
            </w:r>
          </w:p>
        </w:tc>
        <w:tc>
          <w:tcPr>
            <w:tcW w:w="100" w:type="dxa"/>
            <w:vAlign w:val="bottom"/>
            <w:shd w:val="clear" w:color="auto" w:fill="CFF0FC"/>
          </w:tcPr>
          <w:p>
            <w:pPr>
              <w:spacing w:after="0"/>
              <w:rPr>
                <w:sz w:val="19"/>
                <w:szCs w:val="19"/>
                <w:color w:val="auto"/>
              </w:rPr>
            </w:pPr>
          </w:p>
        </w:tc>
      </w:tr>
      <w:tr>
        <w:trPr>
          <w:trHeight w:val="230"/>
        </w:trPr>
        <w:tc>
          <w:tcPr>
            <w:tcW w:w="4340" w:type="dxa"/>
            <w:vAlign w:val="bottom"/>
          </w:tcPr>
          <w:p>
            <w:pPr>
              <w:ind w:left="260"/>
              <w:spacing w:after="0"/>
              <w:rPr>
                <w:sz w:val="20"/>
                <w:szCs w:val="20"/>
                <w:color w:val="auto"/>
              </w:rPr>
            </w:pPr>
            <w:r>
              <w:rPr>
                <w:rFonts w:ascii="Arial" w:cs="Arial" w:eastAsia="Arial" w:hAnsi="Arial"/>
                <w:sz w:val="18"/>
                <w:szCs w:val="18"/>
                <w:color w:val="auto"/>
              </w:rPr>
              <w:t>Global</w:t>
            </w:r>
          </w:p>
        </w:tc>
        <w:tc>
          <w:tcPr>
            <w:tcW w:w="2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9,233</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4,851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4,109</w:t>
            </w:r>
          </w:p>
        </w:tc>
        <w:tc>
          <w:tcPr>
            <w:tcW w:w="100" w:type="dxa"/>
            <w:vAlign w:val="bottom"/>
          </w:tcPr>
          <w:p>
            <w:pPr>
              <w:spacing w:after="0"/>
              <w:rPr>
                <w:sz w:val="19"/>
                <w:szCs w:val="19"/>
                <w:color w:val="auto"/>
              </w:rPr>
            </w:pPr>
          </w:p>
        </w:tc>
      </w:tr>
      <w:tr>
        <w:trPr>
          <w:trHeight w:val="230"/>
        </w:trPr>
        <w:tc>
          <w:tcPr>
            <w:tcW w:w="4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Local</w:t>
            </w:r>
          </w:p>
        </w:tc>
        <w:tc>
          <w:tcPr>
            <w:tcW w:w="2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4,497</w:t>
            </w:r>
          </w:p>
        </w:tc>
        <w:tc>
          <w:tcPr>
            <w:tcW w:w="100" w:type="dxa"/>
            <w:vAlign w:val="bottom"/>
            <w:shd w:val="clear" w:color="auto" w:fill="CFF0FC"/>
          </w:tcPr>
          <w:p>
            <w:pPr>
              <w:spacing w:after="0"/>
              <w:rPr>
                <w:sz w:val="19"/>
                <w:szCs w:val="19"/>
                <w:color w:val="auto"/>
              </w:rPr>
            </w:pPr>
          </w:p>
        </w:tc>
      </w:tr>
      <w:tr>
        <w:trPr>
          <w:trHeight w:val="230"/>
        </w:trPr>
        <w:tc>
          <w:tcPr>
            <w:tcW w:w="43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Multi-Regional</w:t>
            </w:r>
          </w:p>
        </w:tc>
        <w:tc>
          <w:tcPr>
            <w:tcW w:w="24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9,193</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6,994</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9,154</w:t>
            </w:r>
          </w:p>
        </w:tc>
        <w:tc>
          <w:tcPr>
            <w:tcW w:w="100" w:type="dxa"/>
            <w:vAlign w:val="bottom"/>
            <w:tcBorders>
              <w:bottom w:val="single" w:sz="8" w:color="CFF0FC"/>
            </w:tcBorders>
          </w:tcPr>
          <w:p>
            <w:pPr>
              <w:spacing w:after="0"/>
              <w:rPr>
                <w:sz w:val="19"/>
                <w:szCs w:val="19"/>
                <w:color w:val="auto"/>
              </w:rPr>
            </w:pPr>
          </w:p>
        </w:tc>
      </w:tr>
      <w:tr>
        <w:trPr>
          <w:trHeight w:val="223"/>
        </w:trPr>
        <w:tc>
          <w:tcPr>
            <w:tcW w:w="4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Fixed Income</w:t>
            </w:r>
          </w:p>
        </w:tc>
        <w:tc>
          <w:tcPr>
            <w:tcW w:w="24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38,263</w:t>
            </w:r>
          </w:p>
        </w:tc>
        <w:tc>
          <w:tcPr>
            <w:tcW w:w="2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32,938</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35,080</w:t>
            </w:r>
          </w:p>
        </w:tc>
        <w:tc>
          <w:tcPr>
            <w:tcW w:w="100" w:type="dxa"/>
            <w:vAlign w:val="bottom"/>
            <w:shd w:val="clear" w:color="auto" w:fill="CFF0FC"/>
          </w:tcPr>
          <w:p>
            <w:pPr>
              <w:spacing w:after="0"/>
              <w:rPr>
                <w:sz w:val="19"/>
                <w:szCs w:val="19"/>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b w:val="1"/>
                <w:bCs w:val="1"/>
                <w:color w:val="auto"/>
              </w:rPr>
              <w:t>Alternative Investments</w:t>
            </w:r>
          </w:p>
        </w:tc>
        <w:tc>
          <w:tcPr>
            <w:tcW w:w="2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2,149</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2,430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2,846</w:t>
            </w:r>
          </w:p>
        </w:tc>
        <w:tc>
          <w:tcPr>
            <w:tcW w:w="100" w:type="dxa"/>
            <w:vAlign w:val="bottom"/>
          </w:tcPr>
          <w:p>
            <w:pPr>
              <w:spacing w:after="0"/>
              <w:rPr>
                <w:sz w:val="19"/>
                <w:szCs w:val="19"/>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Private Equity</w:t>
            </w:r>
          </w:p>
        </w:tc>
        <w:tc>
          <w:tcPr>
            <w:tcW w:w="2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1,385</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1,478</w:t>
            </w:r>
          </w:p>
        </w:tc>
        <w:tc>
          <w:tcPr>
            <w:tcW w:w="100" w:type="dxa"/>
            <w:vAlign w:val="bottom"/>
            <w:shd w:val="clear" w:color="auto" w:fill="CFF0FC"/>
          </w:tcPr>
          <w:p>
            <w:pPr>
              <w:spacing w:after="0"/>
              <w:rPr>
                <w:sz w:val="19"/>
                <w:szCs w:val="19"/>
                <w:color w:val="auto"/>
              </w:rPr>
            </w:pPr>
          </w:p>
        </w:tc>
      </w:tr>
      <w:tr>
        <w:trPr>
          <w:trHeight w:val="230"/>
        </w:trPr>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Management</w:t>
            </w:r>
          </w:p>
        </w:tc>
        <w:tc>
          <w:tcPr>
            <w:tcW w:w="24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Borders>
              <w:bottom w:val="single" w:sz="8" w:color="CFF0FC"/>
            </w:tcBorders>
          </w:tcPr>
          <w:p>
            <w:pPr>
              <w:spacing w:after="0"/>
              <w:rPr>
                <w:sz w:val="19"/>
                <w:szCs w:val="19"/>
                <w:color w:val="auto"/>
              </w:rPr>
            </w:pPr>
          </w:p>
        </w:tc>
      </w:tr>
      <w:tr>
        <w:trPr>
          <w:trHeight w:val="223"/>
        </w:trPr>
        <w:tc>
          <w:tcPr>
            <w:tcW w:w="43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AUM</w:t>
            </w:r>
          </w:p>
        </w:tc>
        <w:tc>
          <w:tcPr>
            <w:tcW w:w="24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248,239</w:t>
            </w: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214,734</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249,459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20" w:firstLine="598"/>
        <w:spacing w:after="0" w:line="264" w:lineRule="auto"/>
        <w:rPr>
          <w:sz w:val="20"/>
          <w:szCs w:val="20"/>
          <w:color w:val="auto"/>
        </w:rPr>
      </w:pPr>
      <w:r>
        <w:rPr>
          <w:rFonts w:ascii="Arial" w:cs="Arial" w:eastAsia="Arial" w:hAnsi="Arial"/>
          <w:sz w:val="18"/>
          <w:szCs w:val="18"/>
          <w:color w:val="auto"/>
        </w:rPr>
        <w:t>Total AUM at December 31, 2019 was $248 billion, an increase of $33 billion, or 16%, as compared to total AUM of $215 billion at December 31, 2018, due to market appreciation, partially offset by net outflows and foreign exchange depreciation. Average AUM for the year ended December 31, 2019 decreased $7 billion, or 3%, as compared to 2018.</w:t>
      </w:r>
    </w:p>
    <w:p>
      <w:pPr>
        <w:spacing w:after="0" w:line="181" w:lineRule="exact"/>
        <w:rPr>
          <w:sz w:val="20"/>
          <w:szCs w:val="20"/>
          <w:color w:val="auto"/>
        </w:rPr>
      </w:pPr>
    </w:p>
    <w:p>
      <w:pPr>
        <w:ind w:right="180" w:firstLine="598"/>
        <w:spacing w:after="0" w:line="302" w:lineRule="auto"/>
        <w:rPr>
          <w:sz w:val="20"/>
          <w:szCs w:val="20"/>
          <w:color w:val="auto"/>
        </w:rPr>
      </w:pPr>
      <w:r>
        <w:rPr>
          <w:rFonts w:ascii="Arial" w:cs="Arial" w:eastAsia="Arial" w:hAnsi="Arial"/>
          <w:sz w:val="16"/>
          <w:szCs w:val="16"/>
          <w:color w:val="auto"/>
        </w:rPr>
        <w:t>As of December 31, 2019 approximately 86% of our AUM was managed on behalf of institutional clients, including corporations, labor unions, public pension funds, insurance companies and banks, and through sub-advisory relationships, mutual fund sponsors, broker-dealers and registered advisors as compared to approximately 88% as of December 31, 2018. As of December 31, 2019, approximately 14% of our AUM was managed on behalf of individual client relationships, which are principally with family offices and individuals, as compared to approximately 12% as of December 31, 2018.</w:t>
      </w:r>
    </w:p>
    <w:p>
      <w:pPr>
        <w:spacing w:after="0" w:line="154" w:lineRule="exact"/>
        <w:rPr>
          <w:sz w:val="20"/>
          <w:szCs w:val="20"/>
          <w:color w:val="auto"/>
        </w:rPr>
      </w:pPr>
    </w:p>
    <w:p>
      <w:pPr>
        <w:ind w:right="140" w:firstLine="598"/>
        <w:spacing w:after="0" w:line="264" w:lineRule="auto"/>
        <w:rPr>
          <w:sz w:val="20"/>
          <w:szCs w:val="20"/>
          <w:color w:val="auto"/>
        </w:rPr>
      </w:pPr>
      <w:r>
        <w:rPr>
          <w:rFonts w:ascii="Arial" w:cs="Arial" w:eastAsia="Arial" w:hAnsi="Arial"/>
          <w:sz w:val="18"/>
          <w:szCs w:val="18"/>
          <w:color w:val="auto"/>
        </w:rPr>
        <w:t>As of December 31, 2019, AUM with foreign currency exposure represented approximately 67% of our total AUM, as compared to 70% at December 31, 2018. AUM with foreign currency exposure generally declines in value with the strengthening of the U.S. Dollar and increases in value as the U.S. Dollar weakens, with all other factors held constant.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9" w:name="page50"/>
    <w:bookmarkEnd w:id="49"/>
    <w:p>
      <w:pPr>
        <w:ind w:left="600"/>
        <w:spacing w:after="0"/>
        <w:rPr>
          <w:sz w:val="20"/>
          <w:szCs w:val="20"/>
          <w:color w:val="auto"/>
        </w:rPr>
      </w:pPr>
      <w:r>
        <w:rPr>
          <w:rFonts w:ascii="Arial" w:cs="Arial" w:eastAsia="Arial" w:hAnsi="Arial"/>
          <w:sz w:val="18"/>
          <w:szCs w:val="18"/>
          <w:color w:val="auto"/>
        </w:rPr>
        <w:t>The following is a summary of changes in AUM by asset class for the years ended December 31, 2019, 2018 and 2017:</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 Ended December 31, 2019</w:t>
            </w: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Inflows</w:t>
            </w:r>
          </w:p>
        </w:tc>
        <w:tc>
          <w:tcPr>
            <w:tcW w:w="14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6"/>
              </w:rPr>
              <w:t>Outflows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8"/>
              </w:rPr>
              <w:t>Appreciation/</w:t>
            </w:r>
          </w:p>
        </w:tc>
        <w:tc>
          <w:tcPr>
            <w:tcW w:w="22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Flows</w:t>
            </w:r>
          </w:p>
        </w:tc>
        <w:tc>
          <w:tcPr>
            <w:tcW w:w="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5"/>
              </w:rPr>
              <w:t>(Depreciation)</w:t>
            </w:r>
          </w:p>
        </w:tc>
        <w:tc>
          <w:tcPr>
            <w:tcW w:w="22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3"/>
          </w:tcPr>
          <w:p>
            <w:pPr>
              <w:jc w:val="right"/>
              <w:ind w:right="160"/>
              <w:spacing w:after="0" w:line="155" w:lineRule="exact"/>
              <w:rPr>
                <w:sz w:val="20"/>
                <w:szCs w:val="20"/>
                <w:color w:val="auto"/>
              </w:rPr>
            </w:pPr>
            <w:r>
              <w:rPr>
                <w:rFonts w:ascii="Arial" w:cs="Arial" w:eastAsia="Arial" w:hAnsi="Arial"/>
                <w:sz w:val="14"/>
                <w:szCs w:val="14"/>
                <w:b w:val="1"/>
                <w:bCs w:val="1"/>
                <w:color w:val="auto"/>
                <w:w w:val="97"/>
              </w:rPr>
              <w:t>($ in millions)</w:t>
            </w: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176,998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29,078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(38,722)</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(9,644)</w:t>
            </w:r>
          </w:p>
        </w:tc>
        <w:tc>
          <w:tcPr>
            <w:tcW w:w="44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38,421</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(234)</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205,541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32,938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8,743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(7,787)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4,526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(157)</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38,263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(1,529)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(386)</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214,734</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38,964</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(48,038</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42,979</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248,239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Inflows in the Equity asset class were primarily attributable to the Global, Local and Multi-Regional platforms, and inflows in the Fixed Income asset class were primarily attributable to the Global, Multi-Regional and Emerging Markets platforms. Outflows in the Equity asset class were primarily attributable to the Emerging Markets, Global and Multi-Regional equity platforms, and outflows in the Fixed Income asset class were primarily attributable to the Emerging Markets and Global platforms.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8"/>
          </w:tcPr>
          <w:p>
            <w:pPr>
              <w:jc w:val="center"/>
              <w:ind w:left="416"/>
              <w:spacing w:after="0"/>
              <w:rPr>
                <w:sz w:val="20"/>
                <w:szCs w:val="20"/>
                <w:color w:val="auto"/>
              </w:rPr>
            </w:pPr>
            <w:r>
              <w:rPr>
                <w:rFonts w:ascii="Arial" w:cs="Arial" w:eastAsia="Arial" w:hAnsi="Arial"/>
                <w:sz w:val="14"/>
                <w:szCs w:val="14"/>
                <w:b w:val="1"/>
                <w:bCs w:val="1"/>
                <w:color w:val="auto"/>
                <w:w w:val="92"/>
              </w:rPr>
              <w:t>Year Ended December 31, 2018</w:t>
            </w: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Net</w:t>
            </w: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Inflows</w:t>
            </w:r>
          </w:p>
        </w:tc>
        <w:tc>
          <w:tcPr>
            <w:tcW w:w="14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6"/>
              </w:rPr>
              <w:t>Outflows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8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Flows</w:t>
            </w:r>
          </w:p>
        </w:tc>
        <w:tc>
          <w:tcPr>
            <w:tcW w:w="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8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3"/>
          </w:tcPr>
          <w:p>
            <w:pPr>
              <w:jc w:val="center"/>
              <w:ind w:right="100"/>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209,358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31,657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(37,211)</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(5,554)</w:t>
            </w:r>
          </w:p>
        </w:tc>
        <w:tc>
          <w:tcPr>
            <w:tcW w:w="40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5"/>
              </w:rPr>
              <w:t>(19,967)</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(6,839)</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176,998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35,080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7,720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(6,725)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(1,475)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(1,662)</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32,938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(902)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(339)</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249,459</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39,940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(44,838</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(21,298</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(8,529)</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214,734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5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8"/>
          </w:tcPr>
          <w:p>
            <w:pPr>
              <w:jc w:val="center"/>
              <w:ind w:left="416"/>
              <w:spacing w:after="0"/>
              <w:rPr>
                <w:sz w:val="20"/>
                <w:szCs w:val="20"/>
                <w:color w:val="auto"/>
              </w:rPr>
            </w:pPr>
            <w:r>
              <w:rPr>
                <w:rFonts w:ascii="Arial" w:cs="Arial" w:eastAsia="Arial" w:hAnsi="Arial"/>
                <w:sz w:val="14"/>
                <w:szCs w:val="14"/>
                <w:b w:val="1"/>
                <w:bCs w:val="1"/>
                <w:color w:val="auto"/>
                <w:w w:val="92"/>
              </w:rPr>
              <w:t>Year Ended December 31, 2017</w:t>
            </w: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Net</w:t>
            </w: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Inflows</w:t>
            </w:r>
          </w:p>
        </w:tc>
        <w:tc>
          <w:tcPr>
            <w:tcW w:w="14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6"/>
              </w:rPr>
              <w:t>Outflows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8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Flows</w:t>
            </w:r>
          </w:p>
        </w:tc>
        <w:tc>
          <w:tcPr>
            <w:tcW w:w="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8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3"/>
          </w:tcPr>
          <w:p>
            <w:pPr>
              <w:jc w:val="center"/>
              <w:ind w:right="100"/>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162,841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37,158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(33,778)</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3,380</w:t>
            </w:r>
          </w:p>
        </w:tc>
        <w:tc>
          <w:tcPr>
            <w:tcW w:w="14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34,556</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209,358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31,155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5,558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(6,080)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(522)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1,832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35,080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3,914</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(856)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197,910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43,804</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(40,714</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37,864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10,595</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249,459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520" w:firstLine="598"/>
        <w:spacing w:after="0" w:line="277" w:lineRule="auto"/>
        <w:rPr>
          <w:sz w:val="20"/>
          <w:szCs w:val="20"/>
          <w:color w:val="auto"/>
        </w:rPr>
      </w:pPr>
      <w:r>
        <w:rPr>
          <w:rFonts w:ascii="Arial" w:cs="Arial" w:eastAsia="Arial" w:hAnsi="Arial"/>
          <w:sz w:val="18"/>
          <w:szCs w:val="18"/>
          <w:color w:val="auto"/>
        </w:rPr>
        <w:t>As of February 18, 2020, AUM was $247.8 billion, a $0.4 billion decrease since December 31, 2019. The decrease in AUM was due to foreign exchange depreciation of $3.7 billion and net outflows of $1.4 billion, offset by market appreciation of $4.7 billion.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0" w:name="page51"/>
    <w:bookmarkEnd w:id="50"/>
    <w:p>
      <w:pPr>
        <w:ind w:right="340" w:firstLine="598"/>
        <w:spacing w:after="0" w:line="277" w:lineRule="auto"/>
        <w:rPr>
          <w:sz w:val="20"/>
          <w:szCs w:val="20"/>
          <w:color w:val="auto"/>
        </w:rPr>
      </w:pPr>
      <w:r>
        <w:rPr>
          <w:rFonts w:ascii="Arial" w:cs="Arial" w:eastAsia="Arial" w:hAnsi="Arial"/>
          <w:sz w:val="18"/>
          <w:szCs w:val="18"/>
          <w:color w:val="auto"/>
        </w:rPr>
        <w:t>Average AUM for the years ended December 31, 2019, 2018 and 2017 for each significant asset class is set forth below. Average AUM generally represents the average of the monthly ending AUM balances for the period.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5"/>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5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r>
      <w:tr>
        <w:trPr>
          <w:trHeight w:val="156"/>
        </w:trPr>
        <w:tc>
          <w:tcPr>
            <w:tcW w:w="45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14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Average AUM by Asset Class:</w:t>
            </w:r>
          </w:p>
        </w:tc>
        <w:tc>
          <w:tcPr>
            <w:tcW w:w="2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560" w:type="dxa"/>
            <w:vAlign w:val="bottom"/>
          </w:tcPr>
          <w:p>
            <w:pPr>
              <w:ind w:left="260"/>
              <w:spacing w:after="0"/>
              <w:rPr>
                <w:sz w:val="20"/>
                <w:szCs w:val="20"/>
                <w:color w:val="auto"/>
              </w:rPr>
            </w:pPr>
            <w:r>
              <w:rPr>
                <w:rFonts w:ascii="Arial" w:cs="Arial" w:eastAsia="Arial" w:hAnsi="Arial"/>
                <w:sz w:val="18"/>
                <w:szCs w:val="18"/>
                <w:color w:val="auto"/>
              </w:rPr>
              <w:t>Equity</w:t>
            </w:r>
          </w:p>
        </w:tc>
        <w:tc>
          <w:tcPr>
            <w:tcW w:w="2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193,091</w:t>
            </w:r>
          </w:p>
        </w:tc>
        <w:tc>
          <w:tcPr>
            <w:tcW w:w="6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201,404</w:t>
            </w:r>
          </w:p>
        </w:tc>
        <w:tc>
          <w:tcPr>
            <w:tcW w:w="180" w:type="dxa"/>
            <w:vAlign w:val="bottom"/>
          </w:tcPr>
          <w:p>
            <w:pPr>
              <w:spacing w:after="0"/>
              <w:rPr>
                <w:sz w:val="19"/>
                <w:szCs w:val="19"/>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188,796</w:t>
            </w:r>
          </w:p>
        </w:tc>
        <w:tc>
          <w:tcPr>
            <w:tcW w:w="100" w:type="dxa"/>
            <w:vAlign w:val="bottom"/>
          </w:tcPr>
          <w:p>
            <w:pPr>
              <w:spacing w:after="0"/>
              <w:rPr>
                <w:sz w:val="19"/>
                <w:szCs w:val="19"/>
                <w:color w:val="auto"/>
              </w:rPr>
            </w:pPr>
          </w:p>
        </w:tc>
      </w:tr>
      <w:tr>
        <w:trPr>
          <w:trHeight w:val="230"/>
        </w:trPr>
        <w:tc>
          <w:tcPr>
            <w:tcW w:w="4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Fixed Income</w:t>
            </w:r>
          </w:p>
        </w:tc>
        <w:tc>
          <w:tcPr>
            <w:tcW w:w="2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36,442</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34,883</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33,187</w:t>
            </w:r>
          </w:p>
        </w:tc>
        <w:tc>
          <w:tcPr>
            <w:tcW w:w="100" w:type="dxa"/>
            <w:vAlign w:val="bottom"/>
            <w:shd w:val="clear" w:color="auto" w:fill="CFF0FC"/>
          </w:tcPr>
          <w:p>
            <w:pPr>
              <w:spacing w:after="0"/>
              <w:rPr>
                <w:sz w:val="19"/>
                <w:szCs w:val="19"/>
                <w:color w:val="auto"/>
              </w:rPr>
            </w:pPr>
          </w:p>
        </w:tc>
      </w:tr>
      <w:tr>
        <w:trPr>
          <w:trHeight w:val="230"/>
        </w:trPr>
        <w:tc>
          <w:tcPr>
            <w:tcW w:w="4560" w:type="dxa"/>
            <w:vAlign w:val="bottom"/>
          </w:tcPr>
          <w:p>
            <w:pPr>
              <w:ind w:left="260"/>
              <w:spacing w:after="0"/>
              <w:rPr>
                <w:sz w:val="20"/>
                <w:szCs w:val="20"/>
                <w:color w:val="auto"/>
              </w:rPr>
            </w:pPr>
            <w:r>
              <w:rPr>
                <w:rFonts w:ascii="Arial" w:cs="Arial" w:eastAsia="Arial" w:hAnsi="Arial"/>
                <w:sz w:val="18"/>
                <w:szCs w:val="18"/>
                <w:color w:val="auto"/>
              </w:rPr>
              <w:t>Alternative Investments</w:t>
            </w:r>
          </w:p>
        </w:tc>
        <w:tc>
          <w:tcPr>
            <w:tcW w:w="2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2,479</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2,846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2,774</w:t>
            </w:r>
          </w:p>
        </w:tc>
        <w:tc>
          <w:tcPr>
            <w:tcW w:w="100" w:type="dxa"/>
            <w:vAlign w:val="bottom"/>
          </w:tcPr>
          <w:p>
            <w:pPr>
              <w:spacing w:after="0"/>
              <w:rPr>
                <w:sz w:val="19"/>
                <w:szCs w:val="19"/>
                <w:color w:val="auto"/>
              </w:rPr>
            </w:pPr>
          </w:p>
        </w:tc>
      </w:tr>
      <w:tr>
        <w:trPr>
          <w:trHeight w:val="230"/>
        </w:trPr>
        <w:tc>
          <w:tcPr>
            <w:tcW w:w="4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Private Equity</w:t>
            </w:r>
          </w:p>
        </w:tc>
        <w:tc>
          <w:tcPr>
            <w:tcW w:w="2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1,397</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1,459</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1,373</w:t>
            </w:r>
          </w:p>
        </w:tc>
        <w:tc>
          <w:tcPr>
            <w:tcW w:w="100" w:type="dxa"/>
            <w:vAlign w:val="bottom"/>
            <w:shd w:val="clear" w:color="auto" w:fill="CFF0FC"/>
          </w:tcPr>
          <w:p>
            <w:pPr>
              <w:spacing w:after="0"/>
              <w:rPr>
                <w:sz w:val="19"/>
                <w:szCs w:val="19"/>
                <w:color w:val="auto"/>
              </w:rPr>
            </w:pPr>
          </w:p>
        </w:tc>
      </w:tr>
      <w:tr>
        <w:trPr>
          <w:trHeight w:val="230"/>
        </w:trPr>
        <w:tc>
          <w:tcPr>
            <w:tcW w:w="45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Cash Management</w:t>
            </w:r>
          </w:p>
        </w:tc>
        <w:tc>
          <w:tcPr>
            <w:tcW w:w="22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FF0FC"/>
            </w:tcBorders>
          </w:tcPr>
          <w:p>
            <w:pPr>
              <w:spacing w:after="0"/>
              <w:rPr>
                <w:sz w:val="19"/>
                <w:szCs w:val="19"/>
                <w:color w:val="auto"/>
              </w:rPr>
            </w:pPr>
          </w:p>
        </w:tc>
      </w:tr>
      <w:tr>
        <w:trPr>
          <w:trHeight w:val="223"/>
        </w:trPr>
        <w:tc>
          <w:tcPr>
            <w:tcW w:w="45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Average AUM</w:t>
            </w:r>
          </w:p>
        </w:tc>
        <w:tc>
          <w:tcPr>
            <w:tcW w:w="2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234,374</w:t>
            </w: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241,247</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226,525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the reported operating results attributable to the Asset Management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1"/>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6"/>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Revenue</w:t>
            </w:r>
          </w:p>
        </w:tc>
        <w:tc>
          <w:tcPr>
            <w:tcW w:w="21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1,237,390</w:t>
            </w:r>
          </w:p>
        </w:tc>
        <w:tc>
          <w:tcPr>
            <w:tcW w:w="1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1,331,801</w:t>
            </w:r>
          </w:p>
        </w:tc>
        <w:tc>
          <w:tcPr>
            <w:tcW w:w="2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1,255,820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Operating Expenses (a)</w:t>
            </w:r>
          </w:p>
        </w:tc>
        <w:tc>
          <w:tcPr>
            <w:tcW w:w="18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887,522</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912,110</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810,870</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8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349,868</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419,691</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444,950</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as a % of net revenue</w:t>
            </w:r>
          </w:p>
        </w:tc>
        <w:tc>
          <w:tcPr>
            <w:tcW w:w="1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gridSpan w:val="2"/>
            <w:vMerge w:val="continue"/>
          </w:tcPr>
          <w:p>
            <w:pPr>
              <w:spacing w:after="0"/>
              <w:rPr>
                <w:sz w:val="18"/>
                <w:szCs w:val="18"/>
                <w:color w:val="auto"/>
              </w:rPr>
            </w:pP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28.3%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30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hanging="592"/>
        <w:spacing w:after="0"/>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See Note 18 of Notes to Consolidated Financial Statements for information regarding business realignment.</w:t>
      </w:r>
    </w:p>
    <w:p>
      <w:pPr>
        <w:spacing w:after="0" w:line="225"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Our top ten clients accounted for 28%, 26% and 25% of our total AUM at December 31, 2019, 2018 and 2017, respectively, and no individual client constituted more than 10% of our Asset Management segment net revenue during any of the respective years.</w:t>
      </w:r>
    </w:p>
    <w:p>
      <w:pPr>
        <w:spacing w:after="0" w:line="170" w:lineRule="exact"/>
        <w:rPr>
          <w:sz w:val="20"/>
          <w:szCs w:val="20"/>
          <w:color w:val="auto"/>
        </w:rPr>
      </w:pPr>
    </w:p>
    <w:p>
      <w:pPr>
        <w:ind w:right="380" w:firstLine="598"/>
        <w:spacing w:after="0" w:line="264" w:lineRule="auto"/>
        <w:rPr>
          <w:sz w:val="20"/>
          <w:szCs w:val="20"/>
          <w:color w:val="auto"/>
        </w:rPr>
      </w:pPr>
      <w:r>
        <w:rPr>
          <w:rFonts w:ascii="Arial" w:cs="Arial" w:eastAsia="Arial" w:hAnsi="Arial"/>
          <w:sz w:val="18"/>
          <w:szCs w:val="18"/>
          <w:color w:val="auto"/>
        </w:rPr>
        <w:t>The geographical distribution of Asset Management net revenue is set forth below in percentage terms, and is based on the Lazard offices that manage and distribute the respective AUM amounts. Such geographical distribution may not be reflective of the geography of the investment products or clients.</w:t>
      </w:r>
    </w:p>
    <w:p>
      <w:pPr>
        <w:spacing w:after="0" w:line="254" w:lineRule="exact"/>
        <w:rPr>
          <w:sz w:val="20"/>
          <w:szCs w:val="20"/>
          <w:color w:val="auto"/>
        </w:rPr>
      </w:pPr>
    </w:p>
    <w:p>
      <w:pPr>
        <w:ind w:left="812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20" w:type="dxa"/>
            <w:vAlign w:val="bottom"/>
            <w:tcBorders>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CFF0FC"/>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r>
      <w:tr>
        <w:trPr>
          <w:trHeight w:val="223"/>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9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55%</w:t>
            </w:r>
          </w:p>
        </w:tc>
        <w:tc>
          <w:tcPr>
            <w:tcW w:w="9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56%</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w:t>
            </w: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EMEA</w:t>
            </w:r>
          </w:p>
        </w:tc>
        <w:tc>
          <w:tcPr>
            <w:tcW w:w="400" w:type="dxa"/>
            <w:vAlign w:val="bottom"/>
          </w:tcPr>
          <w:p>
            <w:pPr>
              <w:jc w:val="right"/>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9"/>
                <w:szCs w:val="19"/>
                <w:color w:val="auto"/>
              </w:rPr>
            </w:pPr>
          </w:p>
        </w:tc>
      </w:tr>
      <w:tr>
        <w:trPr>
          <w:trHeight w:val="230"/>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92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Total</w:t>
            </w:r>
          </w:p>
        </w:tc>
        <w:tc>
          <w:tcPr>
            <w:tcW w:w="92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92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6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3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2019 versus December 31, 2018</w:t>
      </w:r>
    </w:p>
    <w:p>
      <w:pPr>
        <w:spacing w:after="0" w:line="117" w:lineRule="exact"/>
        <w:rPr>
          <w:sz w:val="20"/>
          <w:szCs w:val="20"/>
          <w:color w:val="auto"/>
        </w:rPr>
      </w:pPr>
    </w:p>
    <w:p>
      <w:pPr>
        <w:ind w:right="180" w:firstLine="598"/>
        <w:spacing w:after="0" w:line="264" w:lineRule="auto"/>
        <w:rPr>
          <w:sz w:val="20"/>
          <w:szCs w:val="20"/>
          <w:color w:val="auto"/>
        </w:rPr>
      </w:pPr>
      <w:r>
        <w:rPr>
          <w:rFonts w:ascii="Arial" w:cs="Arial" w:eastAsia="Arial" w:hAnsi="Arial"/>
          <w:sz w:val="18"/>
          <w:szCs w:val="18"/>
          <w:color w:val="auto"/>
        </w:rPr>
        <w:t>Asset Management net revenue decreased $94 million, or 7%, as compared to 2018. Management fees and other revenue was $1,216 million, a decrease of $95 million, or 7%, as compared to $1,311 million in 2018, primarily due to a decrease in average AUM and change in asset mix. Incentive fees were unchanged as compared to 2018.</w:t>
      </w:r>
    </w:p>
    <w:p>
      <w:pPr>
        <w:spacing w:after="0" w:line="181" w:lineRule="exact"/>
        <w:rPr>
          <w:sz w:val="20"/>
          <w:szCs w:val="20"/>
          <w:color w:val="auto"/>
        </w:rPr>
      </w:pPr>
    </w:p>
    <w:p>
      <w:pPr>
        <w:ind w:right="200" w:firstLine="598"/>
        <w:spacing w:after="0" w:line="342" w:lineRule="auto"/>
        <w:rPr>
          <w:sz w:val="20"/>
          <w:szCs w:val="20"/>
          <w:color w:val="auto"/>
        </w:rPr>
      </w:pPr>
      <w:r>
        <w:rPr>
          <w:rFonts w:ascii="Arial" w:cs="Arial" w:eastAsia="Arial" w:hAnsi="Arial"/>
          <w:sz w:val="16"/>
          <w:szCs w:val="16"/>
          <w:color w:val="auto"/>
        </w:rPr>
        <w:t>Operating expenses, which included $16 million associated with business realignment in 2019, decreased $25 million, or 3%, as compared to 2018, primarily due to a decrease in compensation and benefits expense associated with decreased operating revenue as well as lower fund administration fees.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1" w:name="page52"/>
    <w:bookmarkEnd w:id="51"/>
    <w:p>
      <w:pPr>
        <w:ind w:right="80" w:firstLine="598"/>
        <w:spacing w:after="0" w:line="277" w:lineRule="auto"/>
        <w:rPr>
          <w:sz w:val="20"/>
          <w:szCs w:val="20"/>
          <w:color w:val="auto"/>
        </w:rPr>
      </w:pPr>
      <w:r>
        <w:rPr>
          <w:rFonts w:ascii="Arial" w:cs="Arial" w:eastAsia="Arial" w:hAnsi="Arial"/>
          <w:sz w:val="18"/>
          <w:szCs w:val="18"/>
          <w:color w:val="auto"/>
        </w:rPr>
        <w:t>Asset Management operating income was $350 million, a decrease of $70 million, or 17%, as compared to operating income of $420 million in 2018 and, as a percentage of net revenue, was 28.3%, as compared to 31.5% in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the reported operating results attributable to the Corporate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3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r>
      <w:tr>
        <w:trPr>
          <w:trHeight w:val="156"/>
        </w:trPr>
        <w:tc>
          <w:tcPr>
            <w:tcW w:w="43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2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7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11,403</w:t>
            </w:r>
          </w:p>
        </w:tc>
        <w:tc>
          <w:tcPr>
            <w:tcW w:w="1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11,176</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5,595</w:t>
            </w:r>
          </w:p>
        </w:tc>
        <w:tc>
          <w:tcPr>
            <w:tcW w:w="100" w:type="dxa"/>
            <w:vAlign w:val="bottom"/>
            <w:shd w:val="clear" w:color="auto" w:fill="CFF0FC"/>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Interest Expense</w:t>
            </w:r>
          </w:p>
        </w:tc>
        <w:tc>
          <w:tcPr>
            <w:tcW w:w="2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(77,398)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(58,593)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(55,188)</w:t>
            </w:r>
          </w:p>
        </w:tc>
      </w:tr>
      <w:tr>
        <w:trPr>
          <w:trHeight w:val="223"/>
        </w:trPr>
        <w:tc>
          <w:tcPr>
            <w:tcW w:w="43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Interest (Expense)</w:t>
            </w:r>
          </w:p>
        </w:tc>
        <w:tc>
          <w:tcPr>
            <w:tcW w:w="24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(65,995)</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(47,417)</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(49,593)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Other Revenue (Expense)</w:t>
            </w:r>
          </w:p>
        </w:tc>
        <w:tc>
          <w:tcPr>
            <w:tcW w:w="2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39,130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(16,441)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46,682</w:t>
            </w:r>
          </w:p>
        </w:tc>
        <w:tc>
          <w:tcPr>
            <w:tcW w:w="100" w:type="dxa"/>
            <w:vAlign w:val="bottom"/>
          </w:tcPr>
          <w:p>
            <w:pPr>
              <w:spacing w:after="0"/>
              <w:rPr>
                <w:sz w:val="19"/>
                <w:szCs w:val="19"/>
                <w:color w:val="auto"/>
              </w:rPr>
            </w:pPr>
          </w:p>
        </w:tc>
      </w:tr>
      <w:tr>
        <w:trPr>
          <w:trHeight w:val="223"/>
        </w:trPr>
        <w:tc>
          <w:tcPr>
            <w:tcW w:w="43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Revenue (Expense)</w:t>
            </w:r>
          </w:p>
        </w:tc>
        <w:tc>
          <w:tcPr>
            <w:tcW w:w="24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(26,865)</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(63,858)</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24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78,071</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38,957</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64,788</w:t>
            </w:r>
          </w:p>
        </w:tc>
        <w:tc>
          <w:tcPr>
            <w:tcW w:w="100" w:type="dxa"/>
            <w:vAlign w:val="bottom"/>
            <w:tcBorders>
              <w:bottom w:val="single" w:sz="8" w:color="CFF0FC"/>
            </w:tcBorders>
          </w:tcPr>
          <w:p>
            <w:pPr>
              <w:spacing w:after="0"/>
              <w:rPr>
                <w:sz w:val="19"/>
                <w:szCs w:val="19"/>
                <w:color w:val="auto"/>
              </w:rPr>
            </w:pPr>
          </w:p>
        </w:tc>
      </w:tr>
      <w:tr>
        <w:trPr>
          <w:trHeight w:val="223"/>
        </w:trPr>
        <w:tc>
          <w:tcPr>
            <w:tcW w:w="4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24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(104,936)</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(102,815)</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(67,699)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2019 versus December 31, 2018</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Net interest expense increased $19 million, or 39%, as compared to 2018 due to an increase in senior debt outstanding in 2019.</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Other revenue increased $56 million as compared to 2018, primarily due to higher income in 2019 attributable to investments held in connection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LFI.</w:t>
      </w:r>
    </w:p>
    <w:p>
      <w:pPr>
        <w:spacing w:after="0" w:line="211" w:lineRule="exact"/>
        <w:rPr>
          <w:sz w:val="20"/>
          <w:szCs w:val="20"/>
          <w:color w:val="auto"/>
        </w:rPr>
      </w:pPr>
    </w:p>
    <w:p>
      <w:pPr>
        <w:jc w:val="both"/>
        <w:ind w:right="300" w:firstLine="598"/>
        <w:spacing w:after="0" w:line="264" w:lineRule="auto"/>
        <w:rPr>
          <w:sz w:val="20"/>
          <w:szCs w:val="20"/>
          <w:color w:val="auto"/>
        </w:rPr>
      </w:pPr>
      <w:r>
        <w:rPr>
          <w:rFonts w:ascii="Arial" w:cs="Arial" w:eastAsia="Arial" w:hAnsi="Arial"/>
          <w:sz w:val="18"/>
          <w:szCs w:val="18"/>
          <w:color w:val="auto"/>
        </w:rPr>
        <w:t>Operating expenses, which included (i) in 2019, $8 million associated with business realignment and (ii) in 2018, $10 million relating to expenses associated with an unconditional commitment to the Lazard Foundation, increased $39 million in 2019, primarily due to an increase in compensation and benefits expense, which reflected an increase in charges pertaining to LFI.</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right="260" w:firstLine="598"/>
        <w:spacing w:after="0" w:line="257" w:lineRule="auto"/>
        <w:rPr>
          <w:sz w:val="20"/>
          <w:szCs w:val="20"/>
          <w:color w:val="auto"/>
        </w:rPr>
      </w:pPr>
      <w:r>
        <w:rPr>
          <w:rFonts w:ascii="Arial" w:cs="Arial" w:eastAsia="Arial" w:hAnsi="Arial"/>
          <w:sz w:val="18"/>
          <w:szCs w:val="18"/>
          <w:color w:val="auto"/>
        </w:rPr>
        <w:t>The Company’s cash flows are influenced primarily by the timing of the receipt of Financial Advisory and Asset Management fees, the timing of distributions to members, payments of incentive compensation to managing directors and employees and purchases of Class A common stock. Cash flows were also affected: (i) in 2019, by Lazard Group’s issuance of $500 million aggregate principal amount of its 4.375% senior notes maturing in 2029 (the “2029 Notes”); (ii) in 2018, by Lazard Group’s issuance of $500 million aggregate principal amount of its 4.50% senior notes maturing in 2028 (the “2028 Notes”) and (iii) in 2019 and 2018, the redemption of the 2020 Notes.</w:t>
      </w:r>
    </w:p>
    <w:p>
      <w:pPr>
        <w:spacing w:after="0" w:line="188" w:lineRule="exact"/>
        <w:rPr>
          <w:sz w:val="20"/>
          <w:szCs w:val="20"/>
          <w:color w:val="auto"/>
        </w:rPr>
      </w:pPr>
    </w:p>
    <w:p>
      <w:pPr>
        <w:jc w:val="both"/>
        <w:ind w:right="480" w:firstLine="598"/>
        <w:spacing w:after="0" w:line="264" w:lineRule="auto"/>
        <w:rPr>
          <w:sz w:val="20"/>
          <w:szCs w:val="20"/>
          <w:color w:val="auto"/>
        </w:rPr>
      </w:pPr>
      <w:r>
        <w:rPr>
          <w:rFonts w:ascii="Arial" w:cs="Arial" w:eastAsia="Arial" w:hAnsi="Arial"/>
          <w:sz w:val="18"/>
          <w:szCs w:val="18"/>
          <w:color w:val="auto"/>
        </w:rPr>
        <w:t>M&amp;A and other advisory and Asset Management fees are generally collected within 60 days of billing, while Restructuring fee collections may extend beyond 60 days, particularly those that involve bankruptcies with court-ordered holdbacks. Fees from our Private Capital Advisory activities are generally collected over a four-year period from billing and typically include an interest component.</w:t>
      </w:r>
    </w:p>
    <w:p>
      <w:pPr>
        <w:spacing w:after="0" w:line="181" w:lineRule="exact"/>
        <w:rPr>
          <w:sz w:val="20"/>
          <w:szCs w:val="20"/>
          <w:color w:val="auto"/>
        </w:rPr>
      </w:pPr>
    </w:p>
    <w:p>
      <w:pPr>
        <w:ind w:right="400" w:firstLine="598"/>
        <w:spacing w:after="0" w:line="277" w:lineRule="auto"/>
        <w:rPr>
          <w:sz w:val="20"/>
          <w:szCs w:val="20"/>
          <w:color w:val="auto"/>
        </w:rPr>
      </w:pPr>
      <w:r>
        <w:rPr>
          <w:rFonts w:ascii="Arial" w:cs="Arial" w:eastAsia="Arial" w:hAnsi="Arial"/>
          <w:sz w:val="18"/>
          <w:szCs w:val="18"/>
          <w:color w:val="auto"/>
        </w:rPr>
        <w:t>The Company makes cash payments for, or in respect of, a significant portion of its incentive compensation during the first three months of each calendar year with respect to the prior year’s results.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Summary of Cash Flows: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93"/>
              <w:spacing w:after="0" w:line="155" w:lineRule="exact"/>
              <w:rPr>
                <w:sz w:val="20"/>
                <w:szCs w:val="20"/>
                <w:color w:val="auto"/>
              </w:rPr>
            </w:pPr>
            <w:r>
              <w:rPr>
                <w:rFonts w:ascii="Arial" w:cs="Arial" w:eastAsia="Arial" w:hAnsi="Arial"/>
                <w:sz w:val="14"/>
                <w:szCs w:val="14"/>
                <w:b w:val="1"/>
                <w:bCs w:val="1"/>
                <w:color w:val="auto"/>
                <w:w w:val="89"/>
              </w:rPr>
              <w:t>2018</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3"/>
          </w:tcPr>
          <w:p>
            <w:pPr>
              <w:jc w:val="center"/>
              <w:ind w:right="360"/>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70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Cash Provided By (Used In):</w:t>
            </w:r>
          </w:p>
        </w:tc>
        <w:tc>
          <w:tcPr>
            <w:tcW w:w="10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240" w:type="dxa"/>
            <w:vAlign w:val="bottom"/>
          </w:tcPr>
          <w:p>
            <w:pPr>
              <w:spacing w:after="0"/>
              <w:rPr>
                <w:sz w:val="19"/>
                <w:szCs w:val="19"/>
                <w:color w:val="auto"/>
              </w:rPr>
            </w:pPr>
          </w:p>
        </w:tc>
        <w:tc>
          <w:tcPr>
            <w:tcW w:w="5460" w:type="dxa"/>
            <w:vAlign w:val="bottom"/>
            <w:gridSpan w:val="2"/>
          </w:tcPr>
          <w:p>
            <w:pPr>
              <w:ind w:left="20"/>
              <w:spacing w:after="0"/>
              <w:rPr>
                <w:sz w:val="20"/>
                <w:szCs w:val="20"/>
                <w:color w:val="auto"/>
              </w:rPr>
            </w:pPr>
            <w:r>
              <w:rPr>
                <w:rFonts w:ascii="Arial" w:cs="Arial" w:eastAsia="Arial" w:hAnsi="Arial"/>
                <w:sz w:val="18"/>
                <w:szCs w:val="18"/>
                <w:color w:val="auto"/>
              </w:rPr>
              <w:t>Operating activities:</w:t>
            </w:r>
          </w:p>
        </w:tc>
        <w:tc>
          <w:tcPr>
            <w:tcW w:w="10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40" w:type="dxa"/>
            <w:vAlign w:val="bottom"/>
            <w:shd w:val="clear" w:color="auto" w:fill="CFF0FC"/>
          </w:tcPr>
          <w:p>
            <w:pPr>
              <w:spacing w:after="0"/>
              <w:rPr>
                <w:sz w:val="19"/>
                <w:szCs w:val="19"/>
                <w:color w:val="auto"/>
              </w:rPr>
            </w:pPr>
          </w:p>
        </w:tc>
        <w:tc>
          <w:tcPr>
            <w:tcW w:w="54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1940" w:type="dxa"/>
            <w:vAlign w:val="bottom"/>
            <w:gridSpan w:val="2"/>
            <w:shd w:val="clear" w:color="auto" w:fill="CFF0FC"/>
          </w:tcPr>
          <w:p>
            <w:pPr>
              <w:jc w:val="right"/>
              <w:ind w:right="679"/>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gridSpan w:val="3"/>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552</w:t>
            </w:r>
          </w:p>
        </w:tc>
        <w:tc>
          <w:tcPr>
            <w:tcW w:w="100" w:type="dxa"/>
            <w:vAlign w:val="bottom"/>
            <w:shd w:val="clear" w:color="auto" w:fill="CFF0FC"/>
          </w:tcPr>
          <w:p>
            <w:pPr>
              <w:spacing w:after="0"/>
              <w:rPr>
                <w:sz w:val="19"/>
                <w:szCs w:val="19"/>
                <w:color w:val="auto"/>
              </w:rPr>
            </w:pPr>
          </w:p>
        </w:tc>
      </w:tr>
      <w:tr>
        <w:trPr>
          <w:trHeight w:val="215"/>
        </w:trPr>
        <w:tc>
          <w:tcPr>
            <w:tcW w:w="240" w:type="dxa"/>
            <w:vAlign w:val="bottom"/>
          </w:tcPr>
          <w:p>
            <w:pPr>
              <w:spacing w:after="0"/>
              <w:rPr>
                <w:sz w:val="18"/>
                <w:szCs w:val="18"/>
                <w:color w:val="auto"/>
              </w:rPr>
            </w:pPr>
          </w:p>
        </w:tc>
        <w:tc>
          <w:tcPr>
            <w:tcW w:w="5460" w:type="dxa"/>
            <w:vAlign w:val="bottom"/>
            <w:gridSpan w:val="2"/>
          </w:tcPr>
          <w:p>
            <w:pPr>
              <w:ind w:left="20"/>
              <w:spacing w:after="0"/>
              <w:rPr>
                <w:sz w:val="20"/>
                <w:szCs w:val="20"/>
                <w:color w:val="auto"/>
              </w:rPr>
            </w:pPr>
            <w:r>
              <w:rPr>
                <w:rFonts w:ascii="Arial" w:cs="Arial" w:eastAsia="Arial" w:hAnsi="Arial"/>
                <w:sz w:val="18"/>
                <w:szCs w:val="18"/>
                <w:color w:val="auto"/>
              </w:rPr>
              <w:t>Adjustments to reconcile net income to net cash provided by</w:t>
            </w: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40" w:type="dxa"/>
            <w:vAlign w:val="bottom"/>
          </w:tcPr>
          <w:p>
            <w:pPr>
              <w:spacing w:after="0"/>
              <w:rPr>
                <w:sz w:val="20"/>
                <w:szCs w:val="20"/>
                <w:color w:val="auto"/>
              </w:rPr>
            </w:pPr>
          </w:p>
        </w:tc>
        <w:tc>
          <w:tcPr>
            <w:tcW w:w="5460" w:type="dxa"/>
            <w:vAlign w:val="bottom"/>
            <w:gridSpan w:val="2"/>
          </w:tcPr>
          <w:p>
            <w:pPr>
              <w:ind w:left="140"/>
              <w:spacing w:after="0"/>
              <w:rPr>
                <w:sz w:val="20"/>
                <w:szCs w:val="20"/>
                <w:color w:val="auto"/>
              </w:rPr>
            </w:pPr>
            <w:r>
              <w:rPr>
                <w:rFonts w:ascii="Arial" w:cs="Arial" w:eastAsia="Arial" w:hAnsi="Arial"/>
                <w:sz w:val="18"/>
                <w:szCs w:val="18"/>
                <w:color w:val="auto"/>
              </w:rPr>
              <w:t>operating activities (a)</w:t>
            </w:r>
          </w:p>
        </w:tc>
        <w:tc>
          <w:tcPr>
            <w:tcW w:w="10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0"/>
                <w:szCs w:val="20"/>
                <w:color w:val="auto"/>
              </w:rPr>
            </w:pPr>
          </w:p>
        </w:tc>
      </w:tr>
      <w:tr>
        <w:trPr>
          <w:trHeight w:val="230"/>
        </w:trPr>
        <w:tc>
          <w:tcPr>
            <w:tcW w:w="240" w:type="dxa"/>
            <w:vAlign w:val="bottom"/>
            <w:shd w:val="clear" w:color="auto" w:fill="CFF0FC"/>
          </w:tcPr>
          <w:p>
            <w:pPr>
              <w:spacing w:after="0"/>
              <w:rPr>
                <w:sz w:val="19"/>
                <w:szCs w:val="19"/>
                <w:color w:val="auto"/>
              </w:rPr>
            </w:pPr>
          </w:p>
        </w:tc>
        <w:tc>
          <w:tcPr>
            <w:tcW w:w="54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Other operating activities (b)</w:t>
            </w:r>
          </w:p>
        </w:tc>
        <w:tc>
          <w:tcPr>
            <w:tcW w:w="10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(265)</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240" w:type="dxa"/>
            <w:vAlign w:val="bottom"/>
            <w:tcBorders>
              <w:bottom w:val="single" w:sz="8" w:color="CFF0FC"/>
            </w:tcBorders>
          </w:tcPr>
          <w:p>
            <w:pPr>
              <w:spacing w:after="0"/>
              <w:rPr>
                <w:sz w:val="19"/>
                <w:szCs w:val="19"/>
                <w:color w:val="auto"/>
              </w:rPr>
            </w:pPr>
          </w:p>
        </w:tc>
        <w:tc>
          <w:tcPr>
            <w:tcW w:w="546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Net cash provided by operating activities</w:t>
            </w:r>
          </w:p>
        </w:tc>
        <w:tc>
          <w:tcPr>
            <w:tcW w:w="1080" w:type="dxa"/>
            <w:vAlign w:val="bottom"/>
            <w:tcBorders>
              <w:bottom w:val="single" w:sz="8" w:color="CFF0FC"/>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1,049</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240" w:type="dxa"/>
            <w:vAlign w:val="bottom"/>
            <w:shd w:val="clear" w:color="auto" w:fill="CFF0FC"/>
          </w:tcPr>
          <w:p>
            <w:pPr>
              <w:spacing w:after="0"/>
              <w:rPr>
                <w:sz w:val="19"/>
                <w:szCs w:val="19"/>
                <w:color w:val="auto"/>
              </w:rPr>
            </w:pPr>
          </w:p>
        </w:tc>
        <w:tc>
          <w:tcPr>
            <w:tcW w:w="54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Investing activities</w:t>
            </w:r>
          </w:p>
        </w:tc>
        <w:tc>
          <w:tcPr>
            <w:tcW w:w="10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9"/>
                <w:szCs w:val="19"/>
                <w:color w:val="auto"/>
              </w:rPr>
            </w:pPr>
          </w:p>
        </w:tc>
      </w:tr>
      <w:tr>
        <w:trPr>
          <w:trHeight w:val="230"/>
        </w:trPr>
        <w:tc>
          <w:tcPr>
            <w:tcW w:w="240" w:type="dxa"/>
            <w:vAlign w:val="bottom"/>
          </w:tcPr>
          <w:p>
            <w:pPr>
              <w:spacing w:after="0"/>
              <w:rPr>
                <w:sz w:val="19"/>
                <w:szCs w:val="19"/>
                <w:color w:val="auto"/>
              </w:rPr>
            </w:pPr>
          </w:p>
        </w:tc>
        <w:tc>
          <w:tcPr>
            <w:tcW w:w="5460" w:type="dxa"/>
            <w:vAlign w:val="bottom"/>
            <w:gridSpan w:val="2"/>
          </w:tcPr>
          <w:p>
            <w:pPr>
              <w:ind w:left="20"/>
              <w:spacing w:after="0"/>
              <w:rPr>
                <w:sz w:val="20"/>
                <w:szCs w:val="20"/>
                <w:color w:val="auto"/>
              </w:rPr>
            </w:pPr>
            <w:r>
              <w:rPr>
                <w:rFonts w:ascii="Arial" w:cs="Arial" w:eastAsia="Arial" w:hAnsi="Arial"/>
                <w:sz w:val="18"/>
                <w:szCs w:val="18"/>
                <w:color w:val="auto"/>
              </w:rPr>
              <w:t>Financing activities (c)</w:t>
            </w:r>
          </w:p>
        </w:tc>
        <w:tc>
          <w:tcPr>
            <w:tcW w:w="10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(429)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(782)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(326)</w:t>
            </w:r>
          </w:p>
        </w:tc>
      </w:tr>
      <w:tr>
        <w:trPr>
          <w:trHeight w:val="230"/>
        </w:trPr>
        <w:tc>
          <w:tcPr>
            <w:tcW w:w="240" w:type="dxa"/>
            <w:vAlign w:val="bottom"/>
            <w:shd w:val="clear" w:color="auto" w:fill="CFF0FC"/>
          </w:tcPr>
          <w:p>
            <w:pPr>
              <w:spacing w:after="0"/>
              <w:rPr>
                <w:sz w:val="19"/>
                <w:szCs w:val="19"/>
                <w:color w:val="auto"/>
              </w:rPr>
            </w:pPr>
          </w:p>
        </w:tc>
        <w:tc>
          <w:tcPr>
            <w:tcW w:w="54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Effect of exchange rate changes</w:t>
            </w:r>
          </w:p>
        </w:tc>
        <w:tc>
          <w:tcPr>
            <w:tcW w:w="10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(90)</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FF0FC"/>
          </w:tcPr>
          <w:p>
            <w:pPr>
              <w:spacing w:after="0"/>
              <w:rPr>
                <w:sz w:val="19"/>
                <w:szCs w:val="19"/>
                <w:color w:val="auto"/>
              </w:rPr>
            </w:pPr>
          </w:p>
        </w:tc>
      </w:tr>
      <w:tr>
        <w:trPr>
          <w:trHeight w:val="205"/>
        </w:trPr>
        <w:tc>
          <w:tcPr>
            <w:tcW w:w="5700" w:type="dxa"/>
            <w:vAlign w:val="bottom"/>
            <w:gridSpan w:val="3"/>
          </w:tcPr>
          <w:p>
            <w:pPr>
              <w:spacing w:after="0" w:line="205" w:lineRule="exact"/>
              <w:rPr>
                <w:sz w:val="20"/>
                <w:szCs w:val="20"/>
                <w:color w:val="auto"/>
              </w:rPr>
            </w:pPr>
            <w:r>
              <w:rPr>
                <w:rFonts w:ascii="Arial" w:cs="Arial" w:eastAsia="Arial" w:hAnsi="Arial"/>
                <w:sz w:val="18"/>
                <w:szCs w:val="18"/>
                <w:b w:val="1"/>
                <w:bCs w:val="1"/>
                <w:color w:val="auto"/>
              </w:rPr>
              <w:t>Net Increase (Decrease) in Cash and Cash Equivalents and</w:t>
            </w:r>
          </w:p>
        </w:tc>
        <w:tc>
          <w:tcPr>
            <w:tcW w:w="108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700" w:type="dxa"/>
            <w:vAlign w:val="bottom"/>
            <w:gridSpan w:val="3"/>
          </w:tcPr>
          <w:p>
            <w:pPr>
              <w:ind w:left="140"/>
              <w:spacing w:after="0"/>
              <w:rPr>
                <w:sz w:val="20"/>
                <w:szCs w:val="20"/>
                <w:color w:val="auto"/>
              </w:rPr>
            </w:pPr>
            <w:r>
              <w:rPr>
                <w:rFonts w:ascii="Arial" w:cs="Arial" w:eastAsia="Arial" w:hAnsi="Arial"/>
                <w:sz w:val="18"/>
                <w:szCs w:val="18"/>
                <w:b w:val="1"/>
                <w:bCs w:val="1"/>
                <w:color w:val="auto"/>
              </w:rPr>
              <w:t>Restricted Cash</w:t>
            </w:r>
          </w:p>
        </w:tc>
        <w:tc>
          <w:tcPr>
            <w:tcW w:w="10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861</w:t>
            </w:r>
          </w:p>
        </w:tc>
        <w:tc>
          <w:tcPr>
            <w:tcW w:w="100" w:type="dxa"/>
            <w:vAlign w:val="bottom"/>
          </w:tcPr>
          <w:p>
            <w:pPr>
              <w:spacing w:after="0"/>
              <w:rPr>
                <w:sz w:val="20"/>
                <w:szCs w:val="20"/>
                <w:color w:val="auto"/>
              </w:rPr>
            </w:pPr>
          </w:p>
        </w:tc>
      </w:tr>
      <w:tr>
        <w:trPr>
          <w:trHeight w:val="230"/>
        </w:trPr>
        <w:tc>
          <w:tcPr>
            <w:tcW w:w="570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and Restricted Cash (d):</w:t>
            </w:r>
          </w:p>
        </w:tc>
        <w:tc>
          <w:tcPr>
            <w:tcW w:w="10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240" w:type="dxa"/>
            <w:vAlign w:val="bottom"/>
            <w:tcBorders>
              <w:bottom w:val="single" w:sz="8" w:color="CFF0FC"/>
            </w:tcBorders>
          </w:tcPr>
          <w:p>
            <w:pPr>
              <w:spacing w:after="0"/>
              <w:rPr>
                <w:sz w:val="19"/>
                <w:szCs w:val="19"/>
                <w:color w:val="auto"/>
              </w:rPr>
            </w:pPr>
          </w:p>
        </w:tc>
        <w:tc>
          <w:tcPr>
            <w:tcW w:w="5460" w:type="dxa"/>
            <w:vAlign w:val="bottom"/>
            <w:tcBorders>
              <w:bottom w:val="single" w:sz="8" w:color="CFF0FC"/>
            </w:tcBorders>
            <w:gridSpan w:val="2"/>
          </w:tcPr>
          <w:p>
            <w:pPr>
              <w:ind w:left="20"/>
              <w:spacing w:after="0"/>
              <w:rPr>
                <w:sz w:val="20"/>
                <w:szCs w:val="20"/>
                <w:color w:val="auto"/>
              </w:rPr>
            </w:pPr>
            <w:r>
              <w:rPr>
                <w:rFonts w:ascii="Arial" w:cs="Arial" w:eastAsia="Arial" w:hAnsi="Arial"/>
                <w:sz w:val="18"/>
                <w:szCs w:val="18"/>
                <w:b w:val="1"/>
                <w:bCs w:val="1"/>
                <w:color w:val="auto"/>
              </w:rPr>
              <w:t>Beginning of Period</w:t>
            </w:r>
          </w:p>
        </w:tc>
        <w:tc>
          <w:tcPr>
            <w:tcW w:w="10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2,230</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2,441</w:t>
            </w: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240" w:type="dxa"/>
            <w:vAlign w:val="bottom"/>
            <w:tcBorders>
              <w:bottom w:val="single" w:sz="8" w:color="CFF0FC"/>
            </w:tcBorders>
            <w:shd w:val="clear" w:color="auto" w:fill="CFF0FC"/>
          </w:tcPr>
          <w:p>
            <w:pPr>
              <w:spacing w:after="0"/>
              <w:rPr>
                <w:sz w:val="19"/>
                <w:szCs w:val="19"/>
                <w:color w:val="auto"/>
              </w:rPr>
            </w:pPr>
          </w:p>
        </w:tc>
        <w:tc>
          <w:tcPr>
            <w:tcW w:w="54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End of Period</w:t>
            </w:r>
          </w:p>
        </w:tc>
        <w:tc>
          <w:tcPr>
            <w:tcW w:w="108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2,388</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2,230</w:t>
            </w: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gridSpan w:val="2"/>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2,441</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24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39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50"/>
        </w:trPr>
        <w:tc>
          <w:tcPr>
            <w:tcW w:w="240" w:type="dxa"/>
            <w:vAlign w:val="bottom"/>
          </w:tcPr>
          <w:p>
            <w:pPr>
              <w:spacing w:after="0"/>
              <w:rPr>
                <w:sz w:val="20"/>
                <w:szCs w:val="20"/>
                <w:color w:val="auto"/>
              </w:rPr>
            </w:pPr>
            <w:r>
              <w:rPr>
                <w:rFonts w:ascii="Arial" w:cs="Arial" w:eastAsia="Arial" w:hAnsi="Arial"/>
                <w:sz w:val="18"/>
                <w:szCs w:val="18"/>
                <w:color w:val="auto"/>
                <w:w w:val="99"/>
              </w:rPr>
              <w:t>(a)</w:t>
            </w:r>
          </w:p>
        </w:tc>
        <w:tc>
          <w:tcPr>
            <w:tcW w:w="5460" w:type="dxa"/>
            <w:vAlign w:val="bottom"/>
            <w:gridSpan w:val="2"/>
          </w:tcPr>
          <w:p>
            <w:pPr>
              <w:ind w:left="360"/>
              <w:spacing w:after="0"/>
              <w:rPr>
                <w:sz w:val="20"/>
                <w:szCs w:val="20"/>
                <w:color w:val="auto"/>
              </w:rPr>
            </w:pPr>
            <w:r>
              <w:rPr>
                <w:rFonts w:ascii="Arial" w:cs="Arial" w:eastAsia="Arial" w:hAnsi="Arial"/>
                <w:sz w:val="18"/>
                <w:szCs w:val="18"/>
                <w:color w:val="auto"/>
              </w:rPr>
              <w:t>Consists of the following:</w:t>
            </w:r>
          </w:p>
        </w:tc>
        <w:tc>
          <w:tcPr>
            <w:tcW w:w="10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46"/>
        </w:trPr>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73"/>
              <w:spacing w:after="0" w:line="155" w:lineRule="exact"/>
              <w:rPr>
                <w:sz w:val="20"/>
                <w:szCs w:val="20"/>
                <w:color w:val="auto"/>
              </w:rPr>
            </w:pPr>
            <w:r>
              <w:rPr>
                <w:rFonts w:ascii="Arial" w:cs="Arial" w:eastAsia="Arial" w:hAnsi="Arial"/>
                <w:sz w:val="14"/>
                <w:szCs w:val="14"/>
                <w:b w:val="1"/>
                <w:bCs w:val="1"/>
                <w:color w:val="auto"/>
                <w:w w:val="96"/>
              </w:rPr>
              <w:t>2018</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3"/>
          </w:tcPr>
          <w:p>
            <w:pPr>
              <w:jc w:val="center"/>
              <w:ind w:right="360"/>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7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Depreciation and amortization of property</w:t>
            </w:r>
          </w:p>
        </w:tc>
        <w:tc>
          <w:tcPr>
            <w:tcW w:w="1940" w:type="dxa"/>
            <w:vAlign w:val="bottom"/>
            <w:gridSpan w:val="2"/>
            <w:shd w:val="clear" w:color="auto" w:fill="CFF0FC"/>
          </w:tcPr>
          <w:p>
            <w:pPr>
              <w:jc w:val="right"/>
              <w:ind w:right="679"/>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FF0FC"/>
          </w:tcPr>
          <w:p>
            <w:pPr>
              <w:spacing w:after="0"/>
              <w:rPr>
                <w:sz w:val="19"/>
                <w:szCs w:val="19"/>
                <w:color w:val="auto"/>
              </w:rPr>
            </w:pPr>
          </w:p>
        </w:tc>
        <w:tc>
          <w:tcPr>
            <w:tcW w:w="380" w:type="dxa"/>
            <w:vAlign w:val="bottom"/>
            <w:gridSpan w:val="3"/>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700" w:type="dxa"/>
            <w:vAlign w:val="bottom"/>
            <w:gridSpan w:val="3"/>
          </w:tcPr>
          <w:p>
            <w:pPr>
              <w:spacing w:after="0"/>
              <w:rPr>
                <w:sz w:val="20"/>
                <w:szCs w:val="20"/>
                <w:color w:val="auto"/>
              </w:rPr>
            </w:pPr>
            <w:r>
              <w:rPr>
                <w:rFonts w:ascii="Arial" w:cs="Arial" w:eastAsia="Arial" w:hAnsi="Arial"/>
                <w:sz w:val="18"/>
                <w:szCs w:val="18"/>
                <w:color w:val="auto"/>
              </w:rPr>
              <w:t>Noncash lease expense</w:t>
            </w:r>
          </w:p>
        </w:tc>
        <w:tc>
          <w:tcPr>
            <w:tcW w:w="10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57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Amortization of deferred expenses and share-based incentive</w:t>
            </w:r>
          </w:p>
        </w:tc>
        <w:tc>
          <w:tcPr>
            <w:tcW w:w="10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70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compensation</w:t>
            </w:r>
          </w:p>
        </w:tc>
        <w:tc>
          <w:tcPr>
            <w:tcW w:w="10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370</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5700" w:type="dxa"/>
            <w:vAlign w:val="bottom"/>
            <w:gridSpan w:val="3"/>
          </w:tcPr>
          <w:p>
            <w:pPr>
              <w:spacing w:after="0"/>
              <w:rPr>
                <w:sz w:val="20"/>
                <w:szCs w:val="20"/>
                <w:color w:val="auto"/>
              </w:rPr>
            </w:pPr>
            <w:r>
              <w:rPr>
                <w:rFonts w:ascii="Arial" w:cs="Arial" w:eastAsia="Arial" w:hAnsi="Arial"/>
                <w:sz w:val="18"/>
                <w:szCs w:val="18"/>
                <w:color w:val="auto"/>
              </w:rPr>
              <w:t>Deferred tax provision (benefit)</w:t>
            </w:r>
          </w:p>
        </w:tc>
        <w:tc>
          <w:tcPr>
            <w:tcW w:w="10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7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Amortization and other acquisition-related (benefits) costs</w:t>
            </w:r>
          </w:p>
        </w:tc>
        <w:tc>
          <w:tcPr>
            <w:tcW w:w="10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70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Loss on extinguishment of debt</w:t>
            </w:r>
          </w:p>
        </w:tc>
        <w:tc>
          <w:tcPr>
            <w:tcW w:w="10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570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401</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gridSpan w:val="2"/>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600" w:hanging="592"/>
        <w:spacing w:after="0"/>
        <w:tabs>
          <w:tab w:leader="none" w:pos="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w:t>
      </w:r>
    </w:p>
    <w:p>
      <w:pPr>
        <w:spacing w:after="0" w:line="49" w:lineRule="exact"/>
        <w:rPr>
          <w:rFonts w:ascii="Arial" w:cs="Arial" w:eastAsia="Arial" w:hAnsi="Arial"/>
          <w:sz w:val="18"/>
          <w:szCs w:val="18"/>
          <w:color w:val="auto"/>
        </w:rPr>
      </w:pPr>
    </w:p>
    <w:p>
      <w:pPr>
        <w:ind w:left="600" w:right="20" w:hanging="592"/>
        <w:spacing w:after="0" w:line="299" w:lineRule="auto"/>
        <w:tabs>
          <w:tab w:leader="none" w:pos="6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Consists primarily of purchases of shares of Class A common stock, tax withholdings related to the settlement of vested RSUs, vested restricted stock awards and vested PRSUs, changes in customer deposits, distributions to members and noncontrolling interest holders and activity relating to borrowings (including, in 2019 and 2018, the redemption of the 2020 Notes and the issuance of the 2029 and 2028 Notes, respectively).</w:t>
      </w:r>
    </w:p>
    <w:p>
      <w:pPr>
        <w:spacing w:after="0" w:line="1" w:lineRule="exact"/>
        <w:rPr>
          <w:rFonts w:ascii="Arial" w:cs="Arial" w:eastAsia="Arial" w:hAnsi="Arial"/>
          <w:sz w:val="16"/>
          <w:szCs w:val="16"/>
          <w:color w:val="auto"/>
        </w:rPr>
      </w:pPr>
    </w:p>
    <w:p>
      <w:pPr>
        <w:ind w:left="600" w:right="640" w:hanging="592"/>
        <w:spacing w:after="0" w:line="277" w:lineRule="auto"/>
        <w:tabs>
          <w:tab w:leader="none" w:pos="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Cash and cash equivalents and restricted cash consists of cash and cash equivalents, deposits with banks and short-term investments and cash deposited with clearing organizations and other segregated cash.</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Company’s liquidity and capital resources are derived from operating activities, financing activities and equity offerings.</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120" w:firstLine="598"/>
        <w:spacing w:after="0" w:line="342" w:lineRule="auto"/>
        <w:rPr>
          <w:sz w:val="20"/>
          <w:szCs w:val="20"/>
          <w:color w:val="auto"/>
        </w:rPr>
      </w:pPr>
      <w:r>
        <w:rPr>
          <w:rFonts w:ascii="Arial" w:cs="Arial" w:eastAsia="Arial" w:hAnsi="Arial"/>
          <w:sz w:val="16"/>
          <w:szCs w:val="16"/>
          <w:color w:val="auto"/>
        </w:rPr>
        <w:t>Net revenue, operating income and cash receipts fluctuate significantly between periods. In the case of Financial Advisory, fee receipts are generally dependent upon the successful completion of client transactions, the occurrence and timing of which is irregular and not subject to Lazard’s control.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53" w:name="page54"/>
    <w:bookmarkEnd w:id="53"/>
    <w:p>
      <w:pPr>
        <w:ind w:right="40" w:firstLine="598"/>
        <w:spacing w:after="0" w:line="259" w:lineRule="auto"/>
        <w:rPr>
          <w:sz w:val="20"/>
          <w:szCs w:val="20"/>
          <w:color w:val="auto"/>
        </w:rPr>
      </w:pPr>
      <w:r>
        <w:rPr>
          <w:rFonts w:ascii="Arial" w:cs="Arial" w:eastAsia="Arial" w:hAnsi="Arial"/>
          <w:sz w:val="18"/>
          <w:szCs w:val="18"/>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certain managing directors, which serve to reduce their respective incentive compensation payments. We expect this seasonal pattern of cash flow to continue.</w:t>
      </w:r>
    </w:p>
    <w:p>
      <w:pPr>
        <w:spacing w:after="0" w:line="187"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Liquidity is also affected by the level of deposits and other customer payables, principally at LFB. To the extent that such deposits and other customer payables rise or fall, this has a corresponding impact on liquidity held at LFB, with the majority of such amounts generally being recorded in “deposits with banks and short-term investments”. In the year ended December 31, 2019, as reflected on the consolidated statements of financial condition, both “deposits with banks and short-term investments” and “deposits and other customer payables” increased as compared to December 31, 2018, due to a higher level of LFB customer-related demand deposits, primarily from clients and funds managed by LFG.</w:t>
      </w:r>
    </w:p>
    <w:p>
      <w:pPr>
        <w:spacing w:after="0" w:line="173" w:lineRule="exact"/>
        <w:rPr>
          <w:sz w:val="20"/>
          <w:szCs w:val="20"/>
          <w:color w:val="auto"/>
        </w:rPr>
      </w:pPr>
    </w:p>
    <w:p>
      <w:pPr>
        <w:ind w:right="60" w:firstLine="598"/>
        <w:spacing w:after="0" w:line="273" w:lineRule="auto"/>
        <w:rPr>
          <w:sz w:val="20"/>
          <w:szCs w:val="20"/>
          <w:color w:val="auto"/>
        </w:rPr>
      </w:pPr>
      <w:r>
        <w:rPr>
          <w:rFonts w:ascii="Arial" w:cs="Arial" w:eastAsia="Arial" w:hAnsi="Arial"/>
          <w:sz w:val="17"/>
          <w:szCs w:val="17"/>
          <w:color w:val="auto"/>
        </w:rPr>
        <w:t>Lazard’s consolidated financial statements are presented in U.S. Dollars. Many of Lazard’s non-U.S. subsidiaries have a functional currency (</w:t>
      </w:r>
      <w:r>
        <w:rPr>
          <w:rFonts w:ascii="Arial" w:cs="Arial" w:eastAsia="Arial" w:hAnsi="Arial"/>
          <w:sz w:val="17"/>
          <w:szCs w:val="17"/>
          <w:i w:val="1"/>
          <w:iCs w:val="1"/>
          <w:color w:val="auto"/>
        </w:rPr>
        <w:t>i.e.</w:t>
      </w:r>
      <w:r>
        <w:rPr>
          <w:rFonts w:ascii="Arial" w:cs="Arial" w:eastAsia="Arial" w:hAnsi="Arial"/>
          <w:sz w:val="17"/>
          <w:szCs w:val="17"/>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 equity. Foreign currency remeasurement gains and losses on transactions in non-functional currencies are included on the consolidated statements of operations.</w:t>
      </w:r>
    </w:p>
    <w:p>
      <w:pPr>
        <w:spacing w:after="0" w:line="178" w:lineRule="exact"/>
        <w:rPr>
          <w:sz w:val="20"/>
          <w:szCs w:val="20"/>
          <w:color w:val="auto"/>
        </w:rPr>
      </w:pPr>
    </w:p>
    <w:p>
      <w:pPr>
        <w:ind w:right="100" w:firstLine="598"/>
        <w:spacing w:after="0" w:line="255" w:lineRule="auto"/>
        <w:rPr>
          <w:sz w:val="20"/>
          <w:szCs w:val="20"/>
          <w:color w:val="auto"/>
        </w:rPr>
      </w:pPr>
      <w:r>
        <w:rPr>
          <w:rFonts w:ascii="Arial" w:cs="Arial" w:eastAsia="Arial" w:hAnsi="Arial"/>
          <w:sz w:val="18"/>
          <w:szCs w:val="18"/>
          <w:color w:val="auto"/>
        </w:rPr>
        <w:t>We regularly monitor our liquidity position, including cash levels, investments in U.S. Treasury securities, credit lines, principal investment commitments, interest and principal payments on debt, capital expenditures, distributions to members, purchases of shares of Class A common stock and matters relating to liquidity and to compliance with regulatory net capital requirements. At December 31, 2019, Lazard had approximately $1,164 million of cash, with such amount including approximately $604 million held at Lazard’s operations outside the U.S. Lazard provides for income taxes on substantially all of its foreign earnings. We expect that no material amount of additional taxes would be recognized upon receipt of dividends or distributions of such earnings from our foreign operations.</w:t>
      </w:r>
    </w:p>
    <w:p>
      <w:pPr>
        <w:spacing w:after="0" w:line="193" w:lineRule="exact"/>
        <w:rPr>
          <w:sz w:val="20"/>
          <w:szCs w:val="20"/>
          <w:color w:val="auto"/>
        </w:rPr>
      </w:pPr>
    </w:p>
    <w:p>
      <w:pPr>
        <w:jc w:val="both"/>
        <w:ind w:right="280" w:firstLine="598"/>
        <w:spacing w:after="0" w:line="259" w:lineRule="auto"/>
        <w:rPr>
          <w:sz w:val="20"/>
          <w:szCs w:val="20"/>
          <w:color w:val="auto"/>
        </w:rPr>
      </w:pPr>
      <w:r>
        <w:rPr>
          <w:rFonts w:ascii="Arial" w:cs="Arial" w:eastAsia="Arial" w:hAnsi="Arial"/>
          <w:sz w:val="18"/>
          <w:szCs w:val="18"/>
          <w:color w:val="auto"/>
        </w:rPr>
        <w:t>We maintain lines of credit in excess of anticipated liquidity requirements. As of December 31, 2019, Lazard had approximately $168 million in unused lines of credit available to it, including a $150 million, five-year, senior revolving credit facility with a group of lenders that expires in September 2020 (the “Amended and Restated Credit Agreement”) (see “—Financing Activities” below) and unused lines of credit available to LFB of approximately $17 million.</w:t>
      </w:r>
    </w:p>
    <w:p>
      <w:pPr>
        <w:spacing w:after="0" w:line="187" w:lineRule="exact"/>
        <w:rPr>
          <w:sz w:val="20"/>
          <w:szCs w:val="20"/>
          <w:color w:val="auto"/>
        </w:rPr>
      </w:pPr>
    </w:p>
    <w:p>
      <w:pPr>
        <w:ind w:right="340" w:firstLine="598"/>
        <w:spacing w:after="0" w:line="279" w:lineRule="auto"/>
        <w:rPr>
          <w:sz w:val="20"/>
          <w:szCs w:val="20"/>
          <w:color w:val="auto"/>
        </w:rPr>
      </w:pPr>
      <w:r>
        <w:rPr>
          <w:rFonts w:ascii="Arial" w:cs="Arial" w:eastAsia="Arial" w:hAnsi="Arial"/>
          <w:sz w:val="17"/>
          <w:szCs w:val="17"/>
          <w:color w:val="auto"/>
        </w:rPr>
        <w:t>The Amended and Restated Credit Agreement contains customary terms and conditions, including limitations on consolidations, mergers, indebtedness and certain payments, as well as financial condition covenants relating to leverage and interest coverage ratios. Lazard Group’s obligations under the Amended and Restated Credit Agreement may be accelerated upon customary events of default, including non-payment of principal or interest, breaches of covenants, cross-defaults to other material debt, a change in control and specified bankruptcy events.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4" w:name="page55"/>
    <w:bookmarkEnd w:id="54"/>
    <w:p>
      <w:pPr>
        <w:ind w:left="30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520" w:firstLine="598"/>
        <w:spacing w:after="0" w:line="308" w:lineRule="auto"/>
        <w:rPr>
          <w:sz w:val="20"/>
          <w:szCs w:val="20"/>
          <w:color w:val="auto"/>
        </w:rPr>
      </w:pPr>
      <w:r>
        <w:rPr>
          <w:rFonts w:ascii="Arial" w:cs="Arial" w:eastAsia="Arial" w:hAnsi="Arial"/>
          <w:sz w:val="17"/>
          <w:szCs w:val="17"/>
          <w:color w:val="auto"/>
        </w:rPr>
        <w:t>The table below sets forth our corporate indebtedness as of December 31, 2019 and 2018. The agreements with respect to this indebtedness are discussed in more detail in our consolidated financial statements and related notes included elsewhere in this Form 10-K.</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273"/>
              <w:spacing w:after="0"/>
              <w:rPr>
                <w:sz w:val="20"/>
                <w:szCs w:val="20"/>
                <w:color w:val="auto"/>
              </w:rPr>
            </w:pPr>
            <w:r>
              <w:rPr>
                <w:rFonts w:ascii="Arial" w:cs="Arial" w:eastAsia="Arial" w:hAnsi="Arial"/>
                <w:sz w:val="14"/>
                <w:szCs w:val="14"/>
                <w:b w:val="1"/>
                <w:bCs w:val="1"/>
                <w:color w:val="auto"/>
              </w:rPr>
              <w:t>Outstanding as of</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Maturity</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6"/>
          </w:tcPr>
          <w:p>
            <w:pPr>
              <w:jc w:val="center"/>
              <w:ind w:right="20"/>
              <w:spacing w:after="0" w:line="155" w:lineRule="exact"/>
              <w:rPr>
                <w:sz w:val="20"/>
                <w:szCs w:val="20"/>
                <w:color w:val="auto"/>
              </w:rPr>
            </w:pPr>
            <w:r>
              <w:rPr>
                <w:rFonts w:ascii="Arial" w:cs="Arial" w:eastAsia="Arial" w:hAnsi="Arial"/>
                <w:sz w:val="14"/>
                <w:szCs w:val="14"/>
                <w:b w:val="1"/>
                <w:bCs w:val="1"/>
                <w:color w:val="auto"/>
                <w:w w:val="91"/>
              </w:rPr>
              <w:t>December 31, 2019</w:t>
            </w: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6"/>
          </w:tcPr>
          <w:p>
            <w:pPr>
              <w:jc w:val="center"/>
              <w:spacing w:after="0" w:line="155" w:lineRule="exact"/>
              <w:rPr>
                <w:sz w:val="20"/>
                <w:szCs w:val="20"/>
                <w:color w:val="auto"/>
              </w:rPr>
            </w:pPr>
            <w:r>
              <w:rPr>
                <w:rFonts w:ascii="Arial" w:cs="Arial" w:eastAsia="Arial" w:hAnsi="Arial"/>
                <w:sz w:val="14"/>
                <w:szCs w:val="14"/>
                <w:b w:val="1"/>
                <w:bCs w:val="1"/>
                <w:color w:val="auto"/>
                <w:w w:val="91"/>
              </w:rPr>
              <w:t>December 31, 2018</w:t>
            </w: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340" w:type="dxa"/>
            <w:vAlign w:val="bottom"/>
            <w:gridSpan w:val="2"/>
            <w:vMerge w:val="restart"/>
          </w:tcPr>
          <w:p>
            <w:pPr>
              <w:ind w:left="1760"/>
              <w:spacing w:after="0"/>
              <w:rPr>
                <w:sz w:val="20"/>
                <w:szCs w:val="20"/>
                <w:color w:val="auto"/>
              </w:rPr>
            </w:pPr>
            <w:r>
              <w:rPr>
                <w:rFonts w:ascii="Arial" w:cs="Arial" w:eastAsia="Arial" w:hAnsi="Arial"/>
                <w:sz w:val="14"/>
                <w:szCs w:val="14"/>
                <w:b w:val="1"/>
                <w:bCs w:val="1"/>
                <w:color w:val="auto"/>
              </w:rPr>
              <w:t>Senior Debt</w:t>
            </w:r>
          </w:p>
        </w:tc>
        <w:tc>
          <w:tcPr>
            <w:tcW w:w="9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4"/>
              </w:rPr>
              <w:t>Principal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4"/>
          </w:tcPr>
          <w:p>
            <w:pPr>
              <w:spacing w:after="0" w:line="133" w:lineRule="exact"/>
              <w:rPr>
                <w:sz w:val="20"/>
                <w:szCs w:val="20"/>
                <w:color w:val="auto"/>
              </w:rPr>
            </w:pPr>
            <w:r>
              <w:rPr>
                <w:rFonts w:ascii="Arial" w:cs="Arial" w:eastAsia="Arial" w:hAnsi="Arial"/>
                <w:sz w:val="14"/>
                <w:szCs w:val="14"/>
                <w:b w:val="1"/>
                <w:bCs w:val="1"/>
                <w:color w:val="auto"/>
              </w:rPr>
              <w:t>Unamortized</w:t>
            </w:r>
          </w:p>
        </w:tc>
        <w:tc>
          <w:tcPr>
            <w:tcW w:w="120" w:type="dxa"/>
            <w:vAlign w:val="bottom"/>
          </w:tcPr>
          <w:p>
            <w:pPr>
              <w:spacing w:after="0"/>
              <w:rPr>
                <w:sz w:val="11"/>
                <w:szCs w:val="11"/>
                <w:color w:val="auto"/>
              </w:rPr>
            </w:pPr>
          </w:p>
        </w:tc>
        <w:tc>
          <w:tcPr>
            <w:tcW w:w="700" w:type="dxa"/>
            <w:vAlign w:val="bottom"/>
          </w:tcPr>
          <w:p>
            <w:pPr>
              <w:jc w:val="center"/>
              <w:ind w:right="37"/>
              <w:spacing w:after="0" w:line="133" w:lineRule="exact"/>
              <w:rPr>
                <w:sz w:val="20"/>
                <w:szCs w:val="20"/>
                <w:color w:val="auto"/>
              </w:rPr>
            </w:pPr>
            <w:r>
              <w:rPr>
                <w:rFonts w:ascii="Arial" w:cs="Arial" w:eastAsia="Arial" w:hAnsi="Arial"/>
                <w:sz w:val="14"/>
                <w:szCs w:val="14"/>
                <w:b w:val="1"/>
                <w:bCs w:val="1"/>
                <w:color w:val="auto"/>
              </w:rPr>
              <w:t>Carrying</w:t>
            </w:r>
          </w:p>
        </w:tc>
        <w:tc>
          <w:tcPr>
            <w:tcW w:w="20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4"/>
              </w:rPr>
              <w:t>Principal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4"/>
          </w:tcPr>
          <w:p>
            <w:pPr>
              <w:spacing w:after="0" w:line="133" w:lineRule="exact"/>
              <w:rPr>
                <w:sz w:val="20"/>
                <w:szCs w:val="20"/>
                <w:color w:val="auto"/>
              </w:rPr>
            </w:pPr>
            <w:r>
              <w:rPr>
                <w:rFonts w:ascii="Arial" w:cs="Arial" w:eastAsia="Arial" w:hAnsi="Arial"/>
                <w:sz w:val="14"/>
                <w:szCs w:val="14"/>
                <w:b w:val="1"/>
                <w:bCs w:val="1"/>
                <w:color w:val="auto"/>
              </w:rPr>
              <w:t>Unamortized</w:t>
            </w:r>
          </w:p>
        </w:tc>
        <w:tc>
          <w:tcPr>
            <w:tcW w:w="120" w:type="dxa"/>
            <w:vAlign w:val="bottom"/>
          </w:tcPr>
          <w:p>
            <w:pPr>
              <w:spacing w:after="0"/>
              <w:rPr>
                <w:sz w:val="11"/>
                <w:szCs w:val="11"/>
                <w:color w:val="auto"/>
              </w:rPr>
            </w:pPr>
          </w:p>
        </w:tc>
        <w:tc>
          <w:tcPr>
            <w:tcW w:w="720" w:type="dxa"/>
            <w:vAlign w:val="bottom"/>
          </w:tcPr>
          <w:p>
            <w:pPr>
              <w:jc w:val="center"/>
              <w:ind w:right="54"/>
              <w:spacing w:after="0" w:line="13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40" w:type="dxa"/>
            <w:vAlign w:val="bottom"/>
            <w:gridSpan w:val="2"/>
            <w:vMerge w:val="continue"/>
          </w:tcPr>
          <w:p>
            <w:pPr>
              <w:spacing w:after="0"/>
              <w:rPr>
                <w:sz w:val="14"/>
                <w:szCs w:val="14"/>
                <w:color w:val="auto"/>
              </w:rPr>
            </w:pPr>
          </w:p>
        </w:tc>
        <w:tc>
          <w:tcPr>
            <w:tcW w:w="940" w:type="dxa"/>
            <w:vAlign w:val="bottom"/>
          </w:tcPr>
          <w:p>
            <w:pPr>
              <w:jc w:val="right"/>
              <w:ind w:right="255"/>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9"/>
              </w:rPr>
              <w:t>Debt Costs</w:t>
            </w:r>
          </w:p>
        </w:tc>
        <w:tc>
          <w:tcPr>
            <w:tcW w:w="120" w:type="dxa"/>
            <w:vAlign w:val="bottom"/>
          </w:tcPr>
          <w:p>
            <w:pPr>
              <w:spacing w:after="0"/>
              <w:rPr>
                <w:sz w:val="14"/>
                <w:szCs w:val="14"/>
                <w:color w:val="auto"/>
              </w:rPr>
            </w:pPr>
          </w:p>
        </w:tc>
        <w:tc>
          <w:tcPr>
            <w:tcW w:w="9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Debt Costs</w:t>
            </w:r>
          </w:p>
        </w:tc>
        <w:tc>
          <w:tcPr>
            <w:tcW w:w="12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6"/>
        </w:trPr>
        <w:tc>
          <w:tcPr>
            <w:tcW w:w="4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5"/>
          </w:tcPr>
          <w:p>
            <w:pPr>
              <w:jc w:val="right"/>
              <w:ind w:right="393"/>
              <w:spacing w:after="0" w:line="155" w:lineRule="exact"/>
              <w:rPr>
                <w:sz w:val="20"/>
                <w:szCs w:val="20"/>
                <w:color w:val="auto"/>
              </w:rPr>
            </w:pPr>
            <w:r>
              <w:rPr>
                <w:rFonts w:ascii="Arial" w:cs="Arial" w:eastAsia="Arial" w:hAnsi="Arial"/>
                <w:sz w:val="14"/>
                <w:szCs w:val="14"/>
                <w:b w:val="1"/>
                <w:bCs w:val="1"/>
                <w:color w:val="auto"/>
              </w:rPr>
              <w:t>($ in millions)</w:t>
            </w: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Lazard Group 2020 Senior Notes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48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Lazard Group 2025 Senior Notes</w:t>
            </w:r>
          </w:p>
        </w:tc>
        <w:tc>
          <w:tcPr>
            <w:tcW w:w="940" w:type="dxa"/>
            <w:vAlign w:val="bottom"/>
          </w:tcPr>
          <w:p>
            <w:pPr>
              <w:jc w:val="right"/>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397.6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Lazard Group 2027 Senior Notes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Lazard Group 2028 Senior Notes</w:t>
            </w:r>
          </w:p>
        </w:tc>
        <w:tc>
          <w:tcPr>
            <w:tcW w:w="940" w:type="dxa"/>
            <w:vAlign w:val="bottom"/>
          </w:tcPr>
          <w:p>
            <w:pPr>
              <w:jc w:val="right"/>
              <w:spacing w:after="0"/>
              <w:rPr>
                <w:sz w:val="20"/>
                <w:szCs w:val="20"/>
                <w:color w:val="auto"/>
              </w:rPr>
            </w:pPr>
            <w:r>
              <w:rPr>
                <w:rFonts w:ascii="Arial" w:cs="Arial" w:eastAsia="Arial" w:hAnsi="Arial"/>
                <w:sz w:val="18"/>
                <w:szCs w:val="18"/>
                <w:color w:val="auto"/>
              </w:rPr>
              <w:t>2028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Lazard Group 2029 Senior Notes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2029</w:t>
            </w: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492.6</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1,700.0</w:t>
            </w:r>
          </w:p>
        </w:tc>
        <w:tc>
          <w:tcPr>
            <w:tcW w:w="100" w:type="dxa"/>
            <w:vAlign w:val="bottom"/>
          </w:tcPr>
          <w:p>
            <w:pPr>
              <w:spacing w:after="0"/>
              <w:rPr>
                <w:sz w:val="19"/>
                <w:szCs w:val="19"/>
                <w:color w:val="auto"/>
              </w:rPr>
            </w:pP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1,679.</w:t>
            </w:r>
            <w:r>
              <w:rPr>
                <w:rFonts w:ascii="Arial" w:cs="Arial" w:eastAsia="Arial" w:hAnsi="Arial"/>
                <w:sz w:val="18"/>
                <w:szCs w:val="18"/>
                <w:u w:val="single" w:color="auto"/>
                <w:color w:val="auto"/>
              </w:rPr>
              <w:t>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1,450.</w:t>
            </w:r>
            <w:r>
              <w:rPr>
                <w:rFonts w:ascii="Arial" w:cs="Arial" w:eastAsia="Arial" w:hAnsi="Arial"/>
                <w:sz w:val="18"/>
                <w:szCs w:val="18"/>
                <w:u w:val="single" w:color="auto"/>
                <w:color w:val="auto"/>
              </w:rPr>
              <w:t>0</w:t>
            </w:r>
          </w:p>
        </w:tc>
        <w:tc>
          <w:tcPr>
            <w:tcW w:w="100" w:type="dxa"/>
            <w:vAlign w:val="bottom"/>
          </w:tcPr>
          <w:p>
            <w:pPr>
              <w:spacing w:after="0"/>
              <w:rPr>
                <w:sz w:val="19"/>
                <w:szCs w:val="19"/>
                <w:color w:val="auto"/>
              </w:rPr>
            </w:pP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1,434.</w:t>
            </w:r>
            <w:r>
              <w:rPr>
                <w:rFonts w:ascii="Arial" w:cs="Arial" w:eastAsia="Arial" w:hAnsi="Arial"/>
                <w:sz w:val="18"/>
                <w:szCs w:val="18"/>
                <w:u w:val="single" w:color="auto"/>
                <w:color w:val="auto"/>
              </w:rPr>
              <w:t>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40" w:firstLine="598"/>
        <w:spacing w:after="0" w:line="277" w:lineRule="auto"/>
        <w:rPr>
          <w:sz w:val="20"/>
          <w:szCs w:val="20"/>
          <w:color w:val="auto"/>
        </w:rPr>
      </w:pPr>
      <w:r>
        <w:rPr>
          <w:rFonts w:ascii="Arial" w:cs="Arial" w:eastAsia="Arial" w:hAnsi="Arial"/>
          <w:sz w:val="18"/>
          <w:szCs w:val="18"/>
          <w:color w:val="auto"/>
        </w:rPr>
        <w:t>During March 2019, Lazard Group completed an offering of the 2029 Notes. Lazard Group used a portion of the net proceeds of the 2029 Notes to redeem or otherwise retire the remaining 2020 Notes in transactions that occurred during March 2019 and April 2019.</w:t>
      </w:r>
    </w:p>
    <w:p>
      <w:pPr>
        <w:spacing w:after="0" w:line="170" w:lineRule="exact"/>
        <w:rPr>
          <w:sz w:val="20"/>
          <w:szCs w:val="20"/>
          <w:color w:val="auto"/>
        </w:rPr>
      </w:pPr>
    </w:p>
    <w:p>
      <w:pPr>
        <w:ind w:right="140" w:firstLine="598"/>
        <w:spacing w:after="0" w:line="277" w:lineRule="auto"/>
        <w:rPr>
          <w:sz w:val="20"/>
          <w:szCs w:val="20"/>
          <w:color w:val="auto"/>
        </w:rPr>
      </w:pPr>
      <w:r>
        <w:rPr>
          <w:rFonts w:ascii="Arial" w:cs="Arial" w:eastAsia="Arial" w:hAnsi="Arial"/>
          <w:sz w:val="18"/>
          <w:szCs w:val="18"/>
          <w:color w:val="auto"/>
        </w:rPr>
        <w:t>During September 2018, Lazard Group completed an offering of the 2028 Notes. Lazard Group used a portion of the net proceeds of the 2028 Notes to redeem or otherwise retire $250 million of the 2020 Notes.</w:t>
      </w:r>
    </w:p>
    <w:p>
      <w:pPr>
        <w:spacing w:after="0" w:line="170"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Lazard’s annual cash flow generated from operations historically has been sufficient to enable it to meet its annual obligations. We believe that our cash flows from operating activities, along with the use of our credit lines as needed, should be sufficient for us to fund our current obligations for the next 12 months.</w:t>
      </w:r>
    </w:p>
    <w:p>
      <w:pPr>
        <w:spacing w:after="0" w:line="181" w:lineRule="exact"/>
        <w:rPr>
          <w:sz w:val="20"/>
          <w:szCs w:val="20"/>
          <w:color w:val="auto"/>
        </w:rPr>
      </w:pPr>
    </w:p>
    <w:p>
      <w:pPr>
        <w:ind w:right="120" w:firstLine="598"/>
        <w:spacing w:after="0" w:line="254" w:lineRule="auto"/>
        <w:rPr>
          <w:sz w:val="20"/>
          <w:szCs w:val="20"/>
          <w:color w:val="auto"/>
        </w:rPr>
      </w:pPr>
      <w:r>
        <w:rPr>
          <w:rFonts w:ascii="Arial" w:cs="Arial" w:eastAsia="Arial" w:hAnsi="Arial"/>
          <w:sz w:val="18"/>
          <w:szCs w:val="18"/>
          <w:color w:val="auto"/>
        </w:rPr>
        <w:t>As long as the lenders’ commitments remain in effect, any loan pursuant to the Amended and Restated Credit Agreement remains outstanding and unpaid or any other amount is due to the lending bank group, the Amended and Restated Credit Agreement includes financial covenants that require that Lazard Group not permit (i) its Consolidated Leverage Ratio (as defined in the Amended and Restated Credit Agreement) for the 12-month period ending on the last day of any fiscal quarter to be greater than 3.25 to 1.00 or (ii) its Consolidated Interest Coverage Ratio (as defined in the Amended and Restated Credit Agreement) for the 12-month period ending on the last day of any fiscal quarter to be less than 3.00 to 1.00. For the 12-month period ended December 31, 2019, Lazard Group was in compliance with such ratios, with its Consolidated Leverage Ratio being 1.84 to 1.00 and its Consolidated Interest Coverage Ratio being 12.82 to 1.00. In any event, no amounts were outstanding under the Amended and Restated Credit Agreement as of December 31, 2019.</w:t>
      </w:r>
    </w:p>
    <w:p>
      <w:pPr>
        <w:spacing w:after="0" w:line="192" w:lineRule="exact"/>
        <w:rPr>
          <w:sz w:val="20"/>
          <w:szCs w:val="20"/>
          <w:color w:val="auto"/>
        </w:rPr>
      </w:pPr>
    </w:p>
    <w:p>
      <w:pPr>
        <w:ind w:right="140" w:firstLine="598"/>
        <w:spacing w:after="0" w:line="279" w:lineRule="auto"/>
        <w:rPr>
          <w:sz w:val="20"/>
          <w:szCs w:val="20"/>
          <w:color w:val="auto"/>
        </w:rPr>
      </w:pPr>
      <w:r>
        <w:rPr>
          <w:rFonts w:ascii="Arial" w:cs="Arial" w:eastAsia="Arial" w:hAnsi="Arial"/>
          <w:sz w:val="17"/>
          <w:szCs w:val="17"/>
          <w:color w:val="auto"/>
        </w:rPr>
        <w:t>In addition, the Amended and Restated Credit Agreement, indenture and supplemental indentures relating to Lazard Group’s senior notes contain certain other covenants (none of which relate to financial condition), events of default and other customary provisions. At December 31, 2019,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See Note 13 of Notes to Consolidated Financial Statements for additional information regarding senior debt.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5" w:name="page56"/>
    <w:bookmarkEnd w:id="55"/>
    <w:p>
      <w:pPr>
        <w:ind w:left="300"/>
        <w:spacing w:after="0"/>
        <w:rPr>
          <w:sz w:val="20"/>
          <w:szCs w:val="20"/>
          <w:color w:val="auto"/>
        </w:rPr>
      </w:pPr>
      <w:r>
        <w:rPr>
          <w:rFonts w:ascii="Arial" w:cs="Arial" w:eastAsia="Arial" w:hAnsi="Arial"/>
          <w:sz w:val="18"/>
          <w:szCs w:val="18"/>
          <w:b w:val="1"/>
          <w:bCs w:val="1"/>
          <w:i w:val="1"/>
          <w:iCs w:val="1"/>
          <w:color w:val="auto"/>
        </w:rPr>
        <w:t>Members’ Equity</w:t>
      </w:r>
    </w:p>
    <w:p>
      <w:pPr>
        <w:spacing w:after="0" w:line="117" w:lineRule="exact"/>
        <w:rPr>
          <w:sz w:val="20"/>
          <w:szCs w:val="20"/>
          <w:color w:val="auto"/>
        </w:rPr>
      </w:pPr>
    </w:p>
    <w:p>
      <w:pPr>
        <w:ind w:right="80" w:firstLine="598"/>
        <w:spacing w:after="0" w:line="264" w:lineRule="auto"/>
        <w:rPr>
          <w:sz w:val="20"/>
          <w:szCs w:val="20"/>
          <w:color w:val="auto"/>
        </w:rPr>
      </w:pPr>
      <w:r>
        <w:rPr>
          <w:rFonts w:ascii="Arial" w:cs="Arial" w:eastAsia="Arial" w:hAnsi="Arial"/>
          <w:sz w:val="18"/>
          <w:szCs w:val="18"/>
          <w:color w:val="auto"/>
        </w:rPr>
        <w:t>At December 31, 2019, total members’ equity was $287 million, as compared to $583 million and $907 million at December 31, 2018 and 2017, respectively, including $219 million, $530 million and $848 million attributable to Lazard Group on the respective dates. The net activity in members’ equity during the years ended December 31, 2019 and 2018 is reflected in the table below:</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40" w:type="dxa"/>
            <w:vAlign w:val="bottom"/>
            <w:tcBorders>
              <w:bottom w:val="single" w:sz="8" w:color="auto"/>
            </w:tcBorders>
            <w:gridSpan w:val="5"/>
          </w:tcPr>
          <w:p>
            <w:pPr>
              <w:jc w:val="right"/>
              <w:ind w:right="225"/>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5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320" w:type="dxa"/>
            <w:vAlign w:val="bottom"/>
            <w:gridSpan w:val="2"/>
          </w:tcPr>
          <w:p>
            <w:pPr>
              <w:jc w:val="right"/>
              <w:ind w:right="27"/>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45"/>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gridSpan w:val="4"/>
          </w:tcPr>
          <w:p>
            <w:pPr>
              <w:jc w:val="right"/>
              <w:ind w:right="665"/>
              <w:spacing w:after="0"/>
              <w:rPr>
                <w:sz w:val="20"/>
                <w:szCs w:val="20"/>
                <w:color w:val="auto"/>
              </w:rPr>
            </w:pPr>
            <w:r>
              <w:rPr>
                <w:rFonts w:ascii="Arial" w:cs="Arial" w:eastAsia="Arial" w:hAnsi="Arial"/>
                <w:sz w:val="13"/>
                <w:szCs w:val="13"/>
                <w:b w:val="1"/>
                <w:bCs w:val="1"/>
                <w:color w:val="auto"/>
              </w:rPr>
              <w:t>($ in millions)</w:t>
            </w:r>
          </w:p>
        </w:tc>
        <w:tc>
          <w:tcPr>
            <w:tcW w:w="4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580" w:type="dxa"/>
            <w:vAlign w:val="bottom"/>
          </w:tcPr>
          <w:p>
            <w:pPr>
              <w:spacing w:after="0"/>
              <w:rPr>
                <w:sz w:val="19"/>
                <w:szCs w:val="19"/>
                <w:color w:val="auto"/>
              </w:rPr>
            </w:pPr>
          </w:p>
        </w:tc>
        <w:tc>
          <w:tcPr>
            <w:tcW w:w="5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Members’ Equity - Beginning of Year</w:t>
            </w:r>
          </w:p>
        </w:tc>
        <w:tc>
          <w:tcPr>
            <w:tcW w:w="2320" w:type="dxa"/>
            <w:vAlign w:val="bottom"/>
            <w:gridSpan w:val="2"/>
            <w:shd w:val="clear" w:color="auto" w:fill="CFF0FC"/>
          </w:tcPr>
          <w:p>
            <w:pPr>
              <w:jc w:val="right"/>
              <w:ind w:right="807"/>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785"/>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Increase (decrease) due to:</w:t>
            </w: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7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Net income</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720" w:type="dxa"/>
            <w:vAlign w:val="bottom"/>
            <w:gridSpan w:val="2"/>
          </w:tcPr>
          <w:p>
            <w:pPr>
              <w:ind w:left="240"/>
              <w:spacing w:after="0"/>
              <w:rPr>
                <w:sz w:val="20"/>
                <w:szCs w:val="20"/>
                <w:color w:val="auto"/>
              </w:rPr>
            </w:pPr>
            <w:r>
              <w:rPr>
                <w:rFonts w:ascii="Arial" w:cs="Arial" w:eastAsia="Arial" w:hAnsi="Arial"/>
                <w:sz w:val="18"/>
                <w:szCs w:val="18"/>
                <w:color w:val="auto"/>
              </w:rPr>
              <w:t>Other comprehensive loss</w:t>
            </w: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r>
      <w:tr>
        <w:trPr>
          <w:trHeight w:val="230"/>
        </w:trPr>
        <w:tc>
          <w:tcPr>
            <w:tcW w:w="580" w:type="dxa"/>
            <w:vAlign w:val="bottom"/>
          </w:tcPr>
          <w:p>
            <w:pPr>
              <w:spacing w:after="0"/>
              <w:rPr>
                <w:sz w:val="19"/>
                <w:szCs w:val="19"/>
                <w:color w:val="auto"/>
              </w:rPr>
            </w:pPr>
          </w:p>
        </w:tc>
        <w:tc>
          <w:tcPr>
            <w:tcW w:w="57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Amortization of share-based incentive compensation</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720" w:type="dxa"/>
            <w:vAlign w:val="bottom"/>
            <w:gridSpan w:val="2"/>
          </w:tcPr>
          <w:p>
            <w:pPr>
              <w:ind w:left="240"/>
              <w:spacing w:after="0"/>
              <w:rPr>
                <w:sz w:val="20"/>
                <w:szCs w:val="20"/>
                <w:color w:val="auto"/>
              </w:rPr>
            </w:pPr>
            <w:r>
              <w:rPr>
                <w:rFonts w:ascii="Arial" w:cs="Arial" w:eastAsia="Arial" w:hAnsi="Arial"/>
                <w:sz w:val="18"/>
                <w:szCs w:val="18"/>
                <w:color w:val="auto"/>
              </w:rPr>
              <w:t>Purchase of Class A common stock</w:t>
            </w: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(495)</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(553)</w:t>
            </w:r>
          </w:p>
        </w:tc>
      </w:tr>
      <w:tr>
        <w:trPr>
          <w:trHeight w:val="230"/>
        </w:trPr>
        <w:tc>
          <w:tcPr>
            <w:tcW w:w="580" w:type="dxa"/>
            <w:vAlign w:val="bottom"/>
          </w:tcPr>
          <w:p>
            <w:pPr>
              <w:spacing w:after="0"/>
              <w:rPr>
                <w:sz w:val="19"/>
                <w:szCs w:val="19"/>
                <w:color w:val="auto"/>
              </w:rPr>
            </w:pPr>
          </w:p>
        </w:tc>
        <w:tc>
          <w:tcPr>
            <w:tcW w:w="57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Settlement of share-based incentive compensation (a)</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(110)</w:t>
            </w:r>
          </w:p>
        </w:tc>
      </w:tr>
      <w:tr>
        <w:trPr>
          <w:trHeight w:val="230"/>
        </w:trPr>
        <w:tc>
          <w:tcPr>
            <w:tcW w:w="580" w:type="dxa"/>
            <w:vAlign w:val="bottom"/>
          </w:tcPr>
          <w:p>
            <w:pPr>
              <w:spacing w:after="0"/>
              <w:rPr>
                <w:sz w:val="19"/>
                <w:szCs w:val="19"/>
                <w:color w:val="auto"/>
              </w:rPr>
            </w:pPr>
          </w:p>
        </w:tc>
        <w:tc>
          <w:tcPr>
            <w:tcW w:w="5720" w:type="dxa"/>
            <w:vAlign w:val="bottom"/>
            <w:gridSpan w:val="2"/>
          </w:tcPr>
          <w:p>
            <w:pPr>
              <w:ind w:left="240"/>
              <w:spacing w:after="0"/>
              <w:rPr>
                <w:sz w:val="20"/>
                <w:szCs w:val="20"/>
                <w:color w:val="auto"/>
              </w:rPr>
            </w:pPr>
            <w:r>
              <w:rPr>
                <w:rFonts w:ascii="Arial" w:cs="Arial" w:eastAsia="Arial" w:hAnsi="Arial"/>
                <w:sz w:val="18"/>
                <w:szCs w:val="18"/>
                <w:color w:val="auto"/>
              </w:rPr>
              <w:t>Distribution to members and noncontrolling interests, net</w:t>
            </w: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(276)</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(460)</w:t>
            </w:r>
          </w:p>
        </w:tc>
      </w:tr>
      <w:tr>
        <w:trPr>
          <w:trHeight w:val="230"/>
        </w:trPr>
        <w:tc>
          <w:tcPr>
            <w:tcW w:w="580" w:type="dxa"/>
            <w:vAlign w:val="bottom"/>
          </w:tcPr>
          <w:p>
            <w:pPr>
              <w:spacing w:after="0"/>
              <w:rPr>
                <w:sz w:val="19"/>
                <w:szCs w:val="19"/>
                <w:color w:val="auto"/>
              </w:rPr>
            </w:pPr>
          </w:p>
        </w:tc>
        <w:tc>
          <w:tcPr>
            <w:tcW w:w="57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 - net</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r>
      <w:tr>
        <w:trPr>
          <w:trHeight w:val="223"/>
        </w:trPr>
        <w:tc>
          <w:tcPr>
            <w:tcW w:w="6300" w:type="dxa"/>
            <w:vAlign w:val="bottom"/>
            <w:gridSpan w:val="3"/>
          </w:tcPr>
          <w:p>
            <w:pPr>
              <w:ind w:left="580"/>
              <w:spacing w:after="0"/>
              <w:rPr>
                <w:sz w:val="20"/>
                <w:szCs w:val="20"/>
                <w:color w:val="auto"/>
              </w:rPr>
            </w:pPr>
            <w:r>
              <w:rPr>
                <w:rFonts w:ascii="Arial" w:cs="Arial" w:eastAsia="Arial" w:hAnsi="Arial"/>
                <w:sz w:val="18"/>
                <w:szCs w:val="18"/>
                <w:color w:val="auto"/>
              </w:rPr>
              <w:t>Members’ Equity - End of Year</w:t>
            </w:r>
          </w:p>
        </w:tc>
        <w:tc>
          <w:tcPr>
            <w:tcW w:w="13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80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78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5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45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6" w:lineRule="exact"/>
        <w:rPr>
          <w:sz w:val="20"/>
          <w:szCs w:val="20"/>
          <w:color w:val="auto"/>
        </w:rPr>
      </w:pPr>
    </w:p>
    <w:p>
      <w:pPr>
        <w:ind w:left="600" w:hanging="592"/>
        <w:spacing w:after="0"/>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tax withholding portion of share-based compensation is settled in cash, not shares.</w:t>
      </w:r>
    </w:p>
    <w:p>
      <w:pPr>
        <w:spacing w:after="0" w:line="225" w:lineRule="exact"/>
        <w:rPr>
          <w:sz w:val="20"/>
          <w:szCs w:val="20"/>
          <w:color w:val="auto"/>
        </w:rPr>
      </w:pPr>
    </w:p>
    <w:p>
      <w:pPr>
        <w:ind w:right="200" w:firstLine="598"/>
        <w:spacing w:after="0" w:line="257" w:lineRule="auto"/>
        <w:rPr>
          <w:sz w:val="20"/>
          <w:szCs w:val="20"/>
          <w:color w:val="auto"/>
        </w:rPr>
      </w:pPr>
      <w:r>
        <w:rPr>
          <w:rFonts w:ascii="Arial" w:cs="Arial" w:eastAsia="Arial" w:hAnsi="Arial"/>
          <w:sz w:val="18"/>
          <w:szCs w:val="18"/>
          <w:color w:val="auto"/>
        </w:rPr>
        <w:t>The Board of Directors of Lazard has issued a series of authorizations to repurchase Class A common stock, which help offset the dilutive effect of our share-based incentive compensation plans. During a given year Lazard Ltd intends to repurchase at least as many shares as it expects to ultimately issue pursuant to such compensation plans in respect of year-end incentive compensation attributable to the prior year. The rate at which Lazard Ltd purchases shares in connection with this annual objective may vary from period to period due to a variety of factors. Purchases with respect to such program are set forth in the table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580" w:type="dxa"/>
            <w:vAlign w:val="bottom"/>
            <w:vMerge w:val="restart"/>
          </w:tcPr>
          <w:p>
            <w:pPr>
              <w:jc w:val="right"/>
              <w:ind w:right="377"/>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w:t>
            </w:r>
          </w:p>
        </w:tc>
        <w:tc>
          <w:tcPr>
            <w:tcW w:w="1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Price Per</w:t>
            </w:r>
          </w:p>
        </w:tc>
        <w:tc>
          <w:tcPr>
            <w:tcW w:w="0" w:type="dxa"/>
            <w:vAlign w:val="bottom"/>
          </w:tcPr>
          <w:p>
            <w:pPr>
              <w:spacing w:after="0"/>
              <w:rPr>
                <w:sz w:val="1"/>
                <w:szCs w:val="1"/>
                <w:color w:val="auto"/>
              </w:rPr>
            </w:pPr>
          </w:p>
        </w:tc>
      </w:tr>
      <w:tr>
        <w:trPr>
          <w:trHeight w:val="178"/>
        </w:trPr>
        <w:tc>
          <w:tcPr>
            <w:tcW w:w="7860" w:type="dxa"/>
            <w:vAlign w:val="bottom"/>
            <w:gridSpan w:val="2"/>
            <w:vMerge w:val="continue"/>
          </w:tcPr>
          <w:p>
            <w:pPr>
              <w:spacing w:after="0"/>
              <w:rPr>
                <w:sz w:val="15"/>
                <w:szCs w:val="15"/>
                <w:color w:val="auto"/>
              </w:rPr>
            </w:pPr>
          </w:p>
        </w:tc>
        <w:tc>
          <w:tcPr>
            <w:tcW w:w="1580" w:type="dxa"/>
            <w:vAlign w:val="bottom"/>
          </w:tcPr>
          <w:p>
            <w:pPr>
              <w:jc w:val="right"/>
              <w:ind w:right="497"/>
              <w:spacing w:after="0" w:line="158" w:lineRule="exact"/>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7"/>
        </w:trPr>
        <w:tc>
          <w:tcPr>
            <w:tcW w:w="1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2017</w:t>
            </w:r>
          </w:p>
        </w:tc>
        <w:tc>
          <w:tcPr>
            <w:tcW w:w="6240" w:type="dxa"/>
            <w:vAlign w:val="bottom"/>
            <w:tcBorders>
              <w:top w:val="single" w:sz="8" w:color="CFF0FC"/>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6,956,097</w:t>
            </w:r>
          </w:p>
        </w:tc>
        <w:tc>
          <w:tcPr>
            <w:tcW w:w="2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44.10</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r>
              <w:rPr>
                <w:rFonts w:ascii="Arial" w:cs="Arial" w:eastAsia="Arial" w:hAnsi="Arial"/>
                <w:sz w:val="18"/>
                <w:szCs w:val="18"/>
                <w:color w:val="auto"/>
              </w:rPr>
              <w:t>2018</w:t>
            </w:r>
          </w:p>
        </w:tc>
        <w:tc>
          <w:tcPr>
            <w:tcW w:w="6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12,206,652</w:t>
            </w:r>
          </w:p>
        </w:tc>
        <w:tc>
          <w:tcPr>
            <w:tcW w:w="5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45.29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624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13,674,439</w:t>
            </w:r>
          </w:p>
        </w:tc>
        <w:tc>
          <w:tcPr>
            <w:tcW w:w="58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firstLine="598"/>
        <w:spacing w:after="0" w:line="277" w:lineRule="auto"/>
        <w:rPr>
          <w:sz w:val="20"/>
          <w:szCs w:val="20"/>
          <w:color w:val="auto"/>
        </w:rPr>
      </w:pPr>
      <w:r>
        <w:rPr>
          <w:rFonts w:ascii="Arial" w:cs="Arial" w:eastAsia="Arial" w:hAnsi="Arial"/>
          <w:sz w:val="18"/>
          <w:szCs w:val="18"/>
          <w:color w:val="auto"/>
        </w:rPr>
        <w:t>As of December 31, 2019, a total of $401 million of share repurchase authorization remained available under Lazard Ltd’s share repurchase program, $101 million of which will expire on December 31, 2020 and $300 million of which will expire on December 31, 2021.</w:t>
      </w:r>
    </w:p>
    <w:p>
      <w:pPr>
        <w:spacing w:after="0" w:line="170" w:lineRule="exact"/>
        <w:rPr>
          <w:sz w:val="20"/>
          <w:szCs w:val="20"/>
          <w:color w:val="auto"/>
        </w:rPr>
      </w:pPr>
    </w:p>
    <w:p>
      <w:pPr>
        <w:ind w:right="460" w:firstLine="598"/>
        <w:spacing w:after="0" w:line="277" w:lineRule="auto"/>
        <w:rPr>
          <w:sz w:val="20"/>
          <w:szCs w:val="20"/>
          <w:color w:val="auto"/>
        </w:rPr>
      </w:pPr>
      <w:r>
        <w:rPr>
          <w:rFonts w:ascii="Arial" w:cs="Arial" w:eastAsia="Arial" w:hAnsi="Arial"/>
          <w:sz w:val="18"/>
          <w:szCs w:val="18"/>
          <w:color w:val="auto"/>
        </w:rPr>
        <w:t>During the year ended December 31, 2019, Lazard Ltd had in place trading plans under Rule 10b5-1 of the Securities Exchange Act of 1934, as amended, pursuant to which it effected stock repurchases in the open market.</w:t>
      </w:r>
    </w:p>
    <w:p>
      <w:pPr>
        <w:spacing w:after="0" w:line="170"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On October 31, 2019, Lazard Group distributed to its managing members, which are subsidiaries of Lazard Ltd, 17,000,000 shares of Class A common stock that were held by Lazard Group. These shares were ultimately received by Lazard Ltd and cancelled. There was no impact on total members’ equity as a result of this distribution.</w:t>
      </w:r>
    </w:p>
    <w:p>
      <w:pPr>
        <w:spacing w:after="0" w:line="181" w:lineRule="exact"/>
        <w:rPr>
          <w:sz w:val="20"/>
          <w:szCs w:val="20"/>
          <w:color w:val="auto"/>
        </w:rPr>
      </w:pPr>
    </w:p>
    <w:p>
      <w:pPr>
        <w:ind w:right="360" w:firstLine="598"/>
        <w:spacing w:after="0" w:line="308" w:lineRule="auto"/>
        <w:rPr>
          <w:sz w:val="20"/>
          <w:szCs w:val="20"/>
          <w:color w:val="auto"/>
        </w:rPr>
      </w:pPr>
      <w:r>
        <w:rPr>
          <w:rFonts w:ascii="Arial" w:cs="Arial" w:eastAsia="Arial" w:hAnsi="Arial"/>
          <w:sz w:val="17"/>
          <w:szCs w:val="17"/>
          <w:color w:val="auto"/>
        </w:rPr>
        <w:t>The Company plans to continue to deploy excess cash and may do so in a variety of ways, which may include repurchasing outstanding shares of Class A common stock, distributions to members and noncontrolling interest holders and repurchasing its outstanding debt.</w:t>
      </w:r>
    </w:p>
    <w:p>
      <w:pPr>
        <w:spacing w:after="0" w:line="147" w:lineRule="exact"/>
        <w:rPr>
          <w:sz w:val="20"/>
          <w:szCs w:val="20"/>
          <w:color w:val="auto"/>
        </w:rPr>
      </w:pPr>
    </w:p>
    <w:p>
      <w:pPr>
        <w:ind w:right="360" w:firstLine="598"/>
        <w:spacing w:after="0" w:line="277" w:lineRule="auto"/>
        <w:rPr>
          <w:sz w:val="20"/>
          <w:szCs w:val="20"/>
          <w:color w:val="auto"/>
        </w:rPr>
      </w:pPr>
      <w:r>
        <w:rPr>
          <w:rFonts w:ascii="Arial" w:cs="Arial" w:eastAsia="Arial" w:hAnsi="Arial"/>
          <w:sz w:val="18"/>
          <w:szCs w:val="18"/>
          <w:color w:val="auto"/>
        </w:rPr>
        <w:t>See Notes 15 and 16 of Notes to Consolidated Financial Statements for additional information regarding Lazard’s members’ equity and incentive plans,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Regulatory Capital</w:t>
      </w:r>
    </w:p>
    <w:p>
      <w:pPr>
        <w:spacing w:after="0" w:line="121" w:lineRule="exact"/>
        <w:rPr>
          <w:sz w:val="20"/>
          <w:szCs w:val="20"/>
          <w:color w:val="auto"/>
        </w:rPr>
      </w:pPr>
    </w:p>
    <w:p>
      <w:pPr>
        <w:ind w:right="20" w:firstLine="598"/>
        <w:spacing w:after="0" w:line="272" w:lineRule="auto"/>
        <w:rPr>
          <w:sz w:val="20"/>
          <w:szCs w:val="20"/>
          <w:color w:val="auto"/>
        </w:rPr>
      </w:pPr>
      <w:r>
        <w:rPr>
          <w:rFonts w:ascii="Arial" w:cs="Arial" w:eastAsia="Arial" w:hAnsi="Arial"/>
          <w:sz w:val="17"/>
          <w:szCs w:val="17"/>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rules regarding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 See Note 21 of Notes to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 “Business—Regulation” included in this Form 10-K.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sets forth information relating to Lazard’s contractual obligations as of December 31, 2019:</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3"/>
              </w:rPr>
              <w:t>Contractual Obligations Payment Due by Period</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76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88"/>
              </w:rPr>
              <w:t>Less than</w:t>
            </w:r>
          </w:p>
        </w:tc>
        <w:tc>
          <w:tcPr>
            <w:tcW w:w="140" w:type="dxa"/>
            <w:vAlign w:val="bottom"/>
          </w:tcPr>
          <w:p>
            <w:pPr>
              <w:spacing w:after="0"/>
              <w:rPr>
                <w:sz w:val="11"/>
                <w:szCs w:val="11"/>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1-3 Years</w:t>
            </w:r>
          </w:p>
        </w:tc>
        <w:tc>
          <w:tcPr>
            <w:tcW w:w="160" w:type="dxa"/>
            <w:vAlign w:val="bottom"/>
          </w:tcPr>
          <w:p>
            <w:pPr>
              <w:spacing w:after="0"/>
              <w:rPr>
                <w:sz w:val="11"/>
                <w:szCs w:val="11"/>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140" w:type="dxa"/>
            <w:vAlign w:val="bottom"/>
          </w:tcPr>
          <w:p>
            <w:pPr>
              <w:spacing w:after="0"/>
              <w:rPr>
                <w:sz w:val="11"/>
                <w:szCs w:val="11"/>
                <w:color w:val="auto"/>
              </w:rPr>
            </w:pPr>
          </w:p>
        </w:tc>
        <w:tc>
          <w:tcPr>
            <w:tcW w:w="900" w:type="dxa"/>
            <w:vAlign w:val="bottom"/>
          </w:tcPr>
          <w:p>
            <w:pPr>
              <w:jc w:val="center"/>
              <w:ind w:right="76"/>
              <w:spacing w:after="0" w:line="133"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7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1 Year</w:t>
            </w: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56"/>
        </w:trPr>
        <w:tc>
          <w:tcPr>
            <w:tcW w:w="17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tcPr>
          <w:p>
            <w:pPr>
              <w:jc w:val="center"/>
              <w:ind w:right="220"/>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debt (including interest) (a)</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2,273,667</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70,250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1,922,417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gridSpan w:val="2"/>
          </w:tcPr>
          <w:p>
            <w:pPr>
              <w:spacing w:after="0"/>
              <w:rPr>
                <w:sz w:val="20"/>
                <w:szCs w:val="20"/>
                <w:color w:val="auto"/>
              </w:rPr>
            </w:pPr>
            <w:r>
              <w:rPr>
                <w:rFonts w:ascii="Arial" w:cs="Arial" w:eastAsia="Arial" w:hAnsi="Arial"/>
                <w:sz w:val="18"/>
                <w:szCs w:val="18"/>
                <w:color w:val="auto"/>
              </w:rPr>
              <w:t>Operating leases (exclusive of $19,584 of</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140"/>
              <w:spacing w:after="0"/>
              <w:rPr>
                <w:sz w:val="20"/>
                <w:szCs w:val="20"/>
                <w:color w:val="auto"/>
              </w:rPr>
            </w:pPr>
            <w:r>
              <w:rPr>
                <w:rFonts w:ascii="Arial" w:cs="Arial" w:eastAsia="Arial" w:hAnsi="Arial"/>
                <w:sz w:val="18"/>
                <w:szCs w:val="18"/>
                <w:color w:val="auto"/>
              </w:rPr>
              <w:t>committed sublease income)</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793,509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88,933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152,103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124,064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428,409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Investment capital funding commitments (b)</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6,056</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6,056</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Total (c)</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3,073,232</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165,239</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292,603</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264,564</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2,350,826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3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right="120" w:hanging="592"/>
        <w:spacing w:after="0" w:line="259" w:lineRule="auto"/>
        <w:tabs>
          <w:tab w:leader="none" w:pos="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During March 2019, Lazard Group completed an offering of $500,000 aggregate principal amount of the 2029 Notes. Interest on the 2029 Notes is payable semi-annually on March 11 and September 11 of each year, beginning September 11, 2019. Lazard Group used a portion of the net proceeds of the 2029 Notes during March and April 2019 to redeem or otherwise retire the remaining $250,000 of the 2020 Notes. See Note 13 of Notes to Consolidated Financial Statements.</w:t>
      </w:r>
    </w:p>
    <w:p>
      <w:pPr>
        <w:spacing w:after="0" w:line="11" w:lineRule="exact"/>
        <w:rPr>
          <w:rFonts w:ascii="Arial" w:cs="Arial" w:eastAsia="Arial" w:hAnsi="Arial"/>
          <w:sz w:val="18"/>
          <w:szCs w:val="18"/>
          <w:color w:val="auto"/>
        </w:rPr>
      </w:pPr>
    </w:p>
    <w:p>
      <w:pPr>
        <w:ind w:left="600" w:right="100" w:hanging="592"/>
        <w:spacing w:after="0" w:line="281" w:lineRule="auto"/>
        <w:tabs>
          <w:tab w:leader="none" w:pos="6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Unfunded commitments to private equity investments consolidated but not owned by Lazard of $11,155 are excluded. Such commitments are required to be funded by capital contributions from noncontrolling interest holders. See Note 7 of Notes to Consolidated Financial Statements. These amounts are generally due on demand and therefore are presented in the “less than 1 year” category.</w:t>
      </w:r>
    </w:p>
    <w:p>
      <w:pPr>
        <w:spacing w:after="0" w:line="2" w:lineRule="exact"/>
        <w:rPr>
          <w:rFonts w:ascii="Arial" w:cs="Arial" w:eastAsia="Arial" w:hAnsi="Arial"/>
          <w:sz w:val="17"/>
          <w:szCs w:val="17"/>
          <w:color w:val="auto"/>
        </w:rPr>
      </w:pPr>
    </w:p>
    <w:p>
      <w:pPr>
        <w:ind w:left="600" w:right="60" w:hanging="592"/>
        <w:spacing w:after="0" w:line="312" w:lineRule="auto"/>
        <w:tabs>
          <w:tab w:leader="none" w:pos="6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table above excludes contingent obligations, as well as any possible payments for uncertain tax positions, given the inability to make a reasonably reliable estimate of the timing of the amounts of any such payments. See also Notes 14, 16, 17, and 19 of Notes to Consolidated Financial Statements regarding information in connection with commitments, incentive plans, employee benefit plans and income taxes, respectively.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121" w:lineRule="exact"/>
        <w:rPr>
          <w:sz w:val="20"/>
          <w:szCs w:val="20"/>
          <w:color w:val="auto"/>
        </w:rPr>
      </w:pPr>
    </w:p>
    <w:p>
      <w:pPr>
        <w:ind w:right="80" w:firstLine="598"/>
        <w:spacing w:after="0" w:line="272" w:lineRule="auto"/>
        <w:rPr>
          <w:sz w:val="20"/>
          <w:szCs w:val="20"/>
          <w:color w:val="auto"/>
        </w:rPr>
      </w:pPr>
      <w:r>
        <w:rPr>
          <w:rFonts w:ascii="Arial" w:cs="Arial" w:eastAsia="Arial" w:hAnsi="Arial"/>
          <w:sz w:val="17"/>
          <w:szCs w:val="17"/>
          <w:color w:val="auto"/>
        </w:rPr>
        <w:t>We do not believe inflation will significantly affect our compensation costs as they are substantially variable in nature. However, the rate of inflation may affect certain of our other expenses, such as information technology and occupancy costs. To the extent inflation results in rising interest rates and has other effects upon the securities markets or general macroeconomic conditions, it may adversely affect our financial position and results of operations by impacting overall levels of M&amp;A activity, reducing our AUM or net revenue, or otherwise. See Item 1A, “Risk Factors—Other Business Risks—Difficult market conditions can adversely affect our business in many ways, including by reducing the volume of the transactions involving our Financial Advisory business and reducing the value or performance of the assets we manage in our Asset Management business, which, in each case, could materially reduce our revenue or income and adversely affect our financial position”.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 w:firstLine="598"/>
        <w:spacing w:after="0" w:line="272" w:lineRule="auto"/>
        <w:rPr>
          <w:sz w:val="20"/>
          <w:szCs w:val="20"/>
          <w:color w:val="auto"/>
        </w:rPr>
      </w:pPr>
      <w:r>
        <w:rPr>
          <w:rFonts w:ascii="Arial" w:cs="Arial" w:eastAsia="Arial" w:hAnsi="Arial"/>
          <w:sz w:val="17"/>
          <w:szCs w:val="17"/>
          <w:color w:val="auto"/>
        </w:rPr>
        <w:t>Management’s discussion and analysis of our consolidated financial condition and results of operations is based upon our consolidated financial statements, which have been prepared in conformity with U.S. GAAP. The preparation of Lazard’s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income taxes, investing activities and goodwill. Lazard bases these estimates on historical experience and various other assumptions that it believes to be reasonable under the circumstances, the results of which form the basis for making judgments, including judgments regarding the carrying values of assets and liabilities, that are not readily apparent from other sources. Actual results may differ from these estimates.</w:t>
      </w:r>
    </w:p>
    <w:p>
      <w:pPr>
        <w:spacing w:after="0" w:line="178"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consolidated financial statements.</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60" w:firstLine="598"/>
        <w:spacing w:after="0" w:line="277"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62" w:lineRule="exact"/>
        <w:rPr>
          <w:sz w:val="20"/>
          <w:szCs w:val="20"/>
          <w:color w:val="auto"/>
        </w:rPr>
      </w:pPr>
    </w:p>
    <w:p>
      <w:pPr>
        <w:ind w:left="1200" w:hanging="598"/>
        <w:spacing w:after="0"/>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contract with a client has been identified;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performance obligations in the contract have been identified;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fee or other transaction price has been determined;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fee or other transaction price has been allocated to each performance obligation in the contract;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has satisfied the applicable performance obligation.</w:t>
      </w:r>
    </w:p>
    <w:p>
      <w:pPr>
        <w:spacing w:after="0" w:line="225" w:lineRule="exact"/>
        <w:rPr>
          <w:sz w:val="20"/>
          <w:szCs w:val="20"/>
          <w:color w:val="auto"/>
        </w:rPr>
      </w:pPr>
    </w:p>
    <w:p>
      <w:pPr>
        <w:ind w:right="200" w:firstLine="598"/>
        <w:spacing w:after="0" w:line="342" w:lineRule="auto"/>
        <w:rPr>
          <w:sz w:val="20"/>
          <w:szCs w:val="20"/>
          <w:color w:val="auto"/>
        </w:rPr>
      </w:pPr>
      <w:r>
        <w:rPr>
          <w:rFonts w:ascii="Arial" w:cs="Arial" w:eastAsia="Arial" w:hAnsi="Arial"/>
          <w:sz w:val="16"/>
          <w:szCs w:val="16"/>
          <w:color w:val="auto"/>
        </w:rPr>
        <w:t>The Company earns performance-based incentive fees on various investment products, including traditional products and alternative investment funds such as hedge funds and private equity funds. See “Financial Statement Overview” for a description of our revenue recognition policies on such fees.</w:t>
      </w:r>
    </w:p>
    <w:p>
      <w:pPr>
        <w:spacing w:after="0" w:line="124"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87" w:lineRule="exact"/>
        <w:rPr>
          <w:sz w:val="20"/>
          <w:szCs w:val="20"/>
          <w:color w:val="auto"/>
        </w:rPr>
      </w:pPr>
    </w:p>
    <w:p>
      <w:pPr>
        <w:ind w:right="20" w:firstLine="598"/>
        <w:spacing w:after="0" w:line="271" w:lineRule="auto"/>
        <w:rPr>
          <w:sz w:val="20"/>
          <w:szCs w:val="20"/>
          <w:color w:val="auto"/>
        </w:rPr>
      </w:pPr>
      <w:r>
        <w:rPr>
          <w:rFonts w:ascii="Arial" w:cs="Arial" w:eastAsia="Arial" w:hAnsi="Arial"/>
          <w:sz w:val="17"/>
          <w:szCs w:val="17"/>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Capital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2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360" w:firstLine="598"/>
        <w:spacing w:after="0" w:line="312" w:lineRule="auto"/>
        <w:rPr>
          <w:sz w:val="20"/>
          <w:szCs w:val="20"/>
          <w:color w:val="auto"/>
        </w:rPr>
      </w:pPr>
      <w:r>
        <w:rPr>
          <w:rFonts w:ascii="Arial" w:cs="Arial" w:eastAsia="Arial" w:hAnsi="Arial"/>
          <w:sz w:val="16"/>
          <w:szCs w:val="16"/>
          <w:color w:val="auto"/>
        </w:rPr>
        <w:t>As part of the process of preparing our consolidated financial statements, we estimate our income taxes for each of our tax-paying entities in its respective jurisdiction. In addition to estimating actual current tax liabilities for these jurisdictions, we also must account for the tax effects of differences between the financial reporting and tax reporting of items, such as basis adjustments, compensation and benefits expense, and depreciation and</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58" w:name="page59"/>
    <w:bookmarkEnd w:id="58"/>
    <w:p>
      <w:pPr>
        <w:ind w:right="100"/>
        <w:spacing w:after="0" w:line="264" w:lineRule="auto"/>
        <w:rPr>
          <w:sz w:val="20"/>
          <w:szCs w:val="20"/>
          <w:color w:val="auto"/>
        </w:rPr>
      </w:pPr>
      <w:r>
        <w:rPr>
          <w:rFonts w:ascii="Arial" w:cs="Arial" w:eastAsia="Arial" w:hAnsi="Arial"/>
          <w:sz w:val="18"/>
          <w:szCs w:val="18"/>
          <w:color w:val="auto"/>
        </w:rPr>
        <w:t>amortization. Differences which are temporary in nature result in deferred tax assets and liabilities. Significant judgment is required in determining our provision for income taxes, our deferred tax assets and liabilities, any valuation allowance recorded against our deferred tax assets and our unrecognized tax benefits.</w:t>
      </w:r>
    </w:p>
    <w:p>
      <w:pPr>
        <w:spacing w:after="0" w:line="181"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We recognize a deferred tax asset if it is more likely than not (defined as a likelihood of greater than 50%) that a tax benefit will be accepted by a taxing authority. The measurement of deferred tax assets and liabilities is based upon currently enacted tax rates in the applicable jurisdictions. At December 31, 2019, on a consolidated basis, we recorded gross deferred tax assets of approximately $139 million, with such amount partially offset by a valuation allowance of approximately $70 million (as described below).</w:t>
      </w:r>
    </w:p>
    <w:p>
      <w:pPr>
        <w:spacing w:after="0" w:line="187" w:lineRule="exact"/>
        <w:rPr>
          <w:sz w:val="20"/>
          <w:szCs w:val="20"/>
          <w:color w:val="auto"/>
        </w:rPr>
      </w:pPr>
    </w:p>
    <w:p>
      <w:pPr>
        <w:ind w:right="80" w:firstLine="598"/>
        <w:spacing w:after="0" w:line="279" w:lineRule="auto"/>
        <w:rPr>
          <w:sz w:val="20"/>
          <w:szCs w:val="20"/>
          <w:color w:val="auto"/>
        </w:rPr>
      </w:pPr>
      <w:r>
        <w:rPr>
          <w:rFonts w:ascii="Arial" w:cs="Arial" w:eastAsia="Arial" w:hAnsi="Arial"/>
          <w:sz w:val="17"/>
          <w:szCs w:val="17"/>
          <w:color w:val="auto"/>
        </w:rPr>
        <w:t>Subsequent to the initial recognition of deferred tax assets, we also must continually assess the likelihood that such deferred tax assets will be realized. If we determine that we may not fully derive the benefit from a deferred tax asset, we consider whether it would be appropriate to apply a valuation allowance against the applicable deferred tax asset, taking into account all available information. The ultimate realization of a deferred tax asset for a particular entity depends, among other things, on the generation of taxable income by such entity in the applicable jurisdiction.</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consider multiple possible sources of taxable income when assessing a valuation allowance against a deferred tax asset, including:</w:t>
      </w:r>
    </w:p>
    <w:p>
      <w:pPr>
        <w:spacing w:after="0" w:line="117" w:lineRule="exact"/>
        <w:rPr>
          <w:sz w:val="20"/>
          <w:szCs w:val="20"/>
          <w:color w:val="auto"/>
        </w:rPr>
      </w:pPr>
    </w:p>
    <w:p>
      <w:pPr>
        <w:ind w:left="1200" w:hanging="598"/>
        <w:spacing w:after="0"/>
        <w:tabs>
          <w:tab w:leader="none" w:pos="1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225" w:lineRule="exact"/>
        <w:rPr>
          <w:sz w:val="20"/>
          <w:szCs w:val="20"/>
          <w:color w:val="auto"/>
        </w:rPr>
      </w:pPr>
    </w:p>
    <w:p>
      <w:pPr>
        <w:ind w:right="360" w:firstLine="598"/>
        <w:spacing w:after="0" w:line="277" w:lineRule="auto"/>
        <w:rPr>
          <w:sz w:val="20"/>
          <w:szCs w:val="20"/>
          <w:color w:val="auto"/>
        </w:rPr>
      </w:pPr>
      <w:r>
        <w:rPr>
          <w:rFonts w:ascii="Arial" w:cs="Arial" w:eastAsia="Arial" w:hAnsi="Arial"/>
          <w:sz w:val="18"/>
          <w:szCs w:val="18"/>
          <w:color w:val="auto"/>
        </w:rPr>
        <w:t>The assessment regarding whether a valuation allowance is required or should be adjusted also considers all available information, including the following:</w:t>
      </w:r>
    </w:p>
    <w:p>
      <w:pPr>
        <w:spacing w:after="0" w:line="62" w:lineRule="exact"/>
        <w:rPr>
          <w:sz w:val="20"/>
          <w:szCs w:val="20"/>
          <w:color w:val="auto"/>
        </w:rPr>
      </w:pPr>
    </w:p>
    <w:p>
      <w:pPr>
        <w:ind w:left="1200" w:hanging="598"/>
        <w:spacing w:after="0"/>
        <w:tabs>
          <w:tab w:leader="none" w:pos="12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nature, frequency, magnitude and duration of any past losses and current operating results;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near-term and medium-term financial outlook.</w:t>
      </w:r>
    </w:p>
    <w:p>
      <w:pPr>
        <w:spacing w:after="0" w:line="225"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The weight we give to any particular item is, in part, dependent upon the degree to which it can be objectively verified. We give greater weight to the recent results of operations of a relevant entity. Pre-tax operating losses on a three year cumulative basis or lack of sustainable profitability are considered objectively verifiable evidence and will generally outweigh a projection of future taxable income.</w:t>
      </w:r>
    </w:p>
    <w:p>
      <w:pPr>
        <w:spacing w:after="0" w:line="181"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Certain of our tax-paying entities have individually experienced losses on a cumulative three year basis or have tax attributes that may expire unused. In addition, one of our tax-paying entities has recorded a valuation allowance on substantially all of its deferred tax assets due to the combined effect of operating losses in certain subsidiaries of that entity as well as foreign taxes that together substantially offset any U.S. tax liability. Taking into account all available information, we cannot determine that it is more likely than not that deferred tax assets held by these entities will be realized. Consequently, we have recorded valuation allowances on $70 million of deferred tax assets held by these entities as of December 31, 2019.</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59" w:name="page60"/>
    <w:bookmarkEnd w:id="59"/>
    <w:p>
      <w:pPr>
        <w:ind w:right="100" w:firstLine="598"/>
        <w:spacing w:after="0" w:line="255" w:lineRule="auto"/>
        <w:rPr>
          <w:sz w:val="20"/>
          <w:szCs w:val="20"/>
          <w:color w:val="auto"/>
        </w:rPr>
      </w:pPr>
      <w:r>
        <w:rPr>
          <w:rFonts w:ascii="Arial" w:cs="Arial" w:eastAsia="Arial" w:hAnsi="Arial"/>
          <w:sz w:val="18"/>
          <w:szCs w:val="18"/>
          <w:color w:val="auto"/>
        </w:rPr>
        <w:t>We record tax positions taken or expected to be taken in a tax return based upon our estimates regarding the amount that is more likely than not to be realized or paid, including in connection with the resolution of any related appeals or other legal processes. Accordingly, we recognize liabilities for certain unrecognized tax benefits based on the amounts that are more likely than not to be settled with the relevant taxing authority. Such liabilities are evaluated periodically as new information becomes available and any changes in the amounts of such liabilities are recorded as adjustments to “income tax expense.” Liabilities for unrecognized tax benefits involve significant judgment and the ultimate resolution of such matters may be materially different from our estimates.</w:t>
      </w:r>
    </w:p>
    <w:p>
      <w:pPr>
        <w:spacing w:after="0" w:line="193" w:lineRule="exact"/>
        <w:rPr>
          <w:sz w:val="20"/>
          <w:szCs w:val="20"/>
          <w:color w:val="auto"/>
        </w:rPr>
      </w:pPr>
    </w:p>
    <w:p>
      <w:pPr>
        <w:ind w:firstLine="598"/>
        <w:spacing w:after="0" w:line="290" w:lineRule="auto"/>
        <w:rPr>
          <w:sz w:val="20"/>
          <w:szCs w:val="20"/>
          <w:color w:val="auto"/>
        </w:rPr>
      </w:pPr>
      <w:r>
        <w:rPr>
          <w:rFonts w:ascii="Arial" w:cs="Arial" w:eastAsia="Arial" w:hAnsi="Arial"/>
          <w:sz w:val="16"/>
          <w:szCs w:val="16"/>
          <w:color w:val="auto"/>
        </w:rPr>
        <w:t>On January 1, 2017, we adopted new accounting guidance on share-based incentive compensation. As a result of the adoption of this new guidance, we recognized excess tax benefits of $5 million, $14 million and $2 million from the vesting of share-based incentive compensation in the provision for income taxes in the consolidated statements of operations for the years ended December 31, 2019, 2018 and 2017, respectively. Upon adoption of the new guidance, we also recorded deferred tax assets of $5 million, net of a valuation allowance of $12 million, for previously unrecognized excess tax benefits (including tax benefits from dividends or dividend equivalents) on share-based incentive compensation, with an offsetting adjustment to retained earnings. The new guidance has since January 1, 2017 affected, and the Company expects that in future periods the new guidance will affect, the provision for income taxes for the delivery of stock under share-based incentive compensation arrangements, as well as the effective tax rate in the relevant periods, which could be material to the consolidated statements of operations and the classification of cash flows in the relevant periods.</w:t>
      </w:r>
    </w:p>
    <w:p>
      <w:pPr>
        <w:spacing w:after="0" w:line="166" w:lineRule="exact"/>
        <w:rPr>
          <w:sz w:val="20"/>
          <w:szCs w:val="20"/>
          <w:color w:val="auto"/>
        </w:rPr>
      </w:pPr>
    </w:p>
    <w:p>
      <w:pPr>
        <w:ind w:right="120" w:firstLine="598"/>
        <w:spacing w:after="0" w:line="293" w:lineRule="auto"/>
        <w:rPr>
          <w:sz w:val="20"/>
          <w:szCs w:val="20"/>
          <w:color w:val="auto"/>
        </w:rPr>
      </w:pPr>
      <w:r>
        <w:rPr>
          <w:rFonts w:ascii="Arial" w:cs="Arial" w:eastAsia="Arial" w:hAnsi="Arial"/>
          <w:sz w:val="16"/>
          <w:szCs w:val="16"/>
          <w:color w:val="auto"/>
        </w:rPr>
        <w:t>On December 22, 2017, the Tax Act was enacted. The Tax Act significantly revised the U.S. corporate income tax system by, among other changes, lowering the corporate income tax rate from 35% to 21%, implementing a partial territorial tax system and imposing a one-time repatriation tax on the deemed repatriated earnings of foreign subsidiaries. The Tax Act also included several provisions that limited the benefit of the tax rate reduction, such as restricting the deductibility of interest expense and other corporate business expenses. The Tax Act further included anti-base erosion provisions such as the BEAT and tax on GILTI and in 2019, the IRS issued broad and complex final and proposed regulations interpreting such provisions of the Tax Act. See Note 19 of Notes to Consolidated Financial Statements for additional information regarding the impact of the Tax Act on us.</w:t>
      </w:r>
    </w:p>
    <w:p>
      <w:pPr>
        <w:spacing w:after="0" w:line="165"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In addition to the discussion above regarding deferred tax assets and associated valuation allowances, as well as unrecognized tax benefit liability estimates, other factors affect our provision for income taxes, including changes in the geographic mix of our business, the level of our annual pre-tax income, transfer pricing and intercompany transactions.</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See Item 1A, “Risk Factors” and Note 19 of Notes to Consolidated Financial Statements for additional information related to income taxes.</w:t>
      </w:r>
    </w:p>
    <w:p>
      <w:pPr>
        <w:spacing w:after="0" w:line="34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140" w:firstLine="598"/>
        <w:spacing w:after="0" w:line="277" w:lineRule="auto"/>
        <w:rPr>
          <w:sz w:val="20"/>
          <w:szCs w:val="20"/>
          <w:color w:val="auto"/>
        </w:rPr>
      </w:pPr>
      <w:r>
        <w:rPr>
          <w:rFonts w:ascii="Arial" w:cs="Arial" w:eastAsia="Arial" w:hAnsi="Arial"/>
          <w:sz w:val="18"/>
          <w:szCs w:val="18"/>
          <w:color w:val="auto"/>
        </w:rPr>
        <w:t>Investments consist primarily of interest-bearing deposits, debt and equity securities, and interests in alternative investment, debt, equity and private equity funds.</w:t>
      </w:r>
    </w:p>
    <w:p>
      <w:pPr>
        <w:spacing w:after="0" w:line="170" w:lineRule="exact"/>
        <w:rPr>
          <w:sz w:val="20"/>
          <w:szCs w:val="20"/>
          <w:color w:val="auto"/>
        </w:rPr>
      </w:pPr>
    </w:p>
    <w:p>
      <w:pPr>
        <w:jc w:val="both"/>
        <w:ind w:right="40" w:firstLine="598"/>
        <w:spacing w:after="0" w:line="259" w:lineRule="auto"/>
        <w:rPr>
          <w:sz w:val="20"/>
          <w:szCs w:val="20"/>
          <w:color w:val="auto"/>
        </w:rPr>
      </w:pPr>
      <w:r>
        <w:rPr>
          <w:rFonts w:ascii="Arial" w:cs="Arial" w:eastAsia="Arial" w:hAnsi="Arial"/>
          <w:sz w:val="18"/>
          <w:szCs w:val="18"/>
          <w:color w:val="auto"/>
        </w:rPr>
        <w:t>These investments, with the exception of interest-bearing deposits, are carried at fair value on the consolidated statements of financial condition, and any increases or decreases in the fair value of these investments are reflected in earnings. The fair value of investments is generally based upon market prices or the net asset value (“NAV”) or its equivalent for investments in funds. See Note 7 of Notes to Consolidated Financial Statements for additional information on the measurement of the fair value of investments.</w:t>
      </w:r>
    </w:p>
    <w:p>
      <w:pPr>
        <w:spacing w:after="0" w:line="187"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color w:val="auto"/>
        </w:rPr>
        <w:t>Lazard is subject to market and credit risk on investments held. As such, gains and losses on investment positions held, which arise from sales or changes in the fair value of the investments, are not predictable and can cause periodic fluctuations in net income.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0" w:name="page61"/>
    <w:bookmarkEnd w:id="60"/>
    <w:p>
      <w:pPr>
        <w:ind w:left="600"/>
        <w:spacing w:after="0"/>
        <w:rPr>
          <w:sz w:val="20"/>
          <w:szCs w:val="20"/>
          <w:color w:val="auto"/>
        </w:rPr>
      </w:pPr>
      <w:r>
        <w:rPr>
          <w:rFonts w:ascii="Arial" w:cs="Arial" w:eastAsia="Arial" w:hAnsi="Arial"/>
          <w:sz w:val="18"/>
          <w:szCs w:val="18"/>
          <w:color w:val="auto"/>
        </w:rPr>
        <w:t>Data relating to investments is set forth below:</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1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6"/>
        </w:trPr>
        <w:tc>
          <w:tcPr>
            <w:tcW w:w="1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1160" w:type="dxa"/>
            <w:vAlign w:val="bottom"/>
          </w:tcPr>
          <w:p>
            <w:pPr>
              <w:spacing w:after="0"/>
              <w:rPr>
                <w:sz w:val="19"/>
                <w:szCs w:val="19"/>
                <w:color w:val="auto"/>
              </w:rPr>
            </w:pPr>
          </w:p>
        </w:tc>
        <w:tc>
          <w:tcPr>
            <w:tcW w:w="4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Seed investments by asset class:</w:t>
            </w: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760" w:type="dxa"/>
            <w:vAlign w:val="bottom"/>
            <w:gridSpan w:val="2"/>
          </w:tcPr>
          <w:p>
            <w:pPr>
              <w:ind w:left="240"/>
              <w:spacing w:after="0"/>
              <w:rPr>
                <w:sz w:val="20"/>
                <w:szCs w:val="20"/>
                <w:color w:val="auto"/>
              </w:rPr>
            </w:pPr>
            <w:r>
              <w:rPr>
                <w:rFonts w:ascii="Arial" w:cs="Arial" w:eastAsia="Arial" w:hAnsi="Arial"/>
                <w:sz w:val="18"/>
                <w:szCs w:val="18"/>
                <w:color w:val="auto"/>
              </w:rPr>
              <w:t>Equities (a)</w:t>
            </w:r>
          </w:p>
        </w:tc>
        <w:tc>
          <w:tcPr>
            <w:tcW w:w="17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93,535</w:t>
            </w:r>
          </w:p>
        </w:tc>
        <w:tc>
          <w:tcPr>
            <w:tcW w:w="6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73,410</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7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Fixed income</w:t>
            </w: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13,923</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9,548</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76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Alternative investments</w:t>
            </w:r>
          </w:p>
        </w:tc>
        <w:tc>
          <w:tcPr>
            <w:tcW w:w="14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5,850</w:t>
            </w:r>
          </w:p>
        </w:tc>
        <w:tc>
          <w:tcPr>
            <w:tcW w:w="2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7,131</w:t>
            </w:r>
          </w:p>
        </w:tc>
        <w:tc>
          <w:tcPr>
            <w:tcW w:w="80" w:type="dxa"/>
            <w:vAlign w:val="bottom"/>
            <w:tcBorders>
              <w:bottom w:val="single" w:sz="8" w:color="CFF0FC"/>
            </w:tcBorders>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4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seed investments</w:t>
            </w:r>
          </w:p>
        </w:tc>
        <w:tc>
          <w:tcPr>
            <w:tcW w:w="14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113,308</w:t>
            </w:r>
          </w:p>
        </w:tc>
        <w:tc>
          <w:tcPr>
            <w:tcW w:w="2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90,089</w:t>
            </w:r>
          </w:p>
        </w:tc>
        <w:tc>
          <w:tcPr>
            <w:tcW w:w="80" w:type="dxa"/>
            <w:vAlign w:val="bottom"/>
            <w:shd w:val="clear" w:color="auto" w:fill="CFF0FC"/>
          </w:tcPr>
          <w:p>
            <w:pPr>
              <w:spacing w:after="0"/>
              <w:rPr>
                <w:sz w:val="19"/>
                <w:szCs w:val="19"/>
                <w:color w:val="auto"/>
              </w:rPr>
            </w:pPr>
          </w:p>
        </w:tc>
      </w:tr>
      <w:tr>
        <w:trPr>
          <w:trHeight w:val="223"/>
        </w:trPr>
        <w:tc>
          <w:tcPr>
            <w:tcW w:w="5920" w:type="dxa"/>
            <w:vAlign w:val="bottom"/>
            <w:gridSpan w:val="3"/>
          </w:tcPr>
          <w:p>
            <w:pPr>
              <w:ind w:left="1140"/>
              <w:spacing w:after="0"/>
              <w:rPr>
                <w:sz w:val="20"/>
                <w:szCs w:val="20"/>
                <w:color w:val="auto"/>
              </w:rPr>
            </w:pPr>
            <w:r>
              <w:rPr>
                <w:rFonts w:ascii="Arial" w:cs="Arial" w:eastAsia="Arial" w:hAnsi="Arial"/>
                <w:sz w:val="18"/>
                <w:szCs w:val="18"/>
                <w:color w:val="auto"/>
              </w:rPr>
              <w:t>Other investments owned:</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7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Private equity (b)</w:t>
            </w: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23,588</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41,788</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760" w:type="dxa"/>
            <w:vAlign w:val="bottom"/>
            <w:gridSpan w:val="2"/>
          </w:tcPr>
          <w:p>
            <w:pPr>
              <w:ind w:left="240"/>
              <w:spacing w:after="0"/>
              <w:rPr>
                <w:sz w:val="20"/>
                <w:szCs w:val="20"/>
                <w:color w:val="auto"/>
              </w:rPr>
            </w:pPr>
            <w:r>
              <w:rPr>
                <w:rFonts w:ascii="Arial" w:cs="Arial" w:eastAsia="Arial" w:hAnsi="Arial"/>
                <w:sz w:val="18"/>
                <w:szCs w:val="18"/>
                <w:color w:val="auto"/>
              </w:rPr>
              <w:t>Interest-bearing deposits</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517</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510</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7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Fixed income and other (c)</w:t>
            </w:r>
          </w:p>
        </w:tc>
        <w:tc>
          <w:tcPr>
            <w:tcW w:w="14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124,670</w:t>
            </w:r>
          </w:p>
        </w:tc>
        <w:tc>
          <w:tcPr>
            <w:tcW w:w="2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226,346</w:t>
            </w:r>
          </w:p>
        </w:tc>
        <w:tc>
          <w:tcPr>
            <w:tcW w:w="80" w:type="dxa"/>
            <w:vAlign w:val="bottom"/>
            <w:shd w:val="clear" w:color="auto" w:fill="CFF0FC"/>
          </w:tcPr>
          <w:p>
            <w:pPr>
              <w:spacing w:after="0"/>
              <w:rPr>
                <w:sz w:val="19"/>
                <w:szCs w:val="19"/>
                <w:color w:val="auto"/>
              </w:rPr>
            </w:pPr>
          </w:p>
        </w:tc>
      </w:tr>
      <w:tr>
        <w:trPr>
          <w:trHeight w:val="223"/>
        </w:trPr>
        <w:tc>
          <w:tcPr>
            <w:tcW w:w="5920" w:type="dxa"/>
            <w:vAlign w:val="bottom"/>
            <w:gridSpan w:val="3"/>
          </w:tcPr>
          <w:p>
            <w:pPr>
              <w:ind w:left="1140"/>
              <w:spacing w:after="0"/>
              <w:rPr>
                <w:sz w:val="20"/>
                <w:szCs w:val="20"/>
                <w:color w:val="auto"/>
              </w:rPr>
            </w:pPr>
            <w:r>
              <w:rPr>
                <w:rFonts w:ascii="Arial" w:cs="Arial" w:eastAsia="Arial" w:hAnsi="Arial"/>
                <w:sz w:val="18"/>
                <w:szCs w:val="18"/>
                <w:color w:val="auto"/>
              </w:rPr>
              <w:t>Total other investments owned</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148,775</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268,644</w:t>
            </w:r>
          </w:p>
        </w:tc>
        <w:tc>
          <w:tcPr>
            <w:tcW w:w="8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47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Subtotal</w:t>
            </w:r>
          </w:p>
        </w:tc>
        <w:tc>
          <w:tcPr>
            <w:tcW w:w="14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262,083</w:t>
            </w:r>
          </w:p>
        </w:tc>
        <w:tc>
          <w:tcPr>
            <w:tcW w:w="2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358,733</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5920" w:type="dxa"/>
            <w:vAlign w:val="bottom"/>
            <w:gridSpan w:val="3"/>
          </w:tcPr>
          <w:p>
            <w:pPr>
              <w:ind w:left="1140"/>
              <w:spacing w:after="0"/>
              <w:rPr>
                <w:sz w:val="20"/>
                <w:szCs w:val="20"/>
                <w:color w:val="auto"/>
              </w:rPr>
            </w:pPr>
            <w:r>
              <w:rPr>
                <w:rFonts w:ascii="Arial" w:cs="Arial" w:eastAsia="Arial" w:hAnsi="Arial"/>
                <w:sz w:val="18"/>
                <w:szCs w:val="18"/>
                <w:color w:val="auto"/>
              </w:rPr>
              <w:t>Add:</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7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Private equity consolidated, not owned (d)</w:t>
            </w: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10,774</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14,555</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76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LFI (e)</w:t>
            </w:r>
          </w:p>
        </w:tc>
        <w:tc>
          <w:tcPr>
            <w:tcW w:w="14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259,138</w:t>
            </w:r>
          </w:p>
        </w:tc>
        <w:tc>
          <w:tcPr>
            <w:tcW w:w="2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201,860</w:t>
            </w:r>
          </w:p>
        </w:tc>
        <w:tc>
          <w:tcPr>
            <w:tcW w:w="80" w:type="dxa"/>
            <w:vAlign w:val="bottom"/>
            <w:tcBorders>
              <w:bottom w:val="single" w:sz="8" w:color="CFF0FC"/>
            </w:tcBorders>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47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investments</w:t>
            </w:r>
          </w:p>
        </w:tc>
        <w:tc>
          <w:tcPr>
            <w:tcW w:w="14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531,995</w:t>
            </w:r>
          </w:p>
        </w:tc>
        <w:tc>
          <w:tcPr>
            <w:tcW w:w="2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575,148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16"/>
        </w:trPr>
        <w:tc>
          <w:tcPr>
            <w:tcW w:w="11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1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r>
    </w:tbl>
    <w:p>
      <w:pPr>
        <w:spacing w:after="0" w:line="26" w:lineRule="exact"/>
        <w:rPr>
          <w:sz w:val="20"/>
          <w:szCs w:val="20"/>
          <w:color w:val="auto"/>
        </w:rPr>
      </w:pPr>
    </w:p>
    <w:p>
      <w:pPr>
        <w:ind w:left="600" w:hanging="592"/>
        <w:spacing w:after="0"/>
        <w:tabs>
          <w:tab w:leader="none" w:pos="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At December 31, 2019 and 2018, seed investments in directly owned equity securities were invested as follows:</w:t>
      </w:r>
    </w:p>
    <w:p>
      <w:pPr>
        <w:spacing w:after="0" w:line="311" w:lineRule="exact"/>
        <w:rPr>
          <w:sz w:val="20"/>
          <w:szCs w:val="20"/>
          <w:color w:val="auto"/>
        </w:rPr>
      </w:pPr>
    </w:p>
    <w:p>
      <w:pPr>
        <w:ind w:left="788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1720" w:type="dxa"/>
        <w:tblCellMar>
          <w:top w:w="0" w:type="dxa"/>
          <w:left w:w="0" w:type="dxa"/>
          <w:bottom w:w="0" w:type="dxa"/>
          <w:right w:w="0" w:type="dxa"/>
        </w:tblCellMar>
      </w:tblPr>
      <w:tr>
        <w:trPr>
          <w:trHeight w:val="156"/>
        </w:trPr>
        <w:tc>
          <w:tcPr>
            <w:tcW w:w="5360" w:type="dxa"/>
            <w:vAlign w:val="bottom"/>
            <w:tcBorders>
              <w:bottom w:val="single" w:sz="8" w:color="CFF0FC"/>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Percentage invested in:</w:t>
            </w:r>
          </w:p>
        </w:tc>
        <w:tc>
          <w:tcPr>
            <w:tcW w:w="7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6080" w:type="dxa"/>
            <w:vAlign w:val="bottom"/>
            <w:gridSpan w:val="2"/>
          </w:tcPr>
          <w:p>
            <w:pPr>
              <w:ind w:left="240"/>
              <w:spacing w:after="0"/>
              <w:rPr>
                <w:sz w:val="20"/>
                <w:szCs w:val="20"/>
                <w:color w:val="auto"/>
              </w:rPr>
            </w:pPr>
            <w:r>
              <w:rPr>
                <w:rFonts w:ascii="Arial" w:cs="Arial" w:eastAsia="Arial" w:hAnsi="Arial"/>
                <w:sz w:val="18"/>
                <w:szCs w:val="18"/>
                <w:color w:val="auto"/>
              </w:rPr>
              <w:t>Financials</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r>
        <w:trPr>
          <w:trHeight w:val="230"/>
        </w:trPr>
        <w:tc>
          <w:tcPr>
            <w:tcW w:w="60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Consumer</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FF0FC"/>
          </w:tcPr>
          <w:p>
            <w:pPr>
              <w:spacing w:after="0"/>
              <w:rPr>
                <w:sz w:val="19"/>
                <w:szCs w:val="19"/>
                <w:color w:val="auto"/>
              </w:rPr>
            </w:pPr>
          </w:p>
        </w:tc>
      </w:tr>
      <w:tr>
        <w:trPr>
          <w:trHeight w:val="230"/>
        </w:trPr>
        <w:tc>
          <w:tcPr>
            <w:tcW w:w="6080" w:type="dxa"/>
            <w:vAlign w:val="bottom"/>
            <w:gridSpan w:val="2"/>
          </w:tcPr>
          <w:p>
            <w:pPr>
              <w:ind w:left="240"/>
              <w:spacing w:after="0"/>
              <w:rPr>
                <w:sz w:val="20"/>
                <w:szCs w:val="20"/>
                <w:color w:val="auto"/>
              </w:rPr>
            </w:pPr>
            <w:r>
              <w:rPr>
                <w:rFonts w:ascii="Arial" w:cs="Arial" w:eastAsia="Arial" w:hAnsi="Arial"/>
                <w:sz w:val="18"/>
                <w:szCs w:val="18"/>
                <w:color w:val="auto"/>
              </w:rPr>
              <w:t>Industrial</w:t>
            </w: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r>
      <w:tr>
        <w:trPr>
          <w:trHeight w:val="230"/>
        </w:trPr>
        <w:tc>
          <w:tcPr>
            <w:tcW w:w="60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Technology</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FF0FC"/>
          </w:tcPr>
          <w:p>
            <w:pPr>
              <w:spacing w:after="0"/>
              <w:rPr>
                <w:sz w:val="19"/>
                <w:szCs w:val="19"/>
                <w:color w:val="auto"/>
              </w:rPr>
            </w:pPr>
          </w:p>
        </w:tc>
      </w:tr>
      <w:tr>
        <w:trPr>
          <w:trHeight w:val="230"/>
        </w:trPr>
        <w:tc>
          <w:tcPr>
            <w:tcW w:w="53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7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7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536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left="600" w:right="80" w:hanging="592"/>
        <w:spacing w:after="0" w:line="290" w:lineRule="auto"/>
        <w:tabs>
          <w:tab w:leader="none" w:pos="6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Private equity investments include investments related to certain legacy businesses and co-investments in private equity funds managed by our Asset Management business. Co-investments owned were $20 million and $27 million as of December 31, 2019 and 2018, respectively.</w:t>
      </w:r>
    </w:p>
    <w:p>
      <w:pPr>
        <w:ind w:left="600" w:right="20" w:hanging="592"/>
        <w:spacing w:after="0" w:line="274" w:lineRule="auto"/>
        <w:tabs>
          <w:tab w:leader="none" w:pos="6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At December 31, 2019 and 2018, includes investments in U.S. Treasury securities of approximately $100 million and $200 million, respectively, with original maturities of greater than three months and less than one year.</w:t>
      </w:r>
    </w:p>
    <w:p>
      <w:pPr>
        <w:ind w:left="600" w:right="380" w:hanging="592"/>
        <w:spacing w:after="0" w:line="264" w:lineRule="auto"/>
        <w:tabs>
          <w:tab w:leader="none" w:pos="6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private equity investments that are consolidated but owned by noncontrolling interests, and therefore do not subject the Company to market or credit risk. The applicable noncontrolling interests are presented within “members’ equity” on the consolidated statements of financial condition.</w:t>
      </w:r>
    </w:p>
    <w:p>
      <w:pPr>
        <w:spacing w:after="0" w:line="5" w:lineRule="exact"/>
        <w:rPr>
          <w:rFonts w:ascii="Arial" w:cs="Arial" w:eastAsia="Arial" w:hAnsi="Arial"/>
          <w:sz w:val="18"/>
          <w:szCs w:val="18"/>
          <w:color w:val="auto"/>
        </w:rPr>
      </w:pPr>
    </w:p>
    <w:p>
      <w:pPr>
        <w:ind w:left="600" w:hanging="592"/>
        <w:spacing w:after="0" w:line="297" w:lineRule="auto"/>
        <w:tabs>
          <w:tab w:leader="none" w:pos="6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Composed of investments held in connection with LFI and other similar deferred compensation arrangements. The market risk associated with such investments is equally offset by the market risk associated with the derivative liability with respect to awards expected to vest. The Company is subject to market risk associated with any portion of such investments that employees may forfeit. See “—Risk Management—Risks Related to Derivatives” for risk management information relating to derivatives. LFI investments held in entities in which the Company maintained a controlling interest were $93 million in eight entities as of December 31, 2019, as compared to $69 million in three entities as of December 31, 2018.</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1" w:name="page62"/>
    <w:bookmarkEnd w:id="61"/>
    <w:p>
      <w:pPr>
        <w:ind w:firstLine="598"/>
        <w:spacing w:after="0" w:line="259" w:lineRule="auto"/>
        <w:rPr>
          <w:sz w:val="20"/>
          <w:szCs w:val="20"/>
          <w:color w:val="auto"/>
        </w:rPr>
      </w:pPr>
      <w:r>
        <w:rPr>
          <w:rFonts w:ascii="Arial" w:cs="Arial" w:eastAsia="Arial" w:hAnsi="Arial"/>
          <w:sz w:val="18"/>
          <w:szCs w:val="18"/>
          <w:color w:val="auto"/>
        </w:rPr>
        <w:t>At December 31, 2019 and 2018, total investments with a fair value of $531 million and $575 million, respectively, included $34 million and $57 million, respectively, or 6% and 10%, respectively, of investments that were classified using NAV or its equivalent as a practical expedient. See Notes 6 and 7 of Notes to Consolidated Financial Statements for additional information regarding investments measured at fair value, including the levels of fair value within which such measurements of fair value fall.</w:t>
      </w:r>
    </w:p>
    <w:p>
      <w:pPr>
        <w:spacing w:after="0" w:line="187"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As of December 31, 2019 and 2018, the Company held seed investments of approximately $113 million and $90 million, respectively. Seed investments held in entities in which the Company maintained a controlling interest were $47 million in seven entities as of December 31, 2019, as compared to $31 million in eight entities as of December 31, 2018.</w:t>
      </w:r>
    </w:p>
    <w:p>
      <w:pPr>
        <w:spacing w:after="0" w:line="181" w:lineRule="exact"/>
        <w:rPr>
          <w:sz w:val="20"/>
          <w:szCs w:val="20"/>
          <w:color w:val="auto"/>
        </w:rPr>
      </w:pPr>
    </w:p>
    <w:p>
      <w:pPr>
        <w:ind w:right="120" w:firstLine="598"/>
        <w:spacing w:after="0" w:line="257" w:lineRule="auto"/>
        <w:rPr>
          <w:sz w:val="20"/>
          <w:szCs w:val="20"/>
          <w:color w:val="auto"/>
        </w:rPr>
      </w:pPr>
      <w:r>
        <w:rPr>
          <w:rFonts w:ascii="Arial" w:cs="Arial" w:eastAsia="Arial" w:hAnsi="Arial"/>
          <w:sz w:val="18"/>
          <w:szCs w:val="18"/>
          <w:color w:val="auto"/>
        </w:rPr>
        <w:t>As of December 31, 2019 and 2018, the Company did not consolidate or deconsolidate any seed investment entities or LFI investment entities, with the exception of the recent consolidation of certain LFI funds (see Note 23 of Notes to Consolidated Financial Statements). As such, 100% of the recorded balance of seed investments and substantially all of LFI investments as of December 31, 2019 and 2018 represented the Company’s economic interest in the seed and LFI investments. See “—Consolidation of Variable Interest Entities” below for more information on the Company’s policy regarding the consolidation of seed and LFI investment entities.</w:t>
      </w:r>
    </w:p>
    <w:p>
      <w:pPr>
        <w:spacing w:after="0" w:line="188" w:lineRule="exact"/>
        <w:rPr>
          <w:sz w:val="20"/>
          <w:szCs w:val="20"/>
          <w:color w:val="auto"/>
        </w:rPr>
      </w:pPr>
    </w:p>
    <w:p>
      <w:pPr>
        <w:ind w:right="140" w:firstLine="598"/>
        <w:spacing w:after="0" w:line="342" w:lineRule="auto"/>
        <w:rPr>
          <w:sz w:val="20"/>
          <w:szCs w:val="20"/>
          <w:color w:val="auto"/>
        </w:rPr>
      </w:pPr>
      <w:r>
        <w:rPr>
          <w:rFonts w:ascii="Arial" w:cs="Arial" w:eastAsia="Arial" w:hAnsi="Arial"/>
          <w:sz w:val="16"/>
          <w:szCs w:val="16"/>
          <w:color w:val="auto"/>
        </w:rPr>
        <w:t>For additional information regarding risks associated with our investments, see “Risk Management—Investments” below as well as Item 1A, “Risk Factors—Other Business Risks—Our results of operations may be affected by fluctuations in the fair value of positions held in our investment portfolios”.</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117"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color w:val="auto"/>
        </w:rPr>
        <w:t>AUM primarily consists of debt and equity instruments, which have a value that is readily available based on either prices quoted on a recognized exchange or prices provided by external pricing services.</w:t>
      </w:r>
    </w:p>
    <w:p>
      <w:pPr>
        <w:spacing w:after="0" w:line="170"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Prices of equity and debt securities and other instruments that comprise our AUM are provided by well-recognized, independent, third-party vendors. Such third-party vendors rely on prices provided by external pricing services which are obtained from recognized exchanges or markets, or, for certain fixed income securities, from an evaluated bid or other similarly sourced price.</w:t>
      </w:r>
    </w:p>
    <w:p>
      <w:pPr>
        <w:spacing w:after="0" w:line="181" w:lineRule="exact"/>
        <w:rPr>
          <w:sz w:val="20"/>
          <w:szCs w:val="20"/>
          <w:color w:val="auto"/>
        </w:rPr>
      </w:pPr>
    </w:p>
    <w:p>
      <w:pPr>
        <w:ind w:right="120" w:firstLine="598"/>
        <w:spacing w:after="0" w:line="312" w:lineRule="auto"/>
        <w:rPr>
          <w:sz w:val="20"/>
          <w:szCs w:val="20"/>
          <w:color w:val="auto"/>
        </w:rPr>
      </w:pPr>
      <w:r>
        <w:rPr>
          <w:rFonts w:ascii="Arial" w:cs="Arial" w:eastAsia="Arial" w:hAnsi="Arial"/>
          <w:sz w:val="16"/>
          <w:szCs w:val="16"/>
          <w:color w:val="auto"/>
        </w:rPr>
        <w:t>Either directly, or through our third-party vendors, we perform a variety of regular due diligence procedures on our pricing service providers. Those procedures include oversight by our internal operations group, review of the pricing service providers’ internal control frameworks, review of the pricing service providers’ valuation methodologies, reconciliation to client custodial account values and comparison of significant pricing differences.</w:t>
      </w:r>
    </w:p>
    <w:p>
      <w:pPr>
        <w:spacing w:after="0" w:line="25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100" w:firstLine="598"/>
        <w:spacing w:after="0" w:line="257" w:lineRule="auto"/>
        <w:rPr>
          <w:sz w:val="20"/>
          <w:szCs w:val="20"/>
          <w:color w:val="auto"/>
        </w:rPr>
      </w:pPr>
      <w:r>
        <w:rPr>
          <w:rFonts w:ascii="Arial" w:cs="Arial" w:eastAsia="Arial" w:hAnsi="Arial"/>
          <w:sz w:val="18"/>
          <w:szCs w:val="18"/>
          <w:color w:val="auto"/>
        </w:rPr>
        <w:t>In accordance with current accounting guidance, goodwill has an indefinite life and is tested for impairment annually, as of November 1, or more frequently if circumstances indicate impairment may have occurred. The Company performs a qualitative evaluation about whether it is more likely than not that the fair value of a reporting unit is less than its carrying amount in lieu of actually calculating the fair value of the reporting unit. The goodwill impairment test as of November 1, 2019 indicated that no reporting units were at risk of impairment. See Note 11 of Notes to Consolidated Financial Statements for additional information regarding goodwill.</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62" w:name="page63"/>
    <w:bookmarkEnd w:id="62"/>
    <w:p>
      <w:pPr>
        <w:ind w:left="300"/>
        <w:spacing w:after="0"/>
        <w:rPr>
          <w:sz w:val="20"/>
          <w:szCs w:val="20"/>
          <w:color w:val="auto"/>
        </w:rPr>
      </w:pPr>
      <w:r>
        <w:rPr>
          <w:rFonts w:ascii="Arial" w:cs="Arial" w:eastAsia="Arial" w:hAnsi="Arial"/>
          <w:sz w:val="18"/>
          <w:szCs w:val="18"/>
          <w:b w:val="1"/>
          <w:bCs w:val="1"/>
          <w:i w:val="1"/>
          <w:iCs w:val="1"/>
          <w:color w:val="auto"/>
        </w:rPr>
        <w:t>Consolidation</w:t>
      </w:r>
    </w:p>
    <w:p>
      <w:pPr>
        <w:spacing w:after="0" w:line="117" w:lineRule="exact"/>
        <w:rPr>
          <w:sz w:val="20"/>
          <w:szCs w:val="20"/>
          <w:color w:val="auto"/>
        </w:rPr>
      </w:pPr>
    </w:p>
    <w:p>
      <w:pPr>
        <w:ind w:right="160" w:firstLine="598"/>
        <w:spacing w:after="0" w:line="264" w:lineRule="auto"/>
        <w:rPr>
          <w:sz w:val="20"/>
          <w:szCs w:val="20"/>
          <w:color w:val="auto"/>
        </w:rPr>
      </w:pPr>
      <w:r>
        <w:rPr>
          <w:rFonts w:ascii="Arial" w:cs="Arial" w:eastAsia="Arial" w:hAnsi="Arial"/>
          <w:sz w:val="18"/>
          <w:szCs w:val="18"/>
          <w:color w:val="auto"/>
        </w:rPr>
        <w:t>The consolidated financial statements include the accounts of Lazard Group and entities in which it has a controlling interest. Lazard determines whether it has a controlling interest in an entity by first evaluating whether the entity is a voting interest entity (“VOE”) or a variable interest entity (“VIE”) under U.S. GAAP.</w:t>
      </w:r>
    </w:p>
    <w:p>
      <w:pPr>
        <w:spacing w:after="0" w:line="73" w:lineRule="exact"/>
        <w:rPr>
          <w:sz w:val="20"/>
          <w:szCs w:val="20"/>
          <w:color w:val="auto"/>
        </w:rPr>
      </w:pPr>
    </w:p>
    <w:p>
      <w:pPr>
        <w:ind w:left="1200" w:right="360" w:hanging="598"/>
        <w:spacing w:after="0" w:line="312" w:lineRule="auto"/>
        <w:tabs>
          <w:tab w:leader="none" w:pos="12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Voting Interest Entities. VOEs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VOE if it holds a majority of the voting interest in such VOE.</w:t>
      </w:r>
    </w:p>
    <w:p>
      <w:pPr>
        <w:spacing w:after="0" w:line="38" w:lineRule="exact"/>
        <w:rPr>
          <w:rFonts w:ascii="Arial" w:cs="Arial" w:eastAsia="Arial" w:hAnsi="Arial"/>
          <w:sz w:val="16"/>
          <w:szCs w:val="16"/>
          <w:color w:val="auto"/>
        </w:rPr>
      </w:pPr>
    </w:p>
    <w:p>
      <w:pPr>
        <w:ind w:left="1200" w:right="20" w:hanging="598"/>
        <w:spacing w:after="0" w:line="257" w:lineRule="auto"/>
        <w:tabs>
          <w:tab w:leader="none" w:pos="12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Variable Interest Entities. VIEs are entities that lack one or more of the characteristics of a VOE. If Lazard has a variable interest, or a combination of variable interests, in a VIE, it is required to analyze whether it needs to consolidate such VIE. Lazard is required to consolidate a VIE if we are the primary beneficiary having (i) the power to direct the activities of the VIE that most significantly impact the VIE’s economic performance and (ii) the obligation to absorb losses of, or receive benefits from, the VIE that could be potentially significant to the VIE.</w:t>
      </w:r>
    </w:p>
    <w:p>
      <w:pPr>
        <w:spacing w:after="0" w:line="188" w:lineRule="exact"/>
        <w:rPr>
          <w:sz w:val="20"/>
          <w:szCs w:val="20"/>
          <w:color w:val="auto"/>
        </w:rPr>
      </w:pPr>
    </w:p>
    <w:p>
      <w:pPr>
        <w:ind w:right="80" w:firstLine="598"/>
        <w:spacing w:after="0" w:line="279" w:lineRule="auto"/>
        <w:rPr>
          <w:sz w:val="20"/>
          <w:szCs w:val="20"/>
          <w:color w:val="auto"/>
        </w:rPr>
      </w:pPr>
      <w:r>
        <w:rPr>
          <w:rFonts w:ascii="Arial" w:cs="Arial" w:eastAsia="Arial" w:hAnsi="Arial"/>
          <w:sz w:val="17"/>
          <w:szCs w:val="17"/>
          <w:color w:val="auto"/>
        </w:rPr>
        <w:t>Lazard’s involvement with various entities that are VOEs or VIEs primarily arises from LFI investments and investment management contracts with fund entities in our Asset Management business. Lazard is not required to consolidate such entities because, with the exception of certain seed and LFI investments, as discussed below, we do not hold more than an inconsequential equity interest in such entities and we do not hold other variable interests (including our investment management agreements, which do not meet the definition of variable interests) in such entities.</w:t>
      </w:r>
    </w:p>
    <w:p>
      <w:pPr>
        <w:spacing w:after="0" w:line="171"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Lazard makes seed and LFI investments in certain entities that are considered VOEs and VIEs and often require consolidation as a result of our investment. The impact of seed and LFI investment entities that require consolidation on the consolidated financial statements, including any consolidation or deconsolidation of such entities, is not material to our financial statements. Our exposure to loss from entities in which we have made such investments is limited to the extent of our investment in, or investment commitment to, such entities. See “Critical Accounting Policies and Estimates—Investments” above for more information regarding our investments.</w:t>
      </w:r>
    </w:p>
    <w:p>
      <w:pPr>
        <w:spacing w:after="0" w:line="188" w:lineRule="exact"/>
        <w:rPr>
          <w:sz w:val="20"/>
          <w:szCs w:val="20"/>
          <w:color w:val="auto"/>
        </w:rPr>
      </w:pPr>
    </w:p>
    <w:p>
      <w:pPr>
        <w:ind w:right="20" w:firstLine="598"/>
        <w:spacing w:after="0" w:line="279" w:lineRule="auto"/>
        <w:rPr>
          <w:sz w:val="20"/>
          <w:szCs w:val="20"/>
          <w:color w:val="auto"/>
        </w:rPr>
      </w:pPr>
      <w:r>
        <w:rPr>
          <w:rFonts w:ascii="Arial" w:cs="Arial" w:eastAsia="Arial" w:hAnsi="Arial"/>
          <w:sz w:val="17"/>
          <w:szCs w:val="17"/>
          <w:color w:val="auto"/>
        </w:rPr>
        <w:t>Generally, when the Company initially invests to seed an investment entity, the Company is the majority owner of the entity. Our majority ownership in seed investment entities represents a controlling interest, except when we are the general partner in such entities and the third-party investors have the right to replace the general partner. To the extent material, we consolidate seed and LFI investment entities in which we own a controlling interest, and we would deconsolidate any such entity when we no longer have a controlling interest in such entity.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The Company has investments in a variety of asset classes, primarily debt and equity securities, and interests in alternative investments, debt, equity and private equity funds. The Company makes investments primarily to seed strategies in our Asset Management business or to reduce exposure arising from LFI and other similar deferred compensation arrangements. The Company measures its net economic exposure to market and other risks arising from investments that it owns, excluding (i) investments held in connection with LFI and other similar deferred compensation arrangements, (ii) investments in funds owned entirely by the noncontrolling interest holders of certain acquired entities and (iii) interest-bearing deposits with maturities over 90 days that allow daily withdrawals without principal penalties.</w:t>
      </w:r>
    </w:p>
    <w:p>
      <w:pPr>
        <w:spacing w:after="0" w:line="193" w:lineRule="exact"/>
        <w:rPr>
          <w:sz w:val="20"/>
          <w:szCs w:val="20"/>
          <w:color w:val="auto"/>
        </w:rPr>
      </w:pPr>
    </w:p>
    <w:p>
      <w:pPr>
        <w:ind w:right="140" w:firstLine="598"/>
        <w:spacing w:after="0" w:line="259" w:lineRule="auto"/>
        <w:rPr>
          <w:sz w:val="20"/>
          <w:szCs w:val="20"/>
          <w:color w:val="auto"/>
        </w:rPr>
      </w:pPr>
      <w:r>
        <w:rPr>
          <w:rFonts w:ascii="Arial" w:cs="Arial" w:eastAsia="Arial" w:hAnsi="Arial"/>
          <w:sz w:val="18"/>
          <w:szCs w:val="18"/>
          <w:color w:val="auto"/>
        </w:rPr>
        <w:t>Risk sensitivities include the effects of economic hedging. For equity market price risk, investment portfolios and their corresponding hedges are beta-adjusted to the All-Country World equity index. Fair value and sensitivity measurements presented herein are based on various portfolio exposures at a particular point in time and may not be representative of future results. Risk exposures may change as a result of ongoing portfolio activities and changing market conditions, among other things.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63" w:name="page64"/>
    <w:bookmarkEnd w:id="63"/>
    <w:p>
      <w:pPr>
        <w:ind w:right="180" w:firstLine="598"/>
        <w:spacing w:after="0" w:line="276" w:lineRule="auto"/>
        <w:rPr>
          <w:sz w:val="20"/>
          <w:szCs w:val="20"/>
          <w:color w:val="auto"/>
        </w:rPr>
      </w:pPr>
      <w:r>
        <w:rPr>
          <w:rFonts w:ascii="Arial" w:cs="Arial" w:eastAsia="Arial" w:hAnsi="Arial"/>
          <w:sz w:val="17"/>
          <w:szCs w:val="17"/>
          <w:color w:val="auto"/>
        </w:rPr>
        <w:t>Equity Market Price Risk—At December 31, 2019 and 2018, the Company’s exposure to equity market price risk in its investment portfolio, which primarily relates to investments in equity securities, equity funds and hedge funds, was approximately $85 million and $84 million, respectively. The Company hedges market exposure arising from a significant portion of our equity investment portfolios by entering into total return swaps. The Company estimates that a hypothetical 10% adverse change in market prices would result in a net decrease of approximately $1.0 million and $0.8 million in the carrying value of such investments as of December 31, 2019 and 2018, respectively, including the effect of the hedging transactions.</w:t>
      </w:r>
    </w:p>
    <w:p>
      <w:pPr>
        <w:spacing w:after="0" w:line="173" w:lineRule="exact"/>
        <w:rPr>
          <w:sz w:val="20"/>
          <w:szCs w:val="20"/>
          <w:color w:val="auto"/>
        </w:rPr>
      </w:pPr>
    </w:p>
    <w:p>
      <w:pPr>
        <w:ind w:right="40" w:firstLine="598"/>
        <w:spacing w:after="0" w:line="297" w:lineRule="auto"/>
        <w:rPr>
          <w:sz w:val="20"/>
          <w:szCs w:val="20"/>
          <w:color w:val="auto"/>
        </w:rPr>
      </w:pPr>
      <w:r>
        <w:rPr>
          <w:rFonts w:ascii="Arial" w:cs="Arial" w:eastAsia="Arial" w:hAnsi="Arial"/>
          <w:sz w:val="16"/>
          <w:szCs w:val="16"/>
          <w:color w:val="auto"/>
        </w:rPr>
        <w:t>Interest Rate/Credit Spread Risk—At December 31, 2019 and 2018, the Company’s exposure to interest rate and credit spread risk in its investment portfolio related to investments in debt securities or funds which invest primarily in debt securities was $153 million and $245 million, respectively. The Company hedges market exposure arising from a portion of our debt investment portfolios by entering into total return swaps. The Company estimates that a hypothetical 100 basis point adverse change in interest rates or credit spreads would result in a decrease of approximately $1.0 million and $0.9 million in the carrying value of such investments as of December 31, 2019 and 2018, respectively, including the effect of the hedging transactions.</w:t>
      </w:r>
    </w:p>
    <w:p>
      <w:pPr>
        <w:spacing w:after="0" w:line="158"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Foreign Exchange Rate Risk—At December 31, 2019 and 2018, the Company’s exposure to foreign exchange rate risk in its investment portfolio, which primarily relates to investments in foreign currency denominated equity and debt securities, was $37 million and $41 million, respectively. A significant portion of the Company’s foreign currency exposure related to our equity and debt investment portfolios is hedged through the aforementioned total return swaps. The Company estimates that a 10% adverse change in foreign exchange rates versus the U.S. Dollar would result in a decrease of approximately $0.2 million and $0.1 million in the carrying value of such investments as of December 31, 2019 and 2018, respectively, including the effect of the hedging transactions.</w:t>
      </w:r>
    </w:p>
    <w:p>
      <w:pPr>
        <w:spacing w:after="0" w:line="193" w:lineRule="exact"/>
        <w:rPr>
          <w:sz w:val="20"/>
          <w:szCs w:val="20"/>
          <w:color w:val="auto"/>
        </w:rPr>
      </w:pPr>
    </w:p>
    <w:p>
      <w:pPr>
        <w:ind w:right="160" w:firstLine="598"/>
        <w:spacing w:after="0" w:line="279" w:lineRule="auto"/>
        <w:rPr>
          <w:sz w:val="20"/>
          <w:szCs w:val="20"/>
          <w:color w:val="auto"/>
        </w:rPr>
      </w:pPr>
      <w:r>
        <w:rPr>
          <w:rFonts w:ascii="Arial" w:cs="Arial" w:eastAsia="Arial" w:hAnsi="Arial"/>
          <w:sz w:val="17"/>
          <w:szCs w:val="17"/>
          <w:color w:val="auto"/>
        </w:rPr>
        <w:t>Private Equity—The Company invests in private equity primarily as a part of its co-investment activities and in connection with certain legacy businesses. At December 31, 2019 and 2018, the Company’s exposure to changes in fair value of such investments was approximately $24 million and $42 million, respectively. The Company estimates that a hypothetical 10% adverse change in fair value would result in a decrease of approximately $2.4 million and $4.2 million in the carrying value of such investments as of December 31, 2019 and 2018, respectively.</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117" w:lineRule="exact"/>
        <w:rPr>
          <w:sz w:val="20"/>
          <w:szCs w:val="20"/>
          <w:color w:val="auto"/>
        </w:rPr>
      </w:pPr>
    </w:p>
    <w:p>
      <w:pPr>
        <w:ind w:right="60" w:firstLine="598"/>
        <w:spacing w:after="0" w:line="253" w:lineRule="auto"/>
        <w:rPr>
          <w:sz w:val="20"/>
          <w:szCs w:val="20"/>
          <w:color w:val="auto"/>
        </w:rPr>
      </w:pPr>
      <w:r>
        <w:rPr>
          <w:rFonts w:ascii="Arial" w:cs="Arial" w:eastAsia="Arial" w:hAnsi="Arial"/>
          <w:sz w:val="18"/>
          <w:szCs w:val="18"/>
          <w:color w:val="auto"/>
        </w:rPr>
        <w:t>We maintain an allowance for doubtful accounts to provide coverage for probable losses from our receivables. We determine the adequacy of the allowance by estimating the probability of loss based on our analysis of the client’s creditworthiness, among other things, and specifically provide for exposures where we determine the receivables are impaired. At December 31, 2019, total receivables amounted to $698 million, net of an allowance for doubtful accounts of $27 million. As of that date, Financial Advisory and Asset Management fees, receivables from Lazard Ltd subsidiaries, and customers and other receivables comprised 77%, 5%, and 18% of total receivables, respectively. At December 31, 2018, total receivables amounted to $704 million, net of an allowance for doubtful accounts of $40 million. As of that date, Financial Advisory and Asset Management fees, receivables from Lazard Ltd subsidiaries, and customers and other receivables comprised 71%, 3%, and 26% of total receivables, respectively. At December 31, 2019 and 2018, the Company had receivables past due or deemed uncollectible of approximately $43 million and $42 million, respectively. See also “Critical Accounting Policies and Estimates—Revenue Recognition” above and Note 5 of Notes to Consolidated Financial Statements for additional information regarding receivables.</w:t>
      </w:r>
    </w:p>
    <w:p>
      <w:pPr>
        <w:spacing w:after="0" w:line="195"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LFB engages in lending activities, including commitments to extend credit (primarily for clients of LFG). At December 31, 2019 and 2018, customer receivables included $76 million and $64 million, respectively, of LFB loans, with such loans being fully collateralized and closely monitored for counterparty creditworthiness.</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Credit Concentrations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To reduce the exposure to concentrations of credit, the Company monitors large exposures to individual counterparties.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4" w:name="page65"/>
    <w:bookmarkEnd w:id="64"/>
    <w:p>
      <w:pPr>
        <w:ind w:left="300"/>
        <w:spacing w:after="0"/>
        <w:rPr>
          <w:sz w:val="20"/>
          <w:szCs w:val="20"/>
          <w:color w:val="auto"/>
        </w:rPr>
      </w:pPr>
      <w:r>
        <w:rPr>
          <w:rFonts w:ascii="Arial" w:cs="Arial" w:eastAsia="Arial" w:hAnsi="Arial"/>
          <w:sz w:val="18"/>
          <w:szCs w:val="18"/>
          <w:b w:val="1"/>
          <w:bCs w:val="1"/>
          <w:i w:val="1"/>
          <w:iCs w:val="1"/>
          <w:color w:val="auto"/>
        </w:rPr>
        <w:t>Risks Related to Derivatives</w:t>
      </w:r>
    </w:p>
    <w:p>
      <w:pPr>
        <w:spacing w:after="0" w:line="117"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Lazard enters into forward foreign currency exchange contracts and interest rate swaps to hedge exposures to currency exchange rates and interest rates and uses total return swap contracts on various equity and debt indices to hedge a portion of its market exposure with respect to certain seed investments related to our Asset Management business. Derivative contracts are recorded at fair value. Derivative assets amounted to $1 million and $12 million at December 31, 2019 and 2018, respectively, and derivative liabilities, excluding the derivative liability arising from the Company’s obligation pertaining to LFI and other similar deferred compensation arrangements, amounted to $10 million and $1 million at such respective dates.</w:t>
      </w:r>
    </w:p>
    <w:p>
      <w:pPr>
        <w:spacing w:after="0" w:line="173" w:lineRule="exact"/>
        <w:rPr>
          <w:sz w:val="20"/>
          <w:szCs w:val="20"/>
          <w:color w:val="auto"/>
        </w:rPr>
      </w:pPr>
    </w:p>
    <w:p>
      <w:pPr>
        <w:ind w:right="120" w:firstLine="598"/>
        <w:spacing w:after="0" w:line="279" w:lineRule="auto"/>
        <w:rPr>
          <w:sz w:val="20"/>
          <w:szCs w:val="20"/>
          <w:color w:val="auto"/>
        </w:rPr>
      </w:pPr>
      <w:r>
        <w:rPr>
          <w:rFonts w:ascii="Arial" w:cs="Arial" w:eastAsia="Arial" w:hAnsi="Arial"/>
          <w:sz w:val="17"/>
          <w:szCs w:val="17"/>
          <w:color w:val="auto"/>
        </w:rPr>
        <w:t>The Company also records derivative liabilities relating to its obligations pertaining to LFI awards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expected to be delivered upon settlement of LFI awards. Derivative liabilities relating to LFI amounted to $226 million and $188 million at December 31, 2019 and 2018, respectively.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Cash and Cash Equivalents and Corporate Indebtedness</w:t>
      </w:r>
    </w:p>
    <w:p>
      <w:pPr>
        <w:spacing w:after="0" w:line="121" w:lineRule="exact"/>
        <w:rPr>
          <w:sz w:val="20"/>
          <w:szCs w:val="20"/>
          <w:color w:val="auto"/>
        </w:rPr>
      </w:pPr>
    </w:p>
    <w:p>
      <w:pPr>
        <w:jc w:val="both"/>
        <w:ind w:right="60" w:firstLine="598"/>
        <w:spacing w:after="0" w:line="312" w:lineRule="auto"/>
        <w:rPr>
          <w:sz w:val="20"/>
          <w:szCs w:val="20"/>
          <w:color w:val="auto"/>
        </w:rPr>
      </w:pPr>
      <w:r>
        <w:rPr>
          <w:rFonts w:ascii="Arial" w:cs="Arial" w:eastAsia="Arial" w:hAnsi="Arial"/>
          <w:sz w:val="16"/>
          <w:szCs w:val="16"/>
          <w:color w:val="auto"/>
        </w:rPr>
        <w:t>A significant portion of the Company’s indebtedness has fixed interest rates, while its cash and cash equivalents generally have market interest rates. Based on account balances as of December 31, 2019, Lazard estimates that its annual operating income relating to cash and cash equivalents would increase by approximately $12 million in the event interest rates were to increase by 1% and decrease by approximately $12 million if rates were to decrease by 1%.</w:t>
      </w:r>
    </w:p>
    <w:p>
      <w:pPr>
        <w:spacing w:after="0" w:line="147" w:lineRule="exact"/>
        <w:rPr>
          <w:sz w:val="20"/>
          <w:szCs w:val="20"/>
          <w:color w:val="auto"/>
        </w:rPr>
      </w:pPr>
    </w:p>
    <w:p>
      <w:pPr>
        <w:ind w:right="180" w:firstLine="598"/>
        <w:spacing w:after="0" w:line="255" w:lineRule="auto"/>
        <w:rPr>
          <w:sz w:val="20"/>
          <w:szCs w:val="20"/>
          <w:color w:val="auto"/>
        </w:rPr>
      </w:pPr>
      <w:r>
        <w:rPr>
          <w:rFonts w:ascii="Arial" w:cs="Arial" w:eastAsia="Arial" w:hAnsi="Arial"/>
          <w:sz w:val="18"/>
          <w:szCs w:val="18"/>
          <w:color w:val="auto"/>
        </w:rPr>
        <w:t>As of December 31, 2019, the Company’s cash and cash equivalents totaled approximately $1,164 million. Substantially all of the Company’s cash and cash equivalents were invested in (i) highly liquid institutional money market funds (a significant majority of which were invested solely in U.S. Government or agency money market funds), (ii) short-term interest bearing and non-interest bearing accounts at a number of leading banks throughout the world, (iii) short-term certificates of deposit from such banks and (iv) short-term U.S. Treasury securities. Cash and cash equivalents are constantly monitored. On a regular basis, management reviews its investment profile as well as the credit profile of its list of depositor banks in order to adjust any deposit or investment thresholds as necessary.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121" w:lineRule="exact"/>
        <w:rPr>
          <w:sz w:val="20"/>
          <w:szCs w:val="20"/>
          <w:color w:val="auto"/>
        </w:rPr>
      </w:pPr>
    </w:p>
    <w:p>
      <w:pPr>
        <w:ind w:right="80" w:firstLine="598"/>
        <w:spacing w:after="0" w:line="271" w:lineRule="auto"/>
        <w:rPr>
          <w:sz w:val="20"/>
          <w:szCs w:val="20"/>
          <w:color w:val="auto"/>
        </w:rPr>
      </w:pPr>
      <w:r>
        <w:rPr>
          <w:rFonts w:ascii="Arial" w:cs="Arial" w:eastAsia="Arial" w:hAnsi="Arial"/>
          <w:sz w:val="17"/>
          <w:szCs w:val="17"/>
          <w:color w:val="auto"/>
        </w:rPr>
        <w:t>Operational risk is inherent in all of our businesses and may, for example, manifest itself in the form of errors, breaches in the system of internal controls, employee misconduct, business interruptions, fraud, including fraud perpetrated by third parties,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policies designed to help protect the Company against accidental loss and losses that may significantly affect our financial objectives, personnel, property or our ability to continue to meet our responsibilities to our various stakeholder groups. See Item 1A, “Risk Factors” above for more information regarding operational risk in our business.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21" w:lineRule="exact"/>
        <w:rPr>
          <w:sz w:val="20"/>
          <w:szCs w:val="20"/>
          <w:color w:val="auto"/>
        </w:rPr>
      </w:pPr>
    </w:p>
    <w:p>
      <w:pPr>
        <w:ind w:right="140" w:firstLine="598"/>
        <w:spacing w:after="0" w:line="277" w:lineRule="auto"/>
        <w:rPr>
          <w:sz w:val="20"/>
          <w:szCs w:val="20"/>
          <w:color w:val="auto"/>
        </w:rPr>
      </w:pPr>
      <w:r>
        <w:rPr>
          <w:rFonts w:ascii="Arial" w:cs="Arial" w:eastAsia="Arial" w:hAnsi="Arial"/>
          <w:sz w:val="18"/>
          <w:szCs w:val="18"/>
          <w:color w:val="auto"/>
        </w:rPr>
        <w:t>For a discussion of recently issued accounting developments and their impact or potential impact on Lazard’s consolidated financial statements, see Note 3 of Notes to Consolidated Financial Statements.</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65" w:name="page66"/>
    <w:bookmarkEnd w:id="65"/>
    <w:p>
      <w:pPr>
        <w:spacing w:after="0"/>
        <w:tabs>
          <w:tab w:leader="none" w:pos="13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373"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880"/>
          </w:cols>
          <w:pgMar w:left="240" w:top="121" w:right="77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4"/>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10040" w:type="dxa"/>
            <w:vAlign w:val="bottom"/>
            <w:gridSpan w:val="18"/>
          </w:tcPr>
          <w:p>
            <w:pPr>
              <w:ind w:left="700"/>
              <w:spacing w:after="0"/>
              <w:rPr>
                <w:sz w:val="20"/>
                <w:szCs w:val="20"/>
                <w:color w:val="auto"/>
              </w:rPr>
            </w:pPr>
            <w:r>
              <w:rPr>
                <w:rFonts w:ascii="Arial" w:cs="Arial" w:eastAsia="Arial" w:hAnsi="Arial"/>
                <w:sz w:val="18"/>
                <w:szCs w:val="18"/>
                <w:b w:val="1"/>
                <w:bCs w:val="1"/>
                <w:color w:val="auto"/>
              </w:rPr>
              <w:t>Financial Statements and Supplementary Data</w:t>
            </w:r>
          </w:p>
        </w:tc>
        <w:tc>
          <w:tcPr>
            <w:tcW w:w="720" w:type="dxa"/>
            <w:vAlign w:val="bottom"/>
          </w:tcPr>
          <w:p>
            <w:pPr>
              <w:spacing w:after="0"/>
              <w:rPr>
                <w:sz w:val="20"/>
                <w:szCs w:val="20"/>
                <w:color w:val="auto"/>
              </w:rPr>
            </w:pPr>
          </w:p>
        </w:tc>
      </w:tr>
      <w:tr>
        <w:trPr>
          <w:trHeight w:val="405"/>
        </w:trPr>
        <w:tc>
          <w:tcPr>
            <w:tcW w:w="10700" w:type="dxa"/>
            <w:vAlign w:val="bottom"/>
            <w:gridSpan w:val="20"/>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7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r>
      <w:tr>
        <w:trPr>
          <w:trHeight w:val="291"/>
        </w:trPr>
        <w:tc>
          <w:tcPr>
            <w:tcW w:w="440" w:type="dxa"/>
            <w:vAlign w:val="bottom"/>
          </w:tcPr>
          <w:p>
            <w:pPr>
              <w:spacing w:after="0"/>
              <w:rPr>
                <w:sz w:val="24"/>
                <w:szCs w:val="24"/>
                <w:color w:val="auto"/>
              </w:rPr>
            </w:pPr>
          </w:p>
        </w:tc>
        <w:tc>
          <w:tcPr>
            <w:tcW w:w="492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68">
              <w:r>
                <w:rPr>
                  <w:rFonts w:ascii="Arial" w:cs="Arial" w:eastAsia="Arial" w:hAnsi="Arial"/>
                  <w:sz w:val="18"/>
                  <w:szCs w:val="18"/>
                  <w:color w:val="0000EE"/>
                  <w:w w:val="91"/>
                </w:rPr>
                <w:t>Management’s Report on Internal Control Over Financial Reporting</w:t>
              </w:r>
            </w:hyperlink>
          </w:p>
        </w:tc>
        <w:tc>
          <w:tcPr>
            <w:tcW w:w="5340" w:type="dxa"/>
            <w:vAlign w:val="bottom"/>
            <w:gridSpan w:val="10"/>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18"/>
        </w:trPr>
        <w:tc>
          <w:tcPr>
            <w:tcW w:w="440" w:type="dxa"/>
            <w:vAlign w:val="bottom"/>
          </w:tcPr>
          <w:p>
            <w:pPr>
              <w:spacing w:after="0"/>
              <w:rPr>
                <w:sz w:val="24"/>
                <w:szCs w:val="24"/>
                <w:color w:val="auto"/>
              </w:rPr>
            </w:pPr>
          </w:p>
        </w:tc>
        <w:tc>
          <w:tcPr>
            <w:tcW w:w="43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69">
              <w:r>
                <w:rPr>
                  <w:rFonts w:ascii="Arial" w:cs="Arial" w:eastAsia="Arial" w:hAnsi="Arial"/>
                  <w:sz w:val="18"/>
                  <w:szCs w:val="18"/>
                  <w:color w:val="0000EE"/>
                  <w:w w:val="91"/>
                </w:rPr>
                <w:t>Reports of Independent Registered Public Accounting Firm</w:t>
              </w:r>
            </w:hyperlink>
          </w:p>
        </w:tc>
        <w:tc>
          <w:tcPr>
            <w:tcW w:w="5960" w:type="dxa"/>
            <w:vAlign w:val="bottom"/>
            <w:gridSpan w:val="11"/>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18"/>
        </w:trPr>
        <w:tc>
          <w:tcPr>
            <w:tcW w:w="440" w:type="dxa"/>
            <w:vAlign w:val="bottom"/>
          </w:tcPr>
          <w:p>
            <w:pPr>
              <w:spacing w:after="0"/>
              <w:rPr>
                <w:sz w:val="24"/>
                <w:szCs w:val="24"/>
                <w:color w:val="auto"/>
              </w:rPr>
            </w:pPr>
          </w:p>
        </w:tc>
        <w:tc>
          <w:tcPr>
            <w:tcW w:w="10260" w:type="dxa"/>
            <w:vAlign w:val="bottom"/>
            <w:gridSpan w:val="19"/>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Consolidated Statements of Financial Condition as of December 31, 2019 and 2018</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44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6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10260" w:type="dxa"/>
            <w:vAlign w:val="bottom"/>
            <w:gridSpan w:val="19"/>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Consolidated Statements of Operations for the years ended December 31, 2019, 2018 and 2017</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18"/>
        </w:trPr>
        <w:tc>
          <w:tcPr>
            <w:tcW w:w="440" w:type="dxa"/>
            <w:vAlign w:val="bottom"/>
          </w:tcPr>
          <w:p>
            <w:pPr>
              <w:spacing w:after="0"/>
              <w:rPr>
                <w:sz w:val="24"/>
                <w:szCs w:val="24"/>
                <w:color w:val="auto"/>
              </w:rPr>
            </w:pPr>
          </w:p>
        </w:tc>
        <w:tc>
          <w:tcPr>
            <w:tcW w:w="674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0"/>
              </w:rPr>
            </w:pPr>
            <w:hyperlink w:anchor="page74">
              <w:r>
                <w:rPr>
                  <w:rFonts w:ascii="Arial" w:cs="Arial" w:eastAsia="Arial" w:hAnsi="Arial"/>
                  <w:sz w:val="18"/>
                  <w:szCs w:val="18"/>
                  <w:color w:val="0000EE"/>
                  <w:w w:val="90"/>
                </w:rPr>
                <w:t>Consolidated Statements of Comprehensive Income for the years ended December 31, 2019,</w:t>
              </w:r>
            </w:hyperlink>
          </w:p>
        </w:tc>
        <w:tc>
          <w:tcPr>
            <w:tcW w:w="120" w:type="dxa"/>
            <w:vAlign w:val="bottom"/>
            <w:tcBorders>
              <w:top w:val="single" w:sz="8" w:color="0000EE"/>
            </w:tcBorders>
            <w:gridSpan w:val="2"/>
          </w:tcPr>
          <w:p>
            <w:pPr>
              <w:spacing w:after="0"/>
              <w:rPr>
                <w:sz w:val="24"/>
                <w:szCs w:val="24"/>
                <w:color w:val="auto"/>
              </w:rPr>
            </w:pPr>
          </w:p>
        </w:tc>
        <w:tc>
          <w:tcPr>
            <w:tcW w:w="3400" w:type="dxa"/>
            <w:vAlign w:val="bottom"/>
            <w:gridSpan w:val="2"/>
          </w:tcPr>
          <w:p>
            <w:pPr>
              <w:spacing w:after="0"/>
              <w:rPr>
                <w:sz w:val="24"/>
                <w:szCs w:val="24"/>
                <w:color w:val="auto"/>
              </w:rPr>
            </w:pPr>
          </w:p>
        </w:tc>
        <w:tc>
          <w:tcPr>
            <w:tcW w:w="72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74">
              <w:r>
                <w:rPr>
                  <w:rFonts w:ascii="Arial" w:cs="Arial" w:eastAsia="Arial" w:hAnsi="Arial"/>
                  <w:sz w:val="18"/>
                  <w:szCs w:val="18"/>
                  <w:color w:val="0000EE"/>
                  <w:w w:val="88"/>
                </w:rPr>
                <w:t>2018 and 2017</w:t>
              </w:r>
            </w:hyperlink>
          </w:p>
        </w:tc>
        <w:tc>
          <w:tcPr>
            <w:tcW w:w="8960" w:type="dxa"/>
            <w:vAlign w:val="bottom"/>
            <w:gridSpan w:val="16"/>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318"/>
        </w:trPr>
        <w:tc>
          <w:tcPr>
            <w:tcW w:w="440" w:type="dxa"/>
            <w:vAlign w:val="bottom"/>
          </w:tcPr>
          <w:p>
            <w:pPr>
              <w:spacing w:after="0"/>
              <w:rPr>
                <w:sz w:val="24"/>
                <w:szCs w:val="24"/>
                <w:color w:val="auto"/>
              </w:rPr>
            </w:pPr>
          </w:p>
        </w:tc>
        <w:tc>
          <w:tcPr>
            <w:tcW w:w="692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Consolidated Statements of Cash Flows for the years ended December 31, 2019, 2018 and 2017</w:t>
              </w:r>
            </w:hyperlink>
          </w:p>
        </w:tc>
        <w:tc>
          <w:tcPr>
            <w:tcW w:w="3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18"/>
        </w:trPr>
        <w:tc>
          <w:tcPr>
            <w:tcW w:w="440" w:type="dxa"/>
            <w:vAlign w:val="bottom"/>
          </w:tcPr>
          <w:p>
            <w:pPr>
              <w:spacing w:after="0"/>
              <w:rPr>
                <w:sz w:val="24"/>
                <w:szCs w:val="24"/>
                <w:color w:val="auto"/>
              </w:rPr>
            </w:pPr>
          </w:p>
        </w:tc>
        <w:tc>
          <w:tcPr>
            <w:tcW w:w="562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77">
              <w:r>
                <w:rPr>
                  <w:rFonts w:ascii="Arial" w:cs="Arial" w:eastAsia="Arial" w:hAnsi="Arial"/>
                  <w:sz w:val="18"/>
                  <w:szCs w:val="18"/>
                  <w:color w:val="0000EE"/>
                  <w:w w:val="90"/>
                </w:rPr>
                <w:t>Consolidated Statements of Changes in Members’ Equity for the years ended</w:t>
              </w:r>
            </w:hyperlink>
          </w:p>
        </w:tc>
        <w:tc>
          <w:tcPr>
            <w:tcW w:w="4640" w:type="dxa"/>
            <w:vAlign w:val="bottom"/>
            <w:gridSpan w:val="9"/>
          </w:tcPr>
          <w:p>
            <w:pPr>
              <w:spacing w:after="0"/>
              <w:rPr>
                <w:sz w:val="24"/>
                <w:szCs w:val="24"/>
                <w:color w:val="auto"/>
              </w:rPr>
            </w:pPr>
          </w:p>
        </w:tc>
        <w:tc>
          <w:tcPr>
            <w:tcW w:w="72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18"/>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December 31, 2019, 2018 and 2017</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316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Notes to Consolidated Financial Statements</w:t>
              </w:r>
            </w:hyperlink>
          </w:p>
        </w:tc>
        <w:tc>
          <w:tcPr>
            <w:tcW w:w="7100" w:type="dxa"/>
            <w:vAlign w:val="bottom"/>
            <w:gridSpan w:val="12"/>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18"/>
        </w:trPr>
        <w:tc>
          <w:tcPr>
            <w:tcW w:w="2820" w:type="dxa"/>
            <w:vAlign w:val="bottom"/>
            <w:tcBorders>
              <w:bottom w:val="single" w:sz="8" w:color="0000EE"/>
            </w:tcBorders>
            <w:gridSpan w:val="5"/>
          </w:tcPr>
          <w:p>
            <w:pPr>
              <w:spacing w:after="0"/>
              <w:rPr>
                <w:rFonts w:ascii="Arial" w:cs="Arial" w:eastAsia="Arial" w:hAnsi="Arial"/>
                <w:sz w:val="18"/>
                <w:szCs w:val="18"/>
                <w:b w:val="1"/>
                <w:bCs w:val="1"/>
                <w:color w:val="0000EE"/>
                <w:w w:val="91"/>
              </w:rPr>
            </w:pPr>
            <w:hyperlink w:anchor="page129">
              <w:r>
                <w:rPr>
                  <w:rFonts w:ascii="Arial" w:cs="Arial" w:eastAsia="Arial" w:hAnsi="Arial"/>
                  <w:sz w:val="18"/>
                  <w:szCs w:val="18"/>
                  <w:b w:val="1"/>
                  <w:bCs w:val="1"/>
                  <w:color w:val="0000EE"/>
                  <w:w w:val="91"/>
                </w:rPr>
                <w:t>Supplemental Financial Information</w:t>
              </w:r>
            </w:hyperlink>
          </w:p>
        </w:tc>
        <w:tc>
          <w:tcPr>
            <w:tcW w:w="7880" w:type="dxa"/>
            <w:vAlign w:val="bottom"/>
            <w:gridSpan w:val="15"/>
          </w:tcPr>
          <w:p>
            <w:pPr>
              <w:spacing w:after="0"/>
              <w:rPr>
                <w:sz w:val="24"/>
                <w:szCs w:val="24"/>
                <w:color w:val="auto"/>
              </w:rPr>
            </w:pPr>
          </w:p>
        </w:tc>
        <w:tc>
          <w:tcPr>
            <w:tcW w:w="720" w:type="dxa"/>
            <w:vAlign w:val="bottom"/>
          </w:tcPr>
          <w:p>
            <w:pPr>
              <w:spacing w:after="0"/>
              <w:rPr>
                <w:sz w:val="24"/>
                <w:szCs w:val="24"/>
                <w:color w:val="auto"/>
              </w:rPr>
            </w:pPr>
          </w:p>
        </w:tc>
      </w:tr>
      <w:tr>
        <w:trPr>
          <w:trHeight w:val="318"/>
        </w:trPr>
        <w:tc>
          <w:tcPr>
            <w:tcW w:w="440" w:type="dxa"/>
            <w:vAlign w:val="bottom"/>
          </w:tcPr>
          <w:p>
            <w:pPr>
              <w:spacing w:after="0"/>
              <w:rPr>
                <w:sz w:val="24"/>
                <w:szCs w:val="24"/>
                <w:color w:val="auto"/>
              </w:rPr>
            </w:pPr>
          </w:p>
        </w:tc>
        <w:tc>
          <w:tcPr>
            <w:tcW w:w="128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129">
              <w:r>
                <w:rPr>
                  <w:rFonts w:ascii="Arial" w:cs="Arial" w:eastAsia="Arial" w:hAnsi="Arial"/>
                  <w:sz w:val="18"/>
                  <w:szCs w:val="18"/>
                  <w:color w:val="0000EE"/>
                  <w:w w:val="90"/>
                </w:rPr>
                <w:t>Quarterly Results</w:t>
              </w:r>
            </w:hyperlink>
          </w:p>
        </w:tc>
        <w:tc>
          <w:tcPr>
            <w:tcW w:w="8980" w:type="dxa"/>
            <w:vAlign w:val="bottom"/>
            <w:gridSpan w:val="17"/>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358"/>
        </w:trPr>
        <w:tc>
          <w:tcPr>
            <w:tcW w:w="10700" w:type="dxa"/>
            <w:vAlign w:val="bottom"/>
            <w:gridSpan w:val="20"/>
          </w:tcPr>
          <w:p>
            <w:pPr>
              <w:spacing w:after="0"/>
              <w:rPr>
                <w:sz w:val="20"/>
                <w:szCs w:val="20"/>
                <w:color w:val="auto"/>
              </w:rPr>
            </w:pPr>
            <w:r>
              <w:rPr>
                <w:rFonts w:ascii="Arial" w:cs="Arial" w:eastAsia="Arial" w:hAnsi="Arial"/>
                <w:sz w:val="18"/>
                <w:szCs w:val="18"/>
                <w:b w:val="1"/>
                <w:bCs w:val="1"/>
                <w:color w:val="auto"/>
              </w:rPr>
              <w:t>Financial Statement Schedules</w:t>
            </w:r>
          </w:p>
        </w:tc>
        <w:tc>
          <w:tcPr>
            <w:tcW w:w="720" w:type="dxa"/>
            <w:vAlign w:val="bottom"/>
          </w:tcPr>
          <w:p>
            <w:pPr>
              <w:spacing w:after="0"/>
              <w:rPr>
                <w:sz w:val="24"/>
                <w:szCs w:val="24"/>
                <w:color w:val="auto"/>
              </w:rPr>
            </w:pPr>
          </w:p>
        </w:tc>
      </w:tr>
      <w:tr>
        <w:trPr>
          <w:trHeight w:val="338"/>
        </w:trPr>
        <w:tc>
          <w:tcPr>
            <w:tcW w:w="440" w:type="dxa"/>
            <w:vAlign w:val="bottom"/>
          </w:tcPr>
          <w:p>
            <w:pPr>
              <w:spacing w:after="0"/>
              <w:rPr>
                <w:sz w:val="24"/>
                <w:szCs w:val="24"/>
                <w:color w:val="auto"/>
              </w:rPr>
            </w:pPr>
          </w:p>
        </w:tc>
        <w:tc>
          <w:tcPr>
            <w:tcW w:w="10260" w:type="dxa"/>
            <w:vAlign w:val="bottom"/>
            <w:gridSpan w:val="19"/>
          </w:tcPr>
          <w:p>
            <w:pPr>
              <w:spacing w:after="0"/>
              <w:rPr>
                <w:sz w:val="20"/>
                <w:szCs w:val="20"/>
                <w:color w:val="auto"/>
              </w:rPr>
            </w:pPr>
            <w:r>
              <w:rPr>
                <w:rFonts w:ascii="Arial" w:cs="Arial" w:eastAsia="Arial" w:hAnsi="Arial"/>
                <w:sz w:val="18"/>
                <w:szCs w:val="18"/>
                <w:color w:val="auto"/>
              </w:rPr>
              <w:t>Schedule I—Condensed Financial Information of Registrant (Parent Company Only)</w:t>
            </w:r>
          </w:p>
        </w:tc>
        <w:tc>
          <w:tcPr>
            <w:tcW w:w="720" w:type="dxa"/>
            <w:vAlign w:val="bottom"/>
          </w:tcPr>
          <w:p>
            <w:pPr>
              <w:spacing w:after="0"/>
              <w:rPr>
                <w:sz w:val="24"/>
                <w:szCs w:val="24"/>
                <w:color w:val="auto"/>
              </w:rPr>
            </w:pPr>
          </w:p>
        </w:tc>
      </w:tr>
      <w:tr>
        <w:trPr>
          <w:trHeight w:val="297"/>
        </w:trPr>
        <w:tc>
          <w:tcPr>
            <w:tcW w:w="440" w:type="dxa"/>
            <w:vAlign w:val="bottom"/>
          </w:tcPr>
          <w:p>
            <w:pPr>
              <w:spacing w:after="0"/>
              <w:rPr>
                <w:sz w:val="24"/>
                <w:szCs w:val="24"/>
                <w:color w:val="auto"/>
              </w:rPr>
            </w:pPr>
          </w:p>
        </w:tc>
        <w:tc>
          <w:tcPr>
            <w:tcW w:w="588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137">
              <w:r>
                <w:rPr>
                  <w:rFonts w:ascii="Arial" w:cs="Arial" w:eastAsia="Arial" w:hAnsi="Arial"/>
                  <w:sz w:val="18"/>
                  <w:szCs w:val="18"/>
                  <w:color w:val="0000EE"/>
                  <w:w w:val="89"/>
                </w:rPr>
                <w:t>Condensed Statements of Financial Condition as of December 31, 2019 and 2018</w:t>
              </w:r>
            </w:hyperlink>
          </w:p>
        </w:tc>
        <w:tc>
          <w:tcPr>
            <w:tcW w:w="4380" w:type="dxa"/>
            <w:vAlign w:val="bottom"/>
            <w:gridSpan w:val="8"/>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318"/>
        </w:trPr>
        <w:tc>
          <w:tcPr>
            <w:tcW w:w="440" w:type="dxa"/>
            <w:vAlign w:val="bottom"/>
          </w:tcPr>
          <w:p>
            <w:pPr>
              <w:spacing w:after="0"/>
              <w:rPr>
                <w:sz w:val="24"/>
                <w:szCs w:val="24"/>
                <w:color w:val="auto"/>
              </w:rPr>
            </w:pPr>
          </w:p>
        </w:tc>
        <w:tc>
          <w:tcPr>
            <w:tcW w:w="672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138">
              <w:r>
                <w:rPr>
                  <w:rFonts w:ascii="Arial" w:cs="Arial" w:eastAsia="Arial" w:hAnsi="Arial"/>
                  <w:sz w:val="18"/>
                  <w:szCs w:val="18"/>
                  <w:color w:val="0000EE"/>
                  <w:w w:val="88"/>
                </w:rPr>
                <w:t>Condensed Statements of Operations for the years ended December 31, 2019, 2018 and 2017</w:t>
              </w:r>
            </w:hyperlink>
          </w:p>
        </w:tc>
        <w:tc>
          <w:tcPr>
            <w:tcW w:w="3540" w:type="dxa"/>
            <w:vAlign w:val="bottom"/>
            <w:gridSpan w:val="5"/>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318"/>
        </w:trPr>
        <w:tc>
          <w:tcPr>
            <w:tcW w:w="440" w:type="dxa"/>
            <w:vAlign w:val="bottom"/>
          </w:tcPr>
          <w:p>
            <w:pPr>
              <w:spacing w:after="0"/>
              <w:rPr>
                <w:sz w:val="24"/>
                <w:szCs w:val="24"/>
                <w:color w:val="auto"/>
              </w:rPr>
            </w:pPr>
          </w:p>
        </w:tc>
        <w:tc>
          <w:tcPr>
            <w:tcW w:w="65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139">
              <w:r>
                <w:rPr>
                  <w:rFonts w:ascii="Arial" w:cs="Arial" w:eastAsia="Arial" w:hAnsi="Arial"/>
                  <w:sz w:val="18"/>
                  <w:szCs w:val="18"/>
                  <w:color w:val="0000EE"/>
                  <w:w w:val="89"/>
                </w:rPr>
                <w:t>Condensed Statements of Comprehensive Income for the years ended December 31, 2019,</w:t>
              </w:r>
            </w:hyperlink>
          </w:p>
        </w:tc>
        <w:tc>
          <w:tcPr>
            <w:tcW w:w="3700" w:type="dxa"/>
            <w:vAlign w:val="bottom"/>
            <w:gridSpan w:val="6"/>
          </w:tcPr>
          <w:p>
            <w:pPr>
              <w:spacing w:after="0"/>
              <w:rPr>
                <w:sz w:val="24"/>
                <w:szCs w:val="24"/>
                <w:color w:val="auto"/>
              </w:rPr>
            </w:pPr>
          </w:p>
        </w:tc>
        <w:tc>
          <w:tcPr>
            <w:tcW w:w="72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139">
              <w:r>
                <w:rPr>
                  <w:rFonts w:ascii="Arial" w:cs="Arial" w:eastAsia="Arial" w:hAnsi="Arial"/>
                  <w:sz w:val="18"/>
                  <w:szCs w:val="18"/>
                  <w:color w:val="0000EE"/>
                  <w:w w:val="88"/>
                </w:rPr>
                <w:t>2018 and 2017</w:t>
              </w:r>
            </w:hyperlink>
          </w:p>
        </w:tc>
        <w:tc>
          <w:tcPr>
            <w:tcW w:w="8960" w:type="dxa"/>
            <w:vAlign w:val="bottom"/>
            <w:gridSpan w:val="16"/>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318"/>
        </w:trPr>
        <w:tc>
          <w:tcPr>
            <w:tcW w:w="440" w:type="dxa"/>
            <w:vAlign w:val="bottom"/>
          </w:tcPr>
          <w:p>
            <w:pPr>
              <w:spacing w:after="0"/>
              <w:rPr>
                <w:sz w:val="24"/>
                <w:szCs w:val="24"/>
                <w:color w:val="auto"/>
              </w:rPr>
            </w:pPr>
          </w:p>
        </w:tc>
        <w:tc>
          <w:tcPr>
            <w:tcW w:w="10260" w:type="dxa"/>
            <w:vAlign w:val="bottom"/>
            <w:gridSpan w:val="19"/>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Condensed Statements of Cash Flows for the years ended December 31, 2019, 2018 and 2017</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318"/>
        </w:trPr>
        <w:tc>
          <w:tcPr>
            <w:tcW w:w="440" w:type="dxa"/>
            <w:vAlign w:val="bottom"/>
          </w:tcPr>
          <w:p>
            <w:pPr>
              <w:spacing w:after="0"/>
              <w:rPr>
                <w:sz w:val="24"/>
                <w:szCs w:val="24"/>
                <w:color w:val="auto"/>
              </w:rPr>
            </w:pPr>
          </w:p>
        </w:tc>
        <w:tc>
          <w:tcPr>
            <w:tcW w:w="6760" w:type="dxa"/>
            <w:vAlign w:val="bottom"/>
            <w:tcBorders>
              <w:top w:val="single" w:sz="8" w:color="0000EE"/>
            </w:tcBorders>
            <w:gridSpan w:val="16"/>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Notes to Condensed Financial Statements</w:t>
              </w:r>
            </w:hyperlink>
          </w:p>
        </w:tc>
        <w:tc>
          <w:tcPr>
            <w:tcW w:w="3500" w:type="dxa"/>
            <w:vAlign w:val="bottom"/>
            <w:gridSpan w:val="3"/>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858"/>
        </w:trPr>
        <w:tc>
          <w:tcPr>
            <w:tcW w:w="44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780" w:type="dxa"/>
            <w:vAlign w:val="bottom"/>
            <w:tcBorders>
              <w:top w:val="single" w:sz="8" w:color="0000EE"/>
            </w:tcBorders>
            <w:gridSpan w:val="5"/>
          </w:tcPr>
          <w:p>
            <w:pPr>
              <w:spacing w:after="0"/>
              <w:rPr>
                <w:sz w:val="24"/>
                <w:szCs w:val="24"/>
                <w:color w:val="auto"/>
              </w:rPr>
            </w:pPr>
          </w:p>
        </w:tc>
        <w:tc>
          <w:tcPr>
            <w:tcW w:w="2620" w:type="dxa"/>
            <w:vAlign w:val="bottom"/>
            <w:gridSpan w:val="4"/>
          </w:tcPr>
          <w:p>
            <w:pPr>
              <w:jc w:val="right"/>
              <w:ind w:right="260"/>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15"/>
        </w:trPr>
        <w:tc>
          <w:tcPr>
            <w:tcW w:w="4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7" w:name="page68"/>
    <w:bookmarkEnd w:id="67"/>
    <w:p>
      <w:pPr>
        <w:jc w:val="center"/>
        <w:ind w:right="-3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100" w:firstLine="598"/>
        <w:spacing w:after="0" w:line="279" w:lineRule="auto"/>
        <w:rPr>
          <w:sz w:val="20"/>
          <w:szCs w:val="20"/>
          <w:color w:val="auto"/>
        </w:rPr>
      </w:pPr>
      <w:r>
        <w:rPr>
          <w:rFonts w:ascii="Arial" w:cs="Arial" w:eastAsia="Arial" w:hAnsi="Arial"/>
          <w:sz w:val="17"/>
          <w:szCs w:val="17"/>
          <w:color w:val="auto"/>
        </w:rPr>
        <w:t>Management of Lazard Group LLC and its subsidiaries (the “Company”) is responsible for establishing and maintaining adequate internal control over financial reporting. Internal control over financial reporting is a process designed under the supervision of the Company’s principal executive and principal financial officers to provide reasonable assurance regarding the reliability of financial reporting and the preparation of the Company’s consolidated financial statements for external purposes in accordance with U.S. generally accepted accounting principles.</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117" w:lineRule="exact"/>
        <w:rPr>
          <w:sz w:val="20"/>
          <w:szCs w:val="20"/>
          <w:color w:val="auto"/>
        </w:rPr>
      </w:pPr>
    </w:p>
    <w:p>
      <w:pPr>
        <w:ind w:left="1200" w:right="140" w:hanging="598"/>
        <w:spacing w:after="0" w:line="277" w:lineRule="auto"/>
        <w:tabs>
          <w:tab w:leader="none" w:pos="12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62" w:lineRule="exact"/>
        <w:rPr>
          <w:rFonts w:ascii="Arial" w:cs="Arial" w:eastAsia="Arial" w:hAnsi="Arial"/>
          <w:sz w:val="18"/>
          <w:szCs w:val="18"/>
          <w:color w:val="auto"/>
        </w:rPr>
      </w:pPr>
    </w:p>
    <w:p>
      <w:pPr>
        <w:ind w:left="1200" w:right="300" w:hanging="598"/>
        <w:spacing w:after="0" w:line="264" w:lineRule="auto"/>
        <w:tabs>
          <w:tab w:leader="none" w:pos="12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consolidated financial statements in accordance with U.S. generally accepted accounting principles, and that our receipts and expenditures are being made only in accordance with authorizations of the Company’s management and directors; and</w:t>
      </w:r>
    </w:p>
    <w:p>
      <w:pPr>
        <w:spacing w:after="0" w:line="73" w:lineRule="exact"/>
        <w:rPr>
          <w:rFonts w:ascii="Arial" w:cs="Arial" w:eastAsia="Arial" w:hAnsi="Arial"/>
          <w:sz w:val="18"/>
          <w:szCs w:val="18"/>
          <w:color w:val="auto"/>
        </w:rPr>
      </w:pPr>
    </w:p>
    <w:p>
      <w:pPr>
        <w:ind w:left="1200" w:right="40" w:hanging="598"/>
        <w:spacing w:after="0" w:line="277" w:lineRule="auto"/>
        <w:tabs>
          <w:tab w:leader="none" w:pos="12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170"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December 31, 2019.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 xml:space="preserve">Internal Control-Integrated Framework (2013). </w:t>
      </w:r>
      <w:r>
        <w:rPr>
          <w:rFonts w:ascii="Arial" w:cs="Arial" w:eastAsia="Arial" w:hAnsi="Arial"/>
          <w:sz w:val="18"/>
          <w:szCs w:val="18"/>
          <w:color w:val="auto"/>
        </w:rPr>
        <w:t>Based on management’s assessment and those criteria, management concluded that the Company maintained effective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over financial reporting as of December 31, 2019.</w:t>
      </w:r>
    </w:p>
    <w:p>
      <w:pPr>
        <w:spacing w:after="0" w:line="187" w:lineRule="exact"/>
        <w:rPr>
          <w:sz w:val="20"/>
          <w:szCs w:val="20"/>
          <w:color w:val="auto"/>
        </w:rPr>
      </w:pPr>
    </w:p>
    <w:p>
      <w:pPr>
        <w:jc w:val="both"/>
        <w:ind w:right="40" w:firstLine="59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560" w:firstLine="598"/>
        <w:spacing w:after="0" w:line="342" w:lineRule="auto"/>
        <w:rPr>
          <w:sz w:val="20"/>
          <w:szCs w:val="20"/>
          <w:color w:val="auto"/>
        </w:rPr>
      </w:pPr>
      <w:r>
        <w:rPr>
          <w:rFonts w:ascii="Arial" w:cs="Arial" w:eastAsia="Arial" w:hAnsi="Arial"/>
          <w:sz w:val="16"/>
          <w:szCs w:val="16"/>
          <w:color w:val="auto"/>
        </w:rPr>
        <w:t>The Company’s independent registered public accounting firm, Deloitte &amp; Touche LLP, audited the Company’s internal control over financial reporting as of December 31, 2019, as stated in their report which appears under “Report of Independent Registered Public Accounting Firm.”</w:t>
      </w: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68" w:name="page69"/>
    <w:bookmarkEnd w:id="68"/>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Members and the Board of Directors of Lazard Group LLC: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75" w:lineRule="exact"/>
        <w:rPr>
          <w:sz w:val="20"/>
          <w:szCs w:val="20"/>
          <w:color w:val="auto"/>
        </w:rPr>
      </w:pPr>
    </w:p>
    <w:p>
      <w:pPr>
        <w:ind w:right="60" w:firstLine="877"/>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Lazard Group LLC and subsidiaries (the "Company") as of December 31, 2019,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2019,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17" w:lineRule="exact"/>
        <w:rPr>
          <w:sz w:val="20"/>
          <w:szCs w:val="20"/>
          <w:color w:val="auto"/>
        </w:rPr>
      </w:pPr>
    </w:p>
    <w:p>
      <w:pPr>
        <w:ind w:right="400" w:firstLine="877"/>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and financial statement schedule as listed in the Index at Item 8 as of and for the year ended December 31, 2019, of the Company and our report dated February 24, 2020, expressed an unqualified opinion on those consolidated financial statements and financial statement schedule.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firstLine="877"/>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4" w:lineRule="exact"/>
        <w:rPr>
          <w:sz w:val="20"/>
          <w:szCs w:val="20"/>
          <w:color w:val="auto"/>
        </w:rPr>
      </w:pPr>
    </w:p>
    <w:p>
      <w:pPr>
        <w:ind w:right="40" w:firstLine="877"/>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75" w:lineRule="exact"/>
        <w:rPr>
          <w:sz w:val="20"/>
          <w:szCs w:val="20"/>
          <w:color w:val="auto"/>
        </w:rPr>
      </w:pPr>
    </w:p>
    <w:p>
      <w:pPr>
        <w:ind w:right="60" w:firstLine="877"/>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ind w:right="180" w:firstLine="877"/>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2020</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9" w:name="page70"/>
    <w:bookmarkEnd w:id="69"/>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Members and the Board of Directors of Lazard Group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175" w:lineRule="exact"/>
        <w:rPr>
          <w:sz w:val="20"/>
          <w:szCs w:val="20"/>
          <w:color w:val="auto"/>
        </w:rPr>
      </w:pPr>
    </w:p>
    <w:p>
      <w:pPr>
        <w:ind w:right="40" w:firstLine="598"/>
        <w:spacing w:after="0" w:line="273" w:lineRule="auto"/>
        <w:rPr>
          <w:sz w:val="20"/>
          <w:szCs w:val="20"/>
          <w:color w:val="auto"/>
        </w:rPr>
      </w:pPr>
      <w:r>
        <w:rPr>
          <w:rFonts w:ascii="Arial" w:cs="Arial" w:eastAsia="Arial" w:hAnsi="Arial"/>
          <w:sz w:val="17"/>
          <w:szCs w:val="17"/>
          <w:color w:val="auto"/>
        </w:rPr>
        <w:t>We have audited the accompanying consolidated statements of financial condition of Lazard Group LLC and subsidiaries (the "Company") as of December 31, 2019 and 2018, and the related consolidated statements of operations, comprehensive income, cash flows, and changes in members' equity for each of the three years in the period ended December 31, 2019, the related notes and the schedule listed in the Index at Item 8 (collectively the "consolidated financial statements"). In our opinion, the consolidated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124"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the Committee of Sponsoring Organizations of the Treadway Commission and our report dated February 24, 2020, expressed an unqualified</w:t>
      </w:r>
      <w:r>
        <w:rPr>
          <w:rFonts w:ascii="Arial" w:cs="Arial" w:eastAsia="Arial" w:hAnsi="Arial"/>
          <w:sz w:val="18"/>
          <w:szCs w:val="18"/>
          <w:i w:val="1"/>
          <w:iCs w:val="1"/>
          <w:color w:val="auto"/>
        </w:rPr>
        <w:t xml:space="preserve"> </w:t>
      </w:r>
      <w:r>
        <w:rPr>
          <w:rFonts w:ascii="Arial" w:cs="Arial" w:eastAsia="Arial" w:hAnsi="Arial"/>
          <w:sz w:val="18"/>
          <w:szCs w:val="18"/>
          <w:color w:val="auto"/>
        </w:rPr>
        <w:t>opinion on the Company's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right="280" w:firstLine="598"/>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2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70" w:name="page71"/>
    <w:bookmarkEnd w:id="70"/>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680" w:type="dxa"/>
            <w:vAlign w:val="bottom"/>
            <w:tcBorders>
              <w:bottom w:val="single" w:sz="8" w:color="CFF0FC"/>
            </w:tcBorders>
          </w:tcPr>
          <w:p>
            <w:pPr>
              <w:spacing w:after="0"/>
              <w:rPr>
                <w:sz w:val="13"/>
                <w:szCs w:val="13"/>
                <w:color w:val="auto"/>
              </w:rPr>
            </w:pPr>
          </w:p>
        </w:tc>
        <w:tc>
          <w:tcPr>
            <w:tcW w:w="11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6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5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1,164,135</w:t>
            </w:r>
          </w:p>
        </w:tc>
        <w:tc>
          <w:tcPr>
            <w:tcW w:w="280" w:type="dxa"/>
            <w:vAlign w:val="bottom"/>
          </w:tcPr>
          <w:p>
            <w:pPr>
              <w:spacing w:after="0"/>
              <w:rPr>
                <w:sz w:val="19"/>
                <w:szCs w:val="19"/>
                <w:color w:val="auto"/>
              </w:rPr>
            </w:pPr>
          </w:p>
        </w:tc>
        <w:tc>
          <w:tcPr>
            <w:tcW w:w="460" w:type="dxa"/>
            <w:vAlign w:val="bottom"/>
            <w:gridSpan w:val="2"/>
          </w:tcPr>
          <w:p>
            <w:pPr>
              <w:jc w:val="right"/>
              <w:ind w:right="330"/>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1,185,040</w:t>
            </w: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Deposits with banks and short-term investments</w:t>
            </w:r>
          </w:p>
        </w:tc>
        <w:tc>
          <w:tcPr>
            <w:tcW w:w="1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1,180,686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1,006,969</w:t>
            </w: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43,280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38,379</w:t>
            </w:r>
          </w:p>
        </w:tc>
        <w:tc>
          <w:tcPr>
            <w:tcW w:w="120" w:type="dxa"/>
            <w:vAlign w:val="bottom"/>
          </w:tcPr>
          <w:p>
            <w:pPr>
              <w:spacing w:after="0"/>
              <w:rPr>
                <w:sz w:val="19"/>
                <w:szCs w:val="19"/>
                <w:color w:val="auto"/>
              </w:rPr>
            </w:pPr>
          </w:p>
        </w:tc>
      </w:tr>
      <w:tr>
        <w:trPr>
          <w:trHeight w:val="215"/>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Receivables (net of allowance for doubtful accounts of $27,130 and $40,115</w:t>
            </w:r>
          </w:p>
        </w:tc>
        <w:tc>
          <w:tcPr>
            <w:tcW w:w="1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at December 31, 2019 and 2018, respectively):</w:t>
            </w:r>
          </w:p>
        </w:tc>
        <w:tc>
          <w:tcPr>
            <w:tcW w:w="1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6680" w:type="dxa"/>
            <w:vAlign w:val="bottom"/>
          </w:tcPr>
          <w:p>
            <w:pPr>
              <w:ind w:left="260"/>
              <w:spacing w:after="0"/>
              <w:rPr>
                <w:sz w:val="20"/>
                <w:szCs w:val="20"/>
                <w:color w:val="auto"/>
              </w:rPr>
            </w:pPr>
            <w:r>
              <w:rPr>
                <w:rFonts w:ascii="Arial" w:cs="Arial" w:eastAsia="Arial" w:hAnsi="Arial"/>
                <w:sz w:val="18"/>
                <w:szCs w:val="18"/>
                <w:color w:val="auto"/>
              </w:rPr>
              <w:t>Fees</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537,342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499,068</w:t>
            </w: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Customers and other</w:t>
            </w:r>
          </w:p>
        </w:tc>
        <w:tc>
          <w:tcPr>
            <w:tcW w:w="1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125,697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184,137</w:t>
            </w: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Lazard Ltd subsidiaries</w:t>
            </w:r>
          </w:p>
        </w:tc>
        <w:tc>
          <w:tcPr>
            <w:tcW w:w="1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34,612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21,103</w:t>
            </w:r>
          </w:p>
        </w:tc>
        <w:tc>
          <w:tcPr>
            <w:tcW w:w="120" w:type="dxa"/>
            <w:vAlign w:val="bottom"/>
            <w:tcBorders>
              <w:bottom w:val="single" w:sz="8" w:color="CFF0FC"/>
            </w:tcBorders>
          </w:tcPr>
          <w:p>
            <w:pPr>
              <w:spacing w:after="0"/>
              <w:rPr>
                <w:sz w:val="19"/>
                <w:szCs w:val="19"/>
                <w:color w:val="auto"/>
              </w:rPr>
            </w:pPr>
          </w:p>
        </w:tc>
      </w:tr>
      <w:tr>
        <w:trPr>
          <w:trHeight w:val="223"/>
        </w:trPr>
        <w:tc>
          <w:tcPr>
            <w:tcW w:w="66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697,651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704,308</w:t>
            </w: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Investments</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531,995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575,148</w:t>
            </w:r>
          </w:p>
        </w:tc>
        <w:tc>
          <w:tcPr>
            <w:tcW w:w="120" w:type="dxa"/>
            <w:vAlign w:val="bottom"/>
          </w:tcPr>
          <w:p>
            <w:pPr>
              <w:spacing w:after="0"/>
              <w:rPr>
                <w:sz w:val="19"/>
                <w:szCs w:val="19"/>
                <w:color w:val="auto"/>
              </w:rPr>
            </w:pPr>
          </w:p>
        </w:tc>
      </w:tr>
      <w:tr>
        <w:trPr>
          <w:trHeight w:val="215"/>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Property (net of accumulated amortization and depreciation of $366,880</w:t>
            </w:r>
          </w:p>
        </w:tc>
        <w:tc>
          <w:tcPr>
            <w:tcW w:w="1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$339,448 at December 31, 2019 and 2018, respectively)</w:t>
            </w:r>
          </w:p>
        </w:tc>
        <w:tc>
          <w:tcPr>
            <w:tcW w:w="1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218,871</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211,713</w:t>
            </w:r>
          </w:p>
        </w:tc>
        <w:tc>
          <w:tcPr>
            <w:tcW w:w="120" w:type="dxa"/>
            <w:vAlign w:val="bottom"/>
            <w:shd w:val="clear" w:color="auto" w:fill="CFF0FC"/>
          </w:tcPr>
          <w:p>
            <w:pPr>
              <w:spacing w:after="0"/>
              <w:rPr>
                <w:sz w:val="20"/>
                <w:szCs w:val="20"/>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551,050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5"/>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Goodwill and other intangible assets (net of accumulated amortization</w:t>
            </w:r>
          </w:p>
        </w:tc>
        <w:tc>
          <w:tcPr>
            <w:tcW w:w="1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 $65,757 and $63,591 at December 31, 2019 and 2018, respectively)</w:t>
            </w:r>
          </w:p>
        </w:tc>
        <w:tc>
          <w:tcPr>
            <w:tcW w:w="1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351,797</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354,463</w:t>
            </w:r>
          </w:p>
        </w:tc>
        <w:tc>
          <w:tcPr>
            <w:tcW w:w="120" w:type="dxa"/>
            <w:vAlign w:val="bottom"/>
            <w:shd w:val="clear" w:color="auto" w:fill="CFF0FC"/>
          </w:tcPr>
          <w:p>
            <w:pPr>
              <w:spacing w:after="0"/>
              <w:rPr>
                <w:sz w:val="20"/>
                <w:szCs w:val="20"/>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Deferred tax assets</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55,728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55,042</w:t>
            </w: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256,435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258,413</w:t>
            </w:r>
          </w:p>
        </w:tc>
        <w:tc>
          <w:tcPr>
            <w:tcW w:w="120" w:type="dxa"/>
            <w:vAlign w:val="bottom"/>
            <w:shd w:val="clear" w:color="auto" w:fill="CFF0FC"/>
          </w:tcPr>
          <w:p>
            <w:pPr>
              <w:spacing w:after="0"/>
              <w:rPr>
                <w:sz w:val="19"/>
                <w:szCs w:val="19"/>
                <w:color w:val="auto"/>
              </w:rPr>
            </w:pPr>
          </w:p>
        </w:tc>
      </w:tr>
      <w:tr>
        <w:trPr>
          <w:trHeight w:val="223"/>
        </w:trPr>
        <w:tc>
          <w:tcPr>
            <w:tcW w:w="668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11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5,051,628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4,389,475</w:t>
            </w:r>
          </w:p>
        </w:tc>
        <w:tc>
          <w:tcPr>
            <w:tcW w:w="120" w:type="dxa"/>
            <w:vAlign w:val="bottom"/>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71" w:name="page72"/>
    <w:bookmarkEnd w:id="71"/>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660" w:type="dxa"/>
            <w:vAlign w:val="bottom"/>
            <w:tcBorders>
              <w:bottom w:val="single" w:sz="8" w:color="CFF0FC"/>
            </w:tcBorders>
          </w:tcPr>
          <w:p>
            <w:pPr>
              <w:spacing w:after="0"/>
              <w:rPr>
                <w:sz w:val="13"/>
                <w:szCs w:val="13"/>
                <w:color w:val="auto"/>
              </w:rPr>
            </w:pPr>
          </w:p>
        </w:tc>
        <w:tc>
          <w:tcPr>
            <w:tcW w:w="1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6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MEMBERS’ EQUITY</w:t>
            </w:r>
          </w:p>
        </w:tc>
        <w:tc>
          <w:tcPr>
            <w:tcW w:w="1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Liabilities:</w:t>
            </w: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Deposits and other customer payables</w:t>
            </w:r>
          </w:p>
        </w:tc>
        <w:tc>
          <w:tcPr>
            <w:tcW w:w="15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1,246,200</w:t>
            </w:r>
          </w:p>
        </w:tc>
        <w:tc>
          <w:tcPr>
            <w:tcW w:w="2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33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1,154,208</w:t>
            </w:r>
          </w:p>
        </w:tc>
        <w:tc>
          <w:tcPr>
            <w:tcW w:w="120" w:type="dxa"/>
            <w:vAlign w:val="bottom"/>
            <w:shd w:val="clear" w:color="auto" w:fill="CFF0FC"/>
          </w:tcPr>
          <w:p>
            <w:pPr>
              <w:spacing w:after="0"/>
              <w:rPr>
                <w:sz w:val="19"/>
                <w:szCs w:val="19"/>
                <w:color w:val="auto"/>
              </w:rPr>
            </w:pPr>
          </w:p>
        </w:tc>
      </w:tr>
      <w:tr>
        <w:trPr>
          <w:trHeight w:val="230"/>
        </w:trPr>
        <w:tc>
          <w:tcPr>
            <w:tcW w:w="6660" w:type="dxa"/>
            <w:vAlign w:val="bottom"/>
          </w:tcPr>
          <w:p>
            <w:pPr>
              <w:ind w:left="260"/>
              <w:spacing w:after="0"/>
              <w:rPr>
                <w:sz w:val="20"/>
                <w:szCs w:val="20"/>
                <w:color w:val="auto"/>
              </w:rPr>
            </w:pPr>
            <w:r>
              <w:rPr>
                <w:rFonts w:ascii="Arial" w:cs="Arial" w:eastAsia="Arial" w:hAnsi="Arial"/>
                <w:sz w:val="18"/>
                <w:szCs w:val="18"/>
                <w:color w:val="auto"/>
              </w:rPr>
              <w:t>Accrued compensation and benefits</w:t>
            </w: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599,910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583,730</w:t>
            </w:r>
          </w:p>
        </w:tc>
        <w:tc>
          <w:tcPr>
            <w:tcW w:w="120" w:type="dxa"/>
            <w:vAlign w:val="bottom"/>
          </w:tcPr>
          <w:p>
            <w:pPr>
              <w:spacing w:after="0"/>
              <w:rPr>
                <w:sz w:val="19"/>
                <w:szCs w:val="19"/>
                <w:color w:val="auto"/>
              </w:rPr>
            </w:pPr>
          </w:p>
        </w:tc>
      </w:tr>
      <w:tr>
        <w:trPr>
          <w:trHeight w:val="230"/>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w:t>
            </w:r>
          </w:p>
        </w:tc>
        <w:tc>
          <w:tcPr>
            <w:tcW w:w="1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643,808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6660" w:type="dxa"/>
            <w:vAlign w:val="bottom"/>
          </w:tcPr>
          <w:p>
            <w:pPr>
              <w:ind w:left="260"/>
              <w:spacing w:after="0"/>
              <w:rPr>
                <w:sz w:val="20"/>
                <w:szCs w:val="20"/>
                <w:color w:val="auto"/>
              </w:rPr>
            </w:pPr>
            <w:r>
              <w:rPr>
                <w:rFonts w:ascii="Arial" w:cs="Arial" w:eastAsia="Arial" w:hAnsi="Arial"/>
                <w:sz w:val="18"/>
                <w:szCs w:val="18"/>
                <w:color w:val="auto"/>
              </w:rPr>
              <w:t>Senior debt</w:t>
            </w: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1,679,562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1,434,260</w:t>
            </w:r>
          </w:p>
        </w:tc>
        <w:tc>
          <w:tcPr>
            <w:tcW w:w="120" w:type="dxa"/>
            <w:vAlign w:val="bottom"/>
          </w:tcPr>
          <w:p>
            <w:pPr>
              <w:spacing w:after="0"/>
              <w:rPr>
                <w:sz w:val="19"/>
                <w:szCs w:val="19"/>
                <w:color w:val="auto"/>
              </w:rPr>
            </w:pPr>
          </w:p>
        </w:tc>
      </w:tr>
      <w:tr>
        <w:trPr>
          <w:trHeight w:val="230"/>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Payable to Lazard Ltd subsidiaries</w:t>
            </w:r>
          </w:p>
        </w:tc>
        <w:tc>
          <w:tcPr>
            <w:tcW w:w="1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63,399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63,185</w:t>
            </w:r>
          </w:p>
        </w:tc>
        <w:tc>
          <w:tcPr>
            <w:tcW w:w="120" w:type="dxa"/>
            <w:vAlign w:val="bottom"/>
            <w:shd w:val="clear" w:color="auto" w:fill="CFF0FC"/>
          </w:tcPr>
          <w:p>
            <w:pPr>
              <w:spacing w:after="0"/>
              <w:rPr>
                <w:sz w:val="19"/>
                <w:szCs w:val="19"/>
                <w:color w:val="auto"/>
              </w:rPr>
            </w:pPr>
          </w:p>
        </w:tc>
      </w:tr>
      <w:tr>
        <w:trPr>
          <w:trHeight w:val="230"/>
        </w:trPr>
        <w:tc>
          <w:tcPr>
            <w:tcW w:w="6660" w:type="dxa"/>
            <w:vAlign w:val="bottom"/>
          </w:tcPr>
          <w:p>
            <w:pPr>
              <w:ind w:left="260"/>
              <w:spacing w:after="0"/>
              <w:rPr>
                <w:sz w:val="20"/>
                <w:szCs w:val="20"/>
                <w:color w:val="auto"/>
              </w:rPr>
            </w:pPr>
            <w:r>
              <w:rPr>
                <w:rFonts w:ascii="Arial" w:cs="Arial" w:eastAsia="Arial" w:hAnsi="Arial"/>
                <w:sz w:val="18"/>
                <w:szCs w:val="18"/>
                <w:color w:val="auto"/>
              </w:rPr>
              <w:t>Deferred tax liabilities</w:t>
            </w: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3,497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5,539</w:t>
            </w:r>
          </w:p>
        </w:tc>
        <w:tc>
          <w:tcPr>
            <w:tcW w:w="120" w:type="dxa"/>
            <w:vAlign w:val="bottom"/>
          </w:tcPr>
          <w:p>
            <w:pPr>
              <w:spacing w:after="0"/>
              <w:rPr>
                <w:sz w:val="19"/>
                <w:szCs w:val="19"/>
                <w:color w:val="auto"/>
              </w:rPr>
            </w:pPr>
          </w:p>
        </w:tc>
      </w:tr>
      <w:tr>
        <w:trPr>
          <w:trHeight w:val="230"/>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liabilities</w:t>
            </w:r>
          </w:p>
        </w:tc>
        <w:tc>
          <w:tcPr>
            <w:tcW w:w="12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527,926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565,801</w:t>
            </w:r>
          </w:p>
        </w:tc>
        <w:tc>
          <w:tcPr>
            <w:tcW w:w="120" w:type="dxa"/>
            <w:vAlign w:val="bottom"/>
            <w:shd w:val="clear" w:color="auto" w:fill="CFF0FC"/>
          </w:tcPr>
          <w:p>
            <w:pPr>
              <w:spacing w:after="0"/>
              <w:rPr>
                <w:sz w:val="19"/>
                <w:szCs w:val="19"/>
                <w:color w:val="auto"/>
              </w:rPr>
            </w:pPr>
          </w:p>
        </w:tc>
      </w:tr>
      <w:tr>
        <w:trPr>
          <w:trHeight w:val="223"/>
        </w:trPr>
        <w:tc>
          <w:tcPr>
            <w:tcW w:w="666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4,764,302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3,806,723</w:t>
            </w:r>
          </w:p>
        </w:tc>
        <w:tc>
          <w:tcPr>
            <w:tcW w:w="120" w:type="dxa"/>
            <w:vAlign w:val="bottom"/>
          </w:tcPr>
          <w:p>
            <w:pPr>
              <w:spacing w:after="0"/>
              <w:rPr>
                <w:sz w:val="19"/>
                <w:szCs w:val="19"/>
                <w:color w:val="auto"/>
              </w:rPr>
            </w:pPr>
          </w:p>
        </w:tc>
      </w:tr>
      <w:tr>
        <w:trPr>
          <w:trHeight w:val="23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1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b w:val="1"/>
                <w:bCs w:val="1"/>
                <w:color w:val="auto"/>
              </w:rPr>
              <w:t>MEMBERS’ EQUITY</w:t>
            </w: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Members' equity (net of 7,675,688 and 16,737,000 shares of Lazard Ltd</w:t>
            </w:r>
          </w:p>
        </w:tc>
        <w:tc>
          <w:tcPr>
            <w:tcW w:w="1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60" w:type="dxa"/>
            <w:vAlign w:val="bottom"/>
            <w:shd w:val="clear" w:color="auto" w:fill="CFF0FC"/>
          </w:tcPr>
          <w:p>
            <w:pPr>
              <w:ind w:left="340"/>
              <w:spacing w:after="0"/>
              <w:rPr>
                <w:sz w:val="20"/>
                <w:szCs w:val="20"/>
                <w:color w:val="auto"/>
              </w:rPr>
            </w:pPr>
            <w:r>
              <w:rPr>
                <w:rFonts w:ascii="Arial" w:cs="Arial" w:eastAsia="Arial" w:hAnsi="Arial"/>
                <w:sz w:val="18"/>
                <w:szCs w:val="18"/>
                <w:color w:val="auto"/>
              </w:rPr>
              <w:t>Class A common stock, at a cost of $304,083 and $729,910 at</w:t>
            </w:r>
          </w:p>
        </w:tc>
        <w:tc>
          <w:tcPr>
            <w:tcW w:w="1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660" w:type="dxa"/>
            <w:vAlign w:val="bottom"/>
            <w:shd w:val="clear" w:color="auto" w:fill="CFF0FC"/>
          </w:tcPr>
          <w:p>
            <w:pPr>
              <w:ind w:left="340"/>
              <w:spacing w:after="0"/>
              <w:rPr>
                <w:sz w:val="20"/>
                <w:szCs w:val="20"/>
                <w:color w:val="auto"/>
              </w:rPr>
            </w:pPr>
            <w:r>
              <w:rPr>
                <w:rFonts w:ascii="Arial" w:cs="Arial" w:eastAsia="Arial" w:hAnsi="Arial"/>
                <w:sz w:val="18"/>
                <w:szCs w:val="18"/>
                <w:color w:val="auto"/>
              </w:rPr>
              <w:t>December 31, 2019 and 2018, respectively)</w:t>
            </w:r>
          </w:p>
        </w:tc>
        <w:tc>
          <w:tcPr>
            <w:tcW w:w="12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469,324</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758,705</w:t>
            </w:r>
          </w:p>
        </w:tc>
        <w:tc>
          <w:tcPr>
            <w:tcW w:w="120" w:type="dxa"/>
            <w:vAlign w:val="bottom"/>
            <w:shd w:val="clear" w:color="auto" w:fill="CFF0FC"/>
          </w:tcPr>
          <w:p>
            <w:pPr>
              <w:spacing w:after="0"/>
              <w:rPr>
                <w:sz w:val="20"/>
                <w:szCs w:val="20"/>
                <w:color w:val="auto"/>
              </w:rPr>
            </w:pPr>
          </w:p>
        </w:tc>
      </w:tr>
      <w:tr>
        <w:trPr>
          <w:trHeight w:val="230"/>
        </w:trPr>
        <w:tc>
          <w:tcPr>
            <w:tcW w:w="6660" w:type="dxa"/>
            <w:vAlign w:val="bottom"/>
          </w:tcPr>
          <w:p>
            <w:pPr>
              <w:ind w:left="260"/>
              <w:spacing w:after="0"/>
              <w:rPr>
                <w:sz w:val="20"/>
                <w:szCs w:val="20"/>
                <w:color w:val="auto"/>
              </w:rPr>
            </w:pPr>
            <w:r>
              <w:rPr>
                <w:rFonts w:ascii="Arial" w:cs="Arial" w:eastAsia="Arial" w:hAnsi="Arial"/>
                <w:sz w:val="18"/>
                <w:szCs w:val="18"/>
                <w:color w:val="auto"/>
              </w:rPr>
              <w:t>Accumulated other comprehensive loss, net of tax</w:t>
            </w: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(250,404)</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(228,660)</w:t>
            </w:r>
          </w:p>
        </w:tc>
      </w:tr>
      <w:tr>
        <w:trPr>
          <w:trHeight w:val="223"/>
        </w:trPr>
        <w:tc>
          <w:tcPr>
            <w:tcW w:w="6660" w:type="dxa"/>
            <w:vAlign w:val="bottom"/>
            <w:tcBorders>
              <w:top w:val="single" w:sz="8" w:color="CFF0FC"/>
            </w:tcBorders>
            <w:shd w:val="clear" w:color="auto" w:fill="CFF0FC"/>
          </w:tcPr>
          <w:p>
            <w:pPr>
              <w:ind w:left="540"/>
              <w:spacing w:after="0"/>
              <w:rPr>
                <w:sz w:val="20"/>
                <w:szCs w:val="20"/>
                <w:color w:val="auto"/>
              </w:rPr>
            </w:pPr>
            <w:r>
              <w:rPr>
                <w:rFonts w:ascii="Arial" w:cs="Arial" w:eastAsia="Arial" w:hAnsi="Arial"/>
                <w:sz w:val="18"/>
                <w:szCs w:val="18"/>
                <w:color w:val="auto"/>
              </w:rPr>
              <w:t>Total Lazard Group LLC Members' Equity</w:t>
            </w:r>
          </w:p>
        </w:tc>
        <w:tc>
          <w:tcPr>
            <w:tcW w:w="12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218,920</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530,045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6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Noncontrolling interests</w:t>
            </w:r>
          </w:p>
        </w:tc>
        <w:tc>
          <w:tcPr>
            <w:tcW w:w="1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68,406</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52,707</w:t>
            </w:r>
          </w:p>
        </w:tc>
        <w:tc>
          <w:tcPr>
            <w:tcW w:w="120" w:type="dxa"/>
            <w:vAlign w:val="bottom"/>
            <w:tcBorders>
              <w:bottom w:val="single" w:sz="8" w:color="CFF0FC"/>
            </w:tcBorders>
          </w:tcPr>
          <w:p>
            <w:pPr>
              <w:spacing w:after="0"/>
              <w:rPr>
                <w:sz w:val="19"/>
                <w:szCs w:val="19"/>
                <w:color w:val="auto"/>
              </w:rPr>
            </w:pPr>
          </w:p>
        </w:tc>
      </w:tr>
      <w:tr>
        <w:trPr>
          <w:trHeight w:val="223"/>
        </w:trPr>
        <w:tc>
          <w:tcPr>
            <w:tcW w:w="6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Members’ Equity</w:t>
            </w:r>
          </w:p>
        </w:tc>
        <w:tc>
          <w:tcPr>
            <w:tcW w:w="12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287,326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582,752</w:t>
            </w:r>
          </w:p>
        </w:tc>
        <w:tc>
          <w:tcPr>
            <w:tcW w:w="120" w:type="dxa"/>
            <w:vAlign w:val="bottom"/>
            <w:shd w:val="clear" w:color="auto" w:fill="CFF0FC"/>
          </w:tcPr>
          <w:p>
            <w:pPr>
              <w:spacing w:after="0"/>
              <w:rPr>
                <w:sz w:val="19"/>
                <w:szCs w:val="19"/>
                <w:color w:val="auto"/>
              </w:rPr>
            </w:pPr>
          </w:p>
        </w:tc>
      </w:tr>
      <w:tr>
        <w:trPr>
          <w:trHeight w:val="223"/>
        </w:trPr>
        <w:tc>
          <w:tcPr>
            <w:tcW w:w="6660" w:type="dxa"/>
            <w:vAlign w:val="bottom"/>
          </w:tcPr>
          <w:p>
            <w:pPr>
              <w:ind w:left="500"/>
              <w:spacing w:after="0"/>
              <w:rPr>
                <w:sz w:val="20"/>
                <w:szCs w:val="20"/>
                <w:color w:val="auto"/>
              </w:rPr>
            </w:pPr>
            <w:r>
              <w:rPr>
                <w:rFonts w:ascii="Arial" w:cs="Arial" w:eastAsia="Arial" w:hAnsi="Arial"/>
                <w:sz w:val="18"/>
                <w:szCs w:val="18"/>
                <w:color w:val="auto"/>
              </w:rPr>
              <w:t>Total Liabilities and Members’ Equity</w:t>
            </w:r>
          </w:p>
        </w:tc>
        <w:tc>
          <w:tcPr>
            <w:tcW w:w="12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5,051,628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4,389,475</w:t>
            </w:r>
          </w:p>
        </w:tc>
        <w:tc>
          <w:tcPr>
            <w:tcW w:w="12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8"/>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620" w:type="dxa"/>
            <w:vAlign w:val="bottom"/>
            <w:tcBorders>
              <w:bottom w:val="single" w:sz="8" w:color="CFF0FC"/>
            </w:tcBorders>
          </w:tcPr>
          <w:p>
            <w:pPr>
              <w:spacing w:after="0"/>
              <w:rPr>
                <w:sz w:val="13"/>
                <w:szCs w:val="13"/>
                <w:color w:val="auto"/>
              </w:rPr>
            </w:pPr>
          </w:p>
        </w:tc>
        <w:tc>
          <w:tcPr>
            <w:tcW w:w="11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5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Investment banking and other advisory fees</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1,349,548</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1,547,506</w:t>
            </w:r>
          </w:p>
        </w:tc>
        <w:tc>
          <w:tcPr>
            <w:tcW w:w="180" w:type="dxa"/>
            <w:vAlign w:val="bottom"/>
          </w:tcPr>
          <w:p>
            <w:pPr>
              <w:spacing w:after="0"/>
              <w:rPr>
                <w:sz w:val="19"/>
                <w:szCs w:val="19"/>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1,384,671</w:t>
            </w: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 management fees</w:t>
            </w: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1,180,857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1,268,399</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1,195,550</w:t>
            </w: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15,160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13,151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7,201</w:t>
            </w: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99,117</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49,858</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109,429</w:t>
            </w:r>
          </w:p>
        </w:tc>
        <w:tc>
          <w:tcPr>
            <w:tcW w:w="100" w:type="dxa"/>
            <w:vAlign w:val="bottom"/>
            <w:shd w:val="clear" w:color="auto" w:fill="CFF0FC"/>
          </w:tcPr>
          <w:p>
            <w:pPr>
              <w:spacing w:after="0"/>
              <w:rPr>
                <w:sz w:val="19"/>
                <w:szCs w:val="19"/>
                <w:color w:val="auto"/>
              </w:rPr>
            </w:pPr>
          </w:p>
        </w:tc>
      </w:tr>
      <w:tr>
        <w:trPr>
          <w:trHeight w:val="223"/>
        </w:trPr>
        <w:tc>
          <w:tcPr>
            <w:tcW w:w="562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2,644,682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2,878,914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2,696,851</w:t>
            </w: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1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81,989</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62,053</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57,254</w:t>
            </w:r>
          </w:p>
        </w:tc>
        <w:tc>
          <w:tcPr>
            <w:tcW w:w="100" w:type="dxa"/>
            <w:vAlign w:val="bottom"/>
            <w:shd w:val="clear" w:color="auto" w:fill="CFF0FC"/>
          </w:tcPr>
          <w:p>
            <w:pPr>
              <w:spacing w:after="0"/>
              <w:rPr>
                <w:sz w:val="19"/>
                <w:szCs w:val="19"/>
                <w:color w:val="auto"/>
              </w:rPr>
            </w:pPr>
          </w:p>
        </w:tc>
      </w:tr>
      <w:tr>
        <w:trPr>
          <w:trHeight w:val="223"/>
        </w:trPr>
        <w:tc>
          <w:tcPr>
            <w:tcW w:w="56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revenue</w:t>
            </w:r>
          </w:p>
        </w:tc>
        <w:tc>
          <w:tcPr>
            <w:tcW w:w="1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2,562,693</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2,816,861</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2,639,597</w:t>
            </w:r>
          </w:p>
        </w:tc>
        <w:tc>
          <w:tcPr>
            <w:tcW w:w="100" w:type="dxa"/>
            <w:vAlign w:val="bottom"/>
            <w:tcBorders>
              <w:bottom w:val="single" w:sz="8" w:color="CFF0FC"/>
            </w:tcBorders>
          </w:tcPr>
          <w:p>
            <w:pPr>
              <w:spacing w:after="0"/>
              <w:rPr>
                <w:sz w:val="19"/>
                <w:szCs w:val="19"/>
                <w:color w:val="auto"/>
              </w:rPr>
            </w:pPr>
          </w:p>
        </w:tc>
      </w:tr>
      <w:tr>
        <w:trPr>
          <w:trHeight w:val="223"/>
        </w:trPr>
        <w:tc>
          <w:tcPr>
            <w:tcW w:w="5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Compensation and benefits</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1,553,875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1,508,813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1,507,332</w:t>
            </w: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Occupancy and equipment</w:t>
            </w: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122,482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120,394</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124,636</w:t>
            </w: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Marketing and business development</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114,713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108,373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88,943</w:t>
            </w: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Technology and information services</w:t>
            </w: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143,591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139,587</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121,532</w:t>
            </w: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Professional services</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69,198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59,124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45,191</w:t>
            </w: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 administration and outsourced services</w:t>
            </w: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114,048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132,963</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71,254</w:t>
            </w: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Amortization and other acquisition-related (benefits) costs</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(957)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2,876</w:t>
            </w: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43,735</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89,281</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44,080</w:t>
            </w:r>
          </w:p>
        </w:tc>
        <w:tc>
          <w:tcPr>
            <w:tcW w:w="100" w:type="dxa"/>
            <w:vAlign w:val="bottom"/>
            <w:shd w:val="clear" w:color="auto" w:fill="CFF0FC"/>
          </w:tcPr>
          <w:p>
            <w:pPr>
              <w:spacing w:after="0"/>
              <w:rPr>
                <w:sz w:val="19"/>
                <w:szCs w:val="19"/>
                <w:color w:val="auto"/>
              </w:rPr>
            </w:pPr>
          </w:p>
        </w:tc>
      </w:tr>
      <w:tr>
        <w:trPr>
          <w:trHeight w:val="223"/>
        </w:trPr>
        <w:tc>
          <w:tcPr>
            <w:tcW w:w="56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2,162,499</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2,157,578</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2,005,844</w:t>
            </w:r>
          </w:p>
        </w:tc>
        <w:tc>
          <w:tcPr>
            <w:tcW w:w="100" w:type="dxa"/>
            <w:vAlign w:val="bottom"/>
            <w:tcBorders>
              <w:bottom w:val="single" w:sz="8" w:color="CFF0FC"/>
            </w:tcBorders>
          </w:tcPr>
          <w:p>
            <w:pPr>
              <w:spacing w:after="0"/>
              <w:rPr>
                <w:sz w:val="19"/>
                <w:szCs w:val="19"/>
                <w:color w:val="auto"/>
              </w:rPr>
            </w:pPr>
          </w:p>
        </w:tc>
      </w:tr>
      <w:tr>
        <w:trPr>
          <w:trHeight w:val="223"/>
        </w:trPr>
        <w:tc>
          <w:tcPr>
            <w:tcW w:w="5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INCOME</w:t>
            </w: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400,194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659,283</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633,753</w:t>
            </w: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Provision for income taxes</w:t>
            </w:r>
          </w:p>
        </w:tc>
        <w:tc>
          <w:tcPr>
            <w:tcW w:w="1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66,598</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88,363</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81,863</w:t>
            </w:r>
          </w:p>
        </w:tc>
        <w:tc>
          <w:tcPr>
            <w:tcW w:w="100" w:type="dxa"/>
            <w:vAlign w:val="bottom"/>
            <w:tcBorders>
              <w:bottom w:val="single" w:sz="8" w:color="CFF0FC"/>
            </w:tcBorders>
          </w:tcPr>
          <w:p>
            <w:pPr>
              <w:spacing w:after="0"/>
              <w:rPr>
                <w:sz w:val="19"/>
                <w:szCs w:val="19"/>
                <w:color w:val="auto"/>
              </w:rPr>
            </w:pPr>
          </w:p>
        </w:tc>
      </w:tr>
      <w:tr>
        <w:trPr>
          <w:trHeight w:val="223"/>
        </w:trPr>
        <w:tc>
          <w:tcPr>
            <w:tcW w:w="5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333,596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570,920</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551,890</w:t>
            </w:r>
          </w:p>
        </w:tc>
        <w:tc>
          <w:tcPr>
            <w:tcW w:w="100" w:type="dxa"/>
            <w:vAlign w:val="bottom"/>
            <w:shd w:val="clear" w:color="auto" w:fill="CFF0FC"/>
          </w:tcPr>
          <w:p>
            <w:pPr>
              <w:spacing w:after="0"/>
              <w:rPr>
                <w:sz w:val="19"/>
                <w:szCs w:val="19"/>
                <w:color w:val="auto"/>
              </w:rPr>
            </w:pPr>
          </w:p>
        </w:tc>
      </w:tr>
      <w:tr>
        <w:trPr>
          <w:trHeight w:val="211"/>
        </w:trPr>
        <w:tc>
          <w:tcPr>
            <w:tcW w:w="5620" w:type="dxa"/>
            <w:vAlign w:val="bottom"/>
          </w:tcPr>
          <w:p>
            <w:pPr>
              <w:spacing w:after="0"/>
              <w:rPr>
                <w:sz w:val="20"/>
                <w:szCs w:val="20"/>
                <w:color w:val="auto"/>
              </w:rPr>
            </w:pPr>
            <w:r>
              <w:rPr>
                <w:rFonts w:ascii="Arial" w:cs="Arial" w:eastAsia="Arial" w:hAnsi="Arial"/>
                <w:sz w:val="18"/>
                <w:szCs w:val="18"/>
                <w:b w:val="1"/>
                <w:bCs w:val="1"/>
                <w:color w:val="auto"/>
              </w:rPr>
              <w:t>LESS - NET INCOME ATTRIBUTABLE TO</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620" w:type="dxa"/>
            <w:vAlign w:val="bottom"/>
            <w:tcBorders>
              <w:bottom w:val="single" w:sz="8" w:color="CFF0FC"/>
            </w:tcBorders>
          </w:tcPr>
          <w:p>
            <w:pPr>
              <w:ind w:left="140"/>
              <w:spacing w:after="0"/>
              <w:rPr>
                <w:sz w:val="20"/>
                <w:szCs w:val="20"/>
                <w:color w:val="auto"/>
              </w:rPr>
            </w:pPr>
            <w:r>
              <w:rPr>
                <w:rFonts w:ascii="Arial" w:cs="Arial" w:eastAsia="Arial" w:hAnsi="Arial"/>
                <w:sz w:val="18"/>
                <w:szCs w:val="18"/>
                <w:b w:val="1"/>
                <w:bCs w:val="1"/>
                <w:color w:val="auto"/>
              </w:rPr>
              <w:t>NONCONTROLLING INTERESTS</w:t>
            </w:r>
          </w:p>
        </w:tc>
        <w:tc>
          <w:tcPr>
            <w:tcW w:w="116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11,216</w:t>
            </w:r>
          </w:p>
        </w:tc>
        <w:tc>
          <w:tcPr>
            <w:tcW w:w="26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5,323</w:t>
            </w:r>
          </w:p>
        </w:tc>
        <w:tc>
          <w:tcPr>
            <w:tcW w:w="18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6,263</w:t>
            </w:r>
          </w:p>
        </w:tc>
        <w:tc>
          <w:tcPr>
            <w:tcW w:w="100" w:type="dxa"/>
            <w:vAlign w:val="bottom"/>
            <w:tcBorders>
              <w:bottom w:val="single" w:sz="8" w:color="CFF0FC"/>
            </w:tcBorders>
          </w:tcPr>
          <w:p>
            <w:pPr>
              <w:spacing w:after="0"/>
              <w:rPr>
                <w:sz w:val="20"/>
                <w:szCs w:val="20"/>
                <w:color w:val="auto"/>
              </w:rPr>
            </w:pPr>
          </w:p>
        </w:tc>
      </w:tr>
      <w:tr>
        <w:trPr>
          <w:trHeight w:val="205"/>
        </w:trPr>
        <w:tc>
          <w:tcPr>
            <w:tcW w:w="562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NET INCOME ATTRIBUTABLE TO LAZARD GROUP</w:t>
            </w:r>
          </w:p>
        </w:tc>
        <w:tc>
          <w:tcPr>
            <w:tcW w:w="1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56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LLC</w:t>
            </w: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322,380</w:t>
            </w: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565,597</w:t>
            </w:r>
          </w:p>
        </w:tc>
        <w:tc>
          <w:tcPr>
            <w:tcW w:w="18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545,627</w:t>
            </w:r>
          </w:p>
        </w:tc>
        <w:tc>
          <w:tcPr>
            <w:tcW w:w="100" w:type="dxa"/>
            <w:vAlign w:val="bottom"/>
            <w:shd w:val="clear" w:color="auto" w:fill="CFF0FC"/>
          </w:tcPr>
          <w:p>
            <w:pPr>
              <w:spacing w:after="0"/>
              <w:rPr>
                <w:sz w:val="20"/>
                <w:szCs w:val="20"/>
                <w:color w:val="auto"/>
              </w:rPr>
            </w:pPr>
          </w:p>
        </w:tc>
      </w:tr>
      <w:tr>
        <w:trPr>
          <w:trHeight w:val="20"/>
        </w:trPr>
        <w:tc>
          <w:tcPr>
            <w:tcW w:w="562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3" w:name="page74"/>
    <w:bookmarkEnd w:id="73"/>
    <w:p>
      <w:pPr>
        <w:jc w:val="center"/>
        <w:ind w:right="-79"/>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3"/>
              </w:rPr>
              <w:t>Year Ended December 31,</w:t>
            </w: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8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6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333,596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570,920</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551,890</w:t>
            </w:r>
          </w:p>
        </w:tc>
        <w:tc>
          <w:tcPr>
            <w:tcW w:w="100" w:type="dxa"/>
            <w:vAlign w:val="bottom"/>
            <w:shd w:val="clear" w:color="auto" w:fill="CFF0FC"/>
          </w:tcPr>
          <w:p>
            <w:pPr>
              <w:spacing w:after="0"/>
              <w:rPr>
                <w:sz w:val="19"/>
                <w:szCs w:val="19"/>
                <w:color w:val="auto"/>
              </w:rPr>
            </w:pPr>
          </w:p>
        </w:tc>
      </w:tr>
      <w:tr>
        <w:trPr>
          <w:trHeight w:val="205"/>
        </w:trPr>
        <w:tc>
          <w:tcPr>
            <w:tcW w:w="6820" w:type="dxa"/>
            <w:vAlign w:val="bottom"/>
          </w:tcPr>
          <w:p>
            <w:pPr>
              <w:spacing w:after="0" w:line="205" w:lineRule="exact"/>
              <w:rPr>
                <w:sz w:val="20"/>
                <w:szCs w:val="20"/>
                <w:color w:val="auto"/>
              </w:rPr>
            </w:pPr>
            <w:r>
              <w:rPr>
                <w:rFonts w:ascii="Arial" w:cs="Arial" w:eastAsia="Arial" w:hAnsi="Arial"/>
                <w:sz w:val="18"/>
                <w:szCs w:val="18"/>
                <w:b w:val="1"/>
                <w:bCs w:val="1"/>
                <w:color w:val="auto"/>
              </w:rPr>
              <w:t>OTHER COMPREHENSIVE INCOME (LOSS), NET OF</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20" w:type="dxa"/>
            <w:vAlign w:val="bottom"/>
          </w:tcPr>
          <w:p>
            <w:pPr>
              <w:ind w:left="180"/>
              <w:spacing w:after="0"/>
              <w:rPr>
                <w:sz w:val="20"/>
                <w:szCs w:val="20"/>
                <w:color w:val="auto"/>
              </w:rPr>
            </w:pPr>
            <w:r>
              <w:rPr>
                <w:rFonts w:ascii="Arial" w:cs="Arial" w:eastAsia="Arial" w:hAnsi="Arial"/>
                <w:sz w:val="18"/>
                <w:szCs w:val="18"/>
                <w:b w:val="1"/>
                <w:bCs w:val="1"/>
                <w:color w:val="auto"/>
              </w:rPr>
              <w:t>TAX:</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6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Currency translation adjustments</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(39,039)</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65,516</w:t>
            </w:r>
          </w:p>
        </w:tc>
        <w:tc>
          <w:tcPr>
            <w:tcW w:w="100" w:type="dxa"/>
            <w:vAlign w:val="bottom"/>
            <w:shd w:val="clear" w:color="auto" w:fill="CFF0FC"/>
          </w:tcPr>
          <w:p>
            <w:pPr>
              <w:spacing w:after="0"/>
              <w:rPr>
                <w:sz w:val="19"/>
                <w:szCs w:val="19"/>
                <w:color w:val="auto"/>
              </w:rPr>
            </w:pPr>
          </w:p>
        </w:tc>
      </w:tr>
      <w:tr>
        <w:trPr>
          <w:trHeight w:val="230"/>
        </w:trPr>
        <w:tc>
          <w:tcPr>
            <w:tcW w:w="6820" w:type="dxa"/>
            <w:vAlign w:val="bottom"/>
          </w:tcPr>
          <w:p>
            <w:pPr>
              <w:ind w:left="260"/>
              <w:spacing w:after="0"/>
              <w:rPr>
                <w:sz w:val="20"/>
                <w:szCs w:val="20"/>
                <w:color w:val="auto"/>
              </w:rPr>
            </w:pPr>
            <w:r>
              <w:rPr>
                <w:rFonts w:ascii="Arial" w:cs="Arial" w:eastAsia="Arial" w:hAnsi="Arial"/>
                <w:sz w:val="18"/>
                <w:szCs w:val="18"/>
                <w:color w:val="auto"/>
              </w:rPr>
              <w:t>Employee benefit plans: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6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Prior service costs (net of tax benefit of $17 and $543</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20" w:type="dxa"/>
            <w:vAlign w:val="bottom"/>
            <w:shd w:val="clear" w:color="auto" w:fill="CFF0FC"/>
          </w:tcPr>
          <w:p>
            <w:pPr>
              <w:ind w:left="640"/>
              <w:spacing w:after="0"/>
              <w:rPr>
                <w:sz w:val="20"/>
                <w:szCs w:val="20"/>
                <w:color w:val="auto"/>
              </w:rPr>
            </w:pPr>
            <w:r>
              <w:rPr>
                <w:rFonts w:ascii="Arial" w:cs="Arial" w:eastAsia="Arial" w:hAnsi="Arial"/>
                <w:sz w:val="18"/>
                <w:szCs w:val="18"/>
                <w:color w:val="auto"/>
              </w:rPr>
              <w:t>for the years ended December 31, 2019 and 2018,</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820" w:type="dxa"/>
            <w:vAlign w:val="bottom"/>
            <w:shd w:val="clear" w:color="auto" w:fill="CFF0FC"/>
          </w:tcPr>
          <w:p>
            <w:pPr>
              <w:ind w:left="680"/>
              <w:spacing w:after="0"/>
              <w:rPr>
                <w:sz w:val="20"/>
                <w:szCs w:val="20"/>
                <w:color w:val="auto"/>
              </w:rPr>
            </w:pPr>
            <w:r>
              <w:rPr>
                <w:rFonts w:ascii="Arial" w:cs="Arial" w:eastAsia="Arial" w:hAnsi="Arial"/>
                <w:sz w:val="18"/>
                <w:szCs w:val="18"/>
                <w:color w:val="auto"/>
              </w:rPr>
              <w:t>respectively)</w:t>
            </w:r>
          </w:p>
        </w:tc>
        <w:tc>
          <w:tcPr>
            <w:tcW w:w="3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(2,653)</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r>
      <w:tr>
        <w:trPr>
          <w:trHeight w:val="215"/>
        </w:trPr>
        <w:tc>
          <w:tcPr>
            <w:tcW w:w="6820" w:type="dxa"/>
            <w:vAlign w:val="bottom"/>
          </w:tcPr>
          <w:p>
            <w:pPr>
              <w:ind w:left="500"/>
              <w:spacing w:after="0"/>
              <w:rPr>
                <w:sz w:val="20"/>
                <w:szCs w:val="20"/>
                <w:color w:val="auto"/>
              </w:rPr>
            </w:pPr>
            <w:r>
              <w:rPr>
                <w:rFonts w:ascii="Arial" w:cs="Arial" w:eastAsia="Arial" w:hAnsi="Arial"/>
                <w:sz w:val="18"/>
                <w:szCs w:val="18"/>
                <w:color w:val="auto"/>
              </w:rPr>
              <w:t>Actuarial gain (loss) (net of tax benefit of $8,396, $203</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tcPr>
          <w:p>
            <w:pPr>
              <w:ind w:left="640"/>
              <w:spacing w:after="0"/>
              <w:rPr>
                <w:sz w:val="20"/>
                <w:szCs w:val="20"/>
                <w:color w:val="auto"/>
              </w:rPr>
            </w:pPr>
            <w:r>
              <w:rPr>
                <w:rFonts w:ascii="Arial" w:cs="Arial" w:eastAsia="Arial" w:hAnsi="Arial"/>
                <w:sz w:val="18"/>
                <w:szCs w:val="18"/>
                <w:color w:val="auto"/>
              </w:rPr>
              <w:t>and $3,475 for the years ended December 31, 2019, 2018</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820" w:type="dxa"/>
            <w:vAlign w:val="bottom"/>
          </w:tcPr>
          <w:p>
            <w:pPr>
              <w:ind w:left="640"/>
              <w:spacing w:after="0"/>
              <w:rPr>
                <w:sz w:val="20"/>
                <w:szCs w:val="20"/>
                <w:color w:val="auto"/>
              </w:rPr>
            </w:pPr>
            <w:r>
              <w:rPr>
                <w:rFonts w:ascii="Arial" w:cs="Arial" w:eastAsia="Arial" w:hAnsi="Arial"/>
                <w:sz w:val="18"/>
                <w:szCs w:val="18"/>
                <w:color w:val="auto"/>
              </w:rPr>
              <w:t>and 2017, respectively)</w:t>
            </w:r>
          </w:p>
        </w:tc>
        <w:tc>
          <w:tcPr>
            <w:tcW w:w="30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(34,837)</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(2,447)</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2,054</w:t>
            </w:r>
          </w:p>
        </w:tc>
        <w:tc>
          <w:tcPr>
            <w:tcW w:w="100" w:type="dxa"/>
            <w:vAlign w:val="bottom"/>
          </w:tcPr>
          <w:p>
            <w:pPr>
              <w:spacing w:after="0"/>
              <w:rPr>
                <w:sz w:val="20"/>
                <w:szCs w:val="20"/>
                <w:color w:val="auto"/>
              </w:rPr>
            </w:pPr>
          </w:p>
        </w:tc>
      </w:tr>
      <w:tr>
        <w:trPr>
          <w:trHeight w:val="215"/>
        </w:trPr>
        <w:tc>
          <w:tcPr>
            <w:tcW w:w="6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Adjustment for items reclassified to earnings (net of</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20" w:type="dxa"/>
            <w:vAlign w:val="bottom"/>
            <w:shd w:val="clear" w:color="auto" w:fill="CFF0FC"/>
          </w:tcPr>
          <w:p>
            <w:pPr>
              <w:ind w:left="640"/>
              <w:spacing w:after="0"/>
              <w:rPr>
                <w:sz w:val="20"/>
                <w:szCs w:val="20"/>
                <w:color w:val="auto"/>
              </w:rPr>
            </w:pPr>
            <w:r>
              <w:rPr>
                <w:rFonts w:ascii="Arial" w:cs="Arial" w:eastAsia="Arial" w:hAnsi="Arial"/>
                <w:sz w:val="18"/>
                <w:szCs w:val="18"/>
                <w:color w:val="auto"/>
              </w:rPr>
              <w:t>tax expense of $1,167, $2,335 and $2,220 for the years</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820" w:type="dxa"/>
            <w:vAlign w:val="bottom"/>
            <w:shd w:val="clear" w:color="auto" w:fill="CFF0FC"/>
          </w:tcPr>
          <w:p>
            <w:pPr>
              <w:ind w:left="640"/>
              <w:spacing w:after="0"/>
              <w:rPr>
                <w:sz w:val="20"/>
                <w:szCs w:val="20"/>
                <w:color w:val="auto"/>
              </w:rPr>
            </w:pPr>
            <w:r>
              <w:rPr>
                <w:rFonts w:ascii="Arial" w:cs="Arial" w:eastAsia="Arial" w:hAnsi="Arial"/>
                <w:sz w:val="18"/>
                <w:szCs w:val="18"/>
                <w:color w:val="auto"/>
              </w:rPr>
              <w:t>ended December 31, 2019, 2018 and 2017, respectively)</w:t>
            </w:r>
          </w:p>
        </w:tc>
        <w:tc>
          <w:tcPr>
            <w:tcW w:w="3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4,717</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10,735</w:t>
            </w:r>
          </w:p>
        </w:tc>
        <w:tc>
          <w:tcPr>
            <w:tcW w:w="26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7,951</w:t>
            </w:r>
          </w:p>
        </w:tc>
        <w:tc>
          <w:tcPr>
            <w:tcW w:w="100" w:type="dxa"/>
            <w:vAlign w:val="bottom"/>
            <w:shd w:val="clear" w:color="auto" w:fill="CFF0FC"/>
          </w:tcPr>
          <w:p>
            <w:pPr>
              <w:spacing w:after="0"/>
              <w:rPr>
                <w:sz w:val="20"/>
                <w:szCs w:val="20"/>
                <w:color w:val="auto"/>
              </w:rPr>
            </w:pPr>
          </w:p>
        </w:tc>
      </w:tr>
      <w:tr>
        <w:trPr>
          <w:trHeight w:val="205"/>
        </w:trPr>
        <w:tc>
          <w:tcPr>
            <w:tcW w:w="6820" w:type="dxa"/>
            <w:vAlign w:val="bottom"/>
          </w:tcPr>
          <w:p>
            <w:pPr>
              <w:spacing w:after="0" w:line="205" w:lineRule="exact"/>
              <w:rPr>
                <w:sz w:val="20"/>
                <w:szCs w:val="20"/>
                <w:color w:val="auto"/>
              </w:rPr>
            </w:pPr>
            <w:r>
              <w:rPr>
                <w:rFonts w:ascii="Arial" w:cs="Arial" w:eastAsia="Arial" w:hAnsi="Arial"/>
                <w:sz w:val="18"/>
                <w:szCs w:val="18"/>
                <w:b w:val="1"/>
                <w:bCs w:val="1"/>
                <w:color w:val="auto"/>
              </w:rPr>
              <w:t>OTHER COMPREHENSIVE INCOME (LOSS), NET OF</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20" w:type="dxa"/>
            <w:vAlign w:val="bottom"/>
          </w:tcPr>
          <w:p>
            <w:pPr>
              <w:ind w:left="140"/>
              <w:spacing w:after="0"/>
              <w:rPr>
                <w:sz w:val="20"/>
                <w:szCs w:val="20"/>
                <w:color w:val="auto"/>
              </w:rPr>
            </w:pPr>
            <w:r>
              <w:rPr>
                <w:rFonts w:ascii="Arial" w:cs="Arial" w:eastAsia="Arial" w:hAnsi="Arial"/>
                <w:sz w:val="18"/>
                <w:szCs w:val="18"/>
                <w:b w:val="1"/>
                <w:bCs w:val="1"/>
                <w:color w:val="auto"/>
              </w:rPr>
              <w:t>TAX</w:t>
            </w:r>
          </w:p>
        </w:tc>
        <w:tc>
          <w:tcPr>
            <w:tcW w:w="30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(21,744)</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(33,404)</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75,521</w:t>
            </w:r>
          </w:p>
        </w:tc>
        <w:tc>
          <w:tcPr>
            <w:tcW w:w="100" w:type="dxa"/>
            <w:vAlign w:val="bottom"/>
          </w:tcPr>
          <w:p>
            <w:pPr>
              <w:spacing w:after="0"/>
              <w:rPr>
                <w:sz w:val="20"/>
                <w:szCs w:val="20"/>
                <w:color w:val="auto"/>
              </w:rPr>
            </w:pPr>
          </w:p>
        </w:tc>
      </w:tr>
      <w:tr>
        <w:trPr>
          <w:trHeight w:val="223"/>
        </w:trPr>
        <w:tc>
          <w:tcPr>
            <w:tcW w:w="6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COMPREHENSIVE INCOME</w:t>
            </w:r>
          </w:p>
        </w:tc>
        <w:tc>
          <w:tcPr>
            <w:tcW w:w="3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311,852</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537,516</w:t>
            </w: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627,411</w:t>
            </w:r>
          </w:p>
        </w:tc>
        <w:tc>
          <w:tcPr>
            <w:tcW w:w="100" w:type="dxa"/>
            <w:vAlign w:val="bottom"/>
            <w:tcBorders>
              <w:top w:val="single" w:sz="8" w:color="CFF0FC"/>
            </w:tcBorders>
            <w:shd w:val="clear" w:color="auto" w:fill="CFF0FC"/>
          </w:tcPr>
          <w:p>
            <w:pPr>
              <w:spacing w:after="0"/>
              <w:rPr>
                <w:sz w:val="19"/>
                <w:szCs w:val="19"/>
                <w:color w:val="auto"/>
              </w:rPr>
            </w:pPr>
          </w:p>
        </w:tc>
      </w:tr>
      <w:tr>
        <w:trPr>
          <w:trHeight w:val="211"/>
        </w:trPr>
        <w:tc>
          <w:tcPr>
            <w:tcW w:w="6820" w:type="dxa"/>
            <w:vAlign w:val="bottom"/>
          </w:tcPr>
          <w:p>
            <w:pPr>
              <w:spacing w:after="0"/>
              <w:rPr>
                <w:sz w:val="20"/>
                <w:szCs w:val="20"/>
                <w:color w:val="auto"/>
              </w:rPr>
            </w:pPr>
            <w:r>
              <w:rPr>
                <w:rFonts w:ascii="Arial" w:cs="Arial" w:eastAsia="Arial" w:hAnsi="Arial"/>
                <w:sz w:val="18"/>
                <w:szCs w:val="18"/>
                <w:b w:val="1"/>
                <w:bCs w:val="1"/>
                <w:color w:val="auto"/>
              </w:rPr>
              <w:t>LESS - COMPREHENSIVE INCOME ATTRIBUTABLE TO</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820" w:type="dxa"/>
            <w:vAlign w:val="bottom"/>
            <w:tcBorders>
              <w:bottom w:val="single" w:sz="8" w:color="CFF0FC"/>
            </w:tcBorders>
          </w:tcPr>
          <w:p>
            <w:pPr>
              <w:ind w:left="140"/>
              <w:spacing w:after="0"/>
              <w:rPr>
                <w:sz w:val="20"/>
                <w:szCs w:val="20"/>
                <w:color w:val="auto"/>
              </w:rPr>
            </w:pPr>
            <w:r>
              <w:rPr>
                <w:rFonts w:ascii="Arial" w:cs="Arial" w:eastAsia="Arial" w:hAnsi="Arial"/>
                <w:sz w:val="18"/>
                <w:szCs w:val="18"/>
                <w:b w:val="1"/>
                <w:bCs w:val="1"/>
                <w:color w:val="auto"/>
              </w:rPr>
              <w:t>NONCONTROLLING INTERESTS</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11,216</w:t>
            </w:r>
          </w:p>
        </w:tc>
        <w:tc>
          <w:tcPr>
            <w:tcW w:w="80" w:type="dxa"/>
            <w:vAlign w:val="bottom"/>
            <w:tcBorders>
              <w:bottom w:val="single" w:sz="8" w:color="CFF0FC"/>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5,323</w:t>
            </w:r>
          </w:p>
        </w:tc>
        <w:tc>
          <w:tcPr>
            <w:tcW w:w="26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6,265</w:t>
            </w:r>
          </w:p>
        </w:tc>
        <w:tc>
          <w:tcPr>
            <w:tcW w:w="100" w:type="dxa"/>
            <w:vAlign w:val="bottom"/>
            <w:tcBorders>
              <w:bottom w:val="single" w:sz="8" w:color="CFF0FC"/>
            </w:tcBorders>
          </w:tcPr>
          <w:p>
            <w:pPr>
              <w:spacing w:after="0"/>
              <w:rPr>
                <w:sz w:val="20"/>
                <w:szCs w:val="20"/>
                <w:color w:val="auto"/>
              </w:rPr>
            </w:pPr>
          </w:p>
        </w:tc>
      </w:tr>
      <w:tr>
        <w:trPr>
          <w:trHeight w:val="205"/>
        </w:trPr>
        <w:tc>
          <w:tcPr>
            <w:tcW w:w="682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COMPREHENSIVE INCOME ATTRIBUTABLE TO</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68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LAZARD GROUP LLC</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300,636</w:t>
            </w:r>
          </w:p>
        </w:tc>
        <w:tc>
          <w:tcPr>
            <w:tcW w:w="8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532,193</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621,146</w:t>
            </w:r>
          </w:p>
        </w:tc>
        <w:tc>
          <w:tcPr>
            <w:tcW w:w="100" w:type="dxa"/>
            <w:vAlign w:val="bottom"/>
            <w:shd w:val="clear" w:color="auto" w:fill="CFF0FC"/>
          </w:tcPr>
          <w:p>
            <w:pPr>
              <w:spacing w:after="0"/>
              <w:rPr>
                <w:sz w:val="20"/>
                <w:szCs w:val="20"/>
                <w:color w:val="auto"/>
              </w:rPr>
            </w:pPr>
          </w:p>
        </w:tc>
      </w:tr>
      <w:tr>
        <w:trPr>
          <w:trHeight w:val="20"/>
        </w:trPr>
        <w:tc>
          <w:tcPr>
            <w:tcW w:w="68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74" w:name="page75"/>
    <w:bookmarkEnd w:id="74"/>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tcBorders>
              <w:bottom w:val="single" w:sz="8" w:color="CFF0FC"/>
            </w:tcBorders>
          </w:tcPr>
          <w:p>
            <w:pPr>
              <w:spacing w:after="0"/>
              <w:rPr>
                <w:sz w:val="13"/>
                <w:szCs w:val="13"/>
                <w:color w:val="auto"/>
              </w:rPr>
            </w:pPr>
          </w:p>
        </w:tc>
        <w:tc>
          <w:tcPr>
            <w:tcW w:w="10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9"/>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40" w:type="dxa"/>
            <w:vAlign w:val="bottom"/>
          </w:tcPr>
          <w:p>
            <w:pPr>
              <w:spacing w:after="0"/>
              <w:rPr>
                <w:sz w:val="20"/>
                <w:szCs w:val="20"/>
                <w:color w:val="auto"/>
              </w:rPr>
            </w:pPr>
            <w:r>
              <w:rPr>
                <w:rFonts w:ascii="Arial" w:cs="Arial" w:eastAsia="Arial" w:hAnsi="Arial"/>
                <w:sz w:val="16"/>
                <w:szCs w:val="16"/>
                <w:color w:val="auto"/>
              </w:rPr>
              <w:t>Net income</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333,596</w:t>
            </w:r>
          </w:p>
        </w:tc>
        <w:tc>
          <w:tcPr>
            <w:tcW w:w="10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570,920</w:t>
            </w:r>
          </w:p>
        </w:tc>
        <w:tc>
          <w:tcPr>
            <w:tcW w:w="22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551,890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income to net cash provided by (used in)</w:t>
            </w: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operating activities:</w:t>
            </w: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500"/>
              <w:spacing w:after="0"/>
              <w:rPr>
                <w:sz w:val="20"/>
                <w:szCs w:val="20"/>
                <w:color w:val="auto"/>
              </w:rPr>
            </w:pPr>
            <w:r>
              <w:rPr>
                <w:rFonts w:ascii="Arial" w:cs="Arial" w:eastAsia="Arial" w:hAnsi="Arial"/>
                <w:sz w:val="16"/>
                <w:szCs w:val="16"/>
                <w:color w:val="auto"/>
              </w:rPr>
              <w:t>Depreciation and amortization of property</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35,260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33,778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31,491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Noncash lease expense</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59,929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840" w:type="dxa"/>
            <w:vAlign w:val="bottom"/>
          </w:tcPr>
          <w:p>
            <w:pPr>
              <w:ind w:left="500"/>
              <w:spacing w:after="0"/>
              <w:rPr>
                <w:sz w:val="20"/>
                <w:szCs w:val="20"/>
                <w:color w:val="auto"/>
              </w:rPr>
            </w:pPr>
            <w:r>
              <w:rPr>
                <w:rFonts w:ascii="Arial" w:cs="Arial" w:eastAsia="Arial" w:hAnsi="Arial"/>
                <w:sz w:val="16"/>
                <w:szCs w:val="16"/>
                <w:color w:val="auto"/>
              </w:rPr>
              <w:t>Amortization of deferred expenses and share-based incentive</w:t>
            </w: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40" w:type="dxa"/>
            <w:vAlign w:val="bottom"/>
          </w:tcPr>
          <w:p>
            <w:pPr>
              <w:ind w:left="620"/>
              <w:spacing w:after="0"/>
              <w:rPr>
                <w:sz w:val="20"/>
                <w:szCs w:val="20"/>
                <w:color w:val="auto"/>
              </w:rPr>
            </w:pPr>
            <w:r>
              <w:rPr>
                <w:rFonts w:ascii="Arial" w:cs="Arial" w:eastAsia="Arial" w:hAnsi="Arial"/>
                <w:sz w:val="16"/>
                <w:szCs w:val="16"/>
                <w:color w:val="auto"/>
              </w:rPr>
              <w:t>compensation</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364,447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369,888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358,039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 and other acquisition-related (benefits) costs</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(957)</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500"/>
              <w:spacing w:after="0"/>
              <w:rPr>
                <w:sz w:val="20"/>
                <w:szCs w:val="20"/>
                <w:color w:val="auto"/>
              </w:rPr>
            </w:pPr>
            <w:r>
              <w:rPr>
                <w:rFonts w:ascii="Arial" w:cs="Arial" w:eastAsia="Arial" w:hAnsi="Arial"/>
                <w:sz w:val="16"/>
                <w:szCs w:val="16"/>
                <w:color w:val="auto"/>
              </w:rPr>
              <w:t>Deferred tax provision (benefit)</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(9,337)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16,385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Loss on extinguishment of debt</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6,505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6,523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840" w:type="dxa"/>
            <w:vAlign w:val="bottom"/>
          </w:tcPr>
          <w:p>
            <w:pPr>
              <w:ind w:left="260"/>
              <w:spacing w:after="0"/>
              <w:rPr>
                <w:sz w:val="20"/>
                <w:szCs w:val="20"/>
                <w:color w:val="auto"/>
              </w:rPr>
            </w:pPr>
            <w:r>
              <w:rPr>
                <w:rFonts w:ascii="Arial" w:cs="Arial" w:eastAsia="Arial" w:hAnsi="Arial"/>
                <w:sz w:val="16"/>
                <w:szCs w:val="16"/>
                <w:color w:val="auto"/>
              </w:rPr>
              <w:t>(Increase) decrease in operating assets and increase (decrease) in</w:t>
            </w: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40" w:type="dxa"/>
            <w:vAlign w:val="bottom"/>
          </w:tcPr>
          <w:p>
            <w:pPr>
              <w:ind w:left="380"/>
              <w:spacing w:after="0"/>
              <w:rPr>
                <w:sz w:val="20"/>
                <w:szCs w:val="20"/>
                <w:color w:val="auto"/>
              </w:rPr>
            </w:pPr>
            <w:r>
              <w:rPr>
                <w:rFonts w:ascii="Arial" w:cs="Arial" w:eastAsia="Arial" w:hAnsi="Arial"/>
                <w:sz w:val="16"/>
                <w:szCs w:val="16"/>
                <w:color w:val="auto"/>
              </w:rPr>
              <w:t>operating liabilities: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Receivables-net</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19,910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(133,156)</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107,543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500"/>
              <w:spacing w:after="0"/>
              <w:rPr>
                <w:sz w:val="20"/>
                <w:szCs w:val="20"/>
                <w:color w:val="auto"/>
              </w:rPr>
            </w:pPr>
            <w:r>
              <w:rPr>
                <w:rFonts w:ascii="Arial" w:cs="Arial" w:eastAsia="Arial" w:hAnsi="Arial"/>
                <w:sz w:val="16"/>
                <w:szCs w:val="16"/>
                <w:color w:val="auto"/>
              </w:rPr>
              <w:t>Investments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54,828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(150,839)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28,922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assets</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(124,642)</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(139,952)</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(79,120)</w:t>
            </w:r>
          </w:p>
        </w:tc>
        <w:tc>
          <w:tcPr>
            <w:tcW w:w="0" w:type="dxa"/>
            <w:vAlign w:val="bottom"/>
          </w:tcPr>
          <w:p>
            <w:pPr>
              <w:spacing w:after="0"/>
              <w:rPr>
                <w:sz w:val="1"/>
                <w:szCs w:val="1"/>
                <w:color w:val="auto"/>
              </w:rPr>
            </w:pPr>
          </w:p>
        </w:tc>
      </w:tr>
      <w:tr>
        <w:trPr>
          <w:trHeight w:val="213"/>
        </w:trPr>
        <w:tc>
          <w:tcPr>
            <w:tcW w:w="5840" w:type="dxa"/>
            <w:vAlign w:val="bottom"/>
          </w:tcPr>
          <w:p>
            <w:pPr>
              <w:ind w:left="500"/>
              <w:spacing w:after="0"/>
              <w:rPr>
                <w:sz w:val="20"/>
                <w:szCs w:val="20"/>
                <w:color w:val="auto"/>
              </w:rPr>
            </w:pPr>
            <w:r>
              <w:rPr>
                <w:rFonts w:ascii="Arial" w:cs="Arial" w:eastAsia="Arial" w:hAnsi="Arial"/>
                <w:sz w:val="16"/>
                <w:szCs w:val="16"/>
                <w:color w:val="auto"/>
              </w:rPr>
              <w:t>Accrued compensation and benefits and other liabilities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(94,629)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160,258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31,373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4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6"/>
                <w:szCs w:val="16"/>
                <w:color w:val="auto"/>
              </w:rPr>
              <w:t>Net cash provided by operating activities</w:t>
            </w:r>
          </w:p>
        </w:tc>
        <w:tc>
          <w:tcPr>
            <w:tcW w:w="10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657,634</w:t>
            </w: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707,126</w:t>
            </w: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1,049,399</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84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Additions to property</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(42,753)</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(49,390)</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(26,234)</w:t>
            </w:r>
          </w:p>
        </w:tc>
        <w:tc>
          <w:tcPr>
            <w:tcW w:w="0" w:type="dxa"/>
            <w:vAlign w:val="bottom"/>
          </w:tcPr>
          <w:p>
            <w:pPr>
              <w:spacing w:after="0"/>
              <w:rPr>
                <w:sz w:val="1"/>
                <w:szCs w:val="1"/>
                <w:color w:val="auto"/>
              </w:rPr>
            </w:pPr>
          </w:p>
        </w:tc>
      </w:tr>
      <w:tr>
        <w:trPr>
          <w:trHeight w:val="213"/>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Disposals of property</w:t>
            </w:r>
          </w:p>
        </w:tc>
        <w:tc>
          <w:tcPr>
            <w:tcW w:w="10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w:t>
            </w: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3,384</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40" w:type="dxa"/>
            <w:vAlign w:val="bottom"/>
            <w:shd w:val="clear" w:color="auto" w:fill="CFF0FC"/>
          </w:tcPr>
          <w:p>
            <w:pPr>
              <w:ind w:left="740"/>
              <w:spacing w:after="0"/>
              <w:rPr>
                <w:sz w:val="20"/>
                <w:szCs w:val="20"/>
                <w:color w:val="auto"/>
              </w:rPr>
            </w:pPr>
            <w:r>
              <w:rPr>
                <w:rFonts w:ascii="Arial" w:cs="Arial" w:eastAsia="Arial" w:hAnsi="Arial"/>
                <w:sz w:val="16"/>
                <w:szCs w:val="16"/>
                <w:color w:val="auto"/>
              </w:rPr>
              <w:t>Net cash used in investing activities</w:t>
            </w: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(42,244)</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(46,006)</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(25,484)</w:t>
            </w:r>
          </w:p>
        </w:tc>
        <w:tc>
          <w:tcPr>
            <w:tcW w:w="0" w:type="dxa"/>
            <w:vAlign w:val="bottom"/>
          </w:tcPr>
          <w:p>
            <w:pPr>
              <w:spacing w:after="0"/>
              <w:rPr>
                <w:sz w:val="1"/>
                <w:szCs w:val="1"/>
                <w:color w:val="auto"/>
              </w:rPr>
            </w:pPr>
          </w:p>
        </w:tc>
      </w:tr>
      <w:tr>
        <w:trPr>
          <w:trHeight w:val="207"/>
        </w:trPr>
        <w:tc>
          <w:tcPr>
            <w:tcW w:w="584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0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500"/>
              <w:spacing w:after="0"/>
              <w:rPr>
                <w:sz w:val="20"/>
                <w:szCs w:val="20"/>
                <w:color w:val="auto"/>
              </w:rPr>
            </w:pPr>
            <w:r>
              <w:rPr>
                <w:rFonts w:ascii="Arial" w:cs="Arial" w:eastAsia="Arial" w:hAnsi="Arial"/>
                <w:sz w:val="16"/>
                <w:szCs w:val="16"/>
                <w:color w:val="auto"/>
              </w:rPr>
              <w:t>Issuance of senior debt, net of expenses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492,032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490,970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Customer deposits</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211,997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112,061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421,885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500"/>
              <w:spacing w:after="0"/>
              <w:rPr>
                <w:sz w:val="20"/>
                <w:szCs w:val="20"/>
                <w:color w:val="auto"/>
              </w:rPr>
            </w:pPr>
            <w:r>
              <w:rPr>
                <w:rFonts w:ascii="Arial" w:cs="Arial" w:eastAsia="Arial" w:hAnsi="Arial"/>
                <w:sz w:val="16"/>
                <w:szCs w:val="16"/>
                <w:color w:val="auto"/>
              </w:rPr>
              <w:t>Contributions from noncontrolling interests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1,681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financing activities</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Payments for:</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Senior debt</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(255,746)</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(255,543)</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500"/>
              <w:spacing w:after="0"/>
              <w:rPr>
                <w:sz w:val="20"/>
                <w:szCs w:val="20"/>
                <w:color w:val="auto"/>
              </w:rPr>
            </w:pPr>
            <w:r>
              <w:rPr>
                <w:rFonts w:ascii="Arial" w:cs="Arial" w:eastAsia="Arial" w:hAnsi="Arial"/>
                <w:sz w:val="16"/>
                <w:szCs w:val="16"/>
                <w:color w:val="auto"/>
              </w:rPr>
              <w:t>Distributions to noncontrolling interests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(13,235)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(12,879)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(5,133)</w:t>
            </w: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Purchase of Class A common stock</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(494,687)</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(552,872)</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(310,872)</w:t>
            </w:r>
          </w:p>
        </w:tc>
        <w:tc>
          <w:tcPr>
            <w:tcW w:w="0" w:type="dxa"/>
            <w:vAlign w:val="bottom"/>
          </w:tcPr>
          <w:p>
            <w:pPr>
              <w:spacing w:after="0"/>
              <w:rPr>
                <w:sz w:val="1"/>
                <w:szCs w:val="1"/>
                <w:color w:val="auto"/>
              </w:rPr>
            </w:pPr>
          </w:p>
        </w:tc>
      </w:tr>
      <w:tr>
        <w:trPr>
          <w:trHeight w:val="213"/>
        </w:trPr>
        <w:tc>
          <w:tcPr>
            <w:tcW w:w="5840" w:type="dxa"/>
            <w:vAlign w:val="bottom"/>
          </w:tcPr>
          <w:p>
            <w:pPr>
              <w:ind w:left="500"/>
              <w:spacing w:after="0"/>
              <w:rPr>
                <w:sz w:val="20"/>
                <w:szCs w:val="20"/>
                <w:color w:val="auto"/>
              </w:rPr>
            </w:pPr>
            <w:r>
              <w:rPr>
                <w:rFonts w:ascii="Arial" w:cs="Arial" w:eastAsia="Arial" w:hAnsi="Arial"/>
                <w:sz w:val="16"/>
                <w:szCs w:val="16"/>
                <w:color w:val="auto"/>
              </w:rPr>
              <w:t>Distribution to members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(263,935)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(448,912)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(346,072)</w:t>
            </w: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Settlement of share-based incentive compensation</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(99,960)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(110,361)</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(67,899)</w:t>
            </w:r>
          </w:p>
        </w:tc>
        <w:tc>
          <w:tcPr>
            <w:tcW w:w="0" w:type="dxa"/>
            <w:vAlign w:val="bottom"/>
          </w:tcPr>
          <w:p>
            <w:pPr>
              <w:spacing w:after="0"/>
              <w:rPr>
                <w:sz w:val="1"/>
                <w:szCs w:val="1"/>
                <w:color w:val="auto"/>
              </w:rPr>
            </w:pPr>
          </w:p>
        </w:tc>
      </w:tr>
      <w:tr>
        <w:trPr>
          <w:trHeight w:val="213"/>
        </w:trPr>
        <w:tc>
          <w:tcPr>
            <w:tcW w:w="5840" w:type="dxa"/>
            <w:vAlign w:val="bottom"/>
          </w:tcPr>
          <w:p>
            <w:pPr>
              <w:ind w:left="500"/>
              <w:spacing w:after="0"/>
              <w:rPr>
                <w:sz w:val="20"/>
                <w:szCs w:val="20"/>
                <w:color w:val="auto"/>
              </w:rPr>
            </w:pPr>
            <w:r>
              <w:rPr>
                <w:rFonts w:ascii="Arial" w:cs="Arial" w:eastAsia="Arial" w:hAnsi="Arial"/>
                <w:sz w:val="16"/>
                <w:szCs w:val="16"/>
                <w:color w:val="auto"/>
              </w:rPr>
              <w:t>Other financing activities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(7,592)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(6,407)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(18,381)</w:t>
            </w:r>
          </w:p>
        </w:tc>
        <w:tc>
          <w:tcPr>
            <w:tcW w:w="0" w:type="dxa"/>
            <w:vAlign w:val="bottom"/>
          </w:tcPr>
          <w:p>
            <w:pPr>
              <w:spacing w:after="0"/>
              <w:rPr>
                <w:sz w:val="1"/>
                <w:szCs w:val="1"/>
                <w:color w:val="auto"/>
              </w:rPr>
            </w:pPr>
          </w:p>
        </w:tc>
      </w:tr>
      <w:tr>
        <w:trPr>
          <w:trHeight w:val="20"/>
        </w:trPr>
        <w:tc>
          <w:tcPr>
            <w:tcW w:w="5840" w:type="dxa"/>
            <w:vAlign w:val="bottom"/>
            <w:vMerge w:val="restart"/>
            <w:shd w:val="clear" w:color="auto" w:fill="CFF0FC"/>
          </w:tcPr>
          <w:p>
            <w:pPr>
              <w:ind w:left="740"/>
              <w:spacing w:after="0"/>
              <w:rPr>
                <w:sz w:val="20"/>
                <w:szCs w:val="20"/>
                <w:color w:val="auto"/>
              </w:rPr>
            </w:pPr>
            <w:r>
              <w:rPr>
                <w:rFonts w:ascii="Arial" w:cs="Arial" w:eastAsia="Arial" w:hAnsi="Arial"/>
                <w:sz w:val="16"/>
                <w:szCs w:val="16"/>
                <w:color w:val="auto"/>
              </w:rPr>
              <w:t>Net cash used in financing activities</w:t>
            </w:r>
          </w:p>
        </w:tc>
        <w:tc>
          <w:tcPr>
            <w:tcW w:w="10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840" w:type="dxa"/>
            <w:vAlign w:val="bottom"/>
            <w:vMerge w:val="continue"/>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(429,361)</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(782,237)</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(326,472)</w:t>
            </w:r>
          </w:p>
        </w:tc>
        <w:tc>
          <w:tcPr>
            <w:tcW w:w="0" w:type="dxa"/>
            <w:vAlign w:val="bottom"/>
          </w:tcPr>
          <w:p>
            <w:pPr>
              <w:spacing w:after="0"/>
              <w:rPr>
                <w:sz w:val="1"/>
                <w:szCs w:val="1"/>
                <w:color w:val="auto"/>
              </w:rPr>
            </w:pPr>
          </w:p>
        </w:tc>
      </w:tr>
      <w:tr>
        <w:trPr>
          <w:trHeight w:val="196"/>
        </w:trPr>
        <w:tc>
          <w:tcPr>
            <w:tcW w:w="5840" w:type="dxa"/>
            <w:vAlign w:val="bottom"/>
          </w:tcPr>
          <w:p>
            <w:pPr>
              <w:spacing w:after="0"/>
              <w:rPr>
                <w:sz w:val="20"/>
                <w:szCs w:val="20"/>
                <w:color w:val="auto"/>
              </w:rPr>
            </w:pPr>
            <w:r>
              <w:rPr>
                <w:rFonts w:ascii="Arial" w:cs="Arial" w:eastAsia="Arial" w:hAnsi="Arial"/>
                <w:sz w:val="16"/>
                <w:szCs w:val="16"/>
                <w:b w:val="1"/>
                <w:bCs w:val="1"/>
                <w:color w:val="auto"/>
              </w:rPr>
              <w:t>EFFECT OF EXCHANGE RATE CHANGES ON CASH AND</w:t>
            </w:r>
          </w:p>
        </w:tc>
        <w:tc>
          <w:tcPr>
            <w:tcW w:w="10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120"/>
              <w:spacing w:after="0"/>
              <w:rPr>
                <w:sz w:val="20"/>
                <w:szCs w:val="20"/>
                <w:color w:val="auto"/>
              </w:rPr>
            </w:pPr>
            <w:r>
              <w:rPr>
                <w:rFonts w:ascii="Arial" w:cs="Arial" w:eastAsia="Arial" w:hAnsi="Arial"/>
                <w:sz w:val="16"/>
                <w:szCs w:val="16"/>
                <w:b w:val="1"/>
                <w:bCs w:val="1"/>
                <w:color w:val="auto"/>
              </w:rPr>
              <w:t>CASH EQUIVALENTS AND RESTRICTED CASH</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(28,316)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(89,761)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163,685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NET INCREASE (DECREASE) IN CASH AND</w:t>
            </w:r>
          </w:p>
        </w:tc>
        <w:tc>
          <w:tcPr>
            <w:tcW w:w="10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CASH EQUIVALENTS AND RESTRICTED CASH</w:t>
            </w: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157,713</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(210,878)</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861,128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40" w:type="dxa"/>
            <w:vAlign w:val="bottom"/>
          </w:tcPr>
          <w:p>
            <w:pPr>
              <w:spacing w:after="0"/>
              <w:rPr>
                <w:sz w:val="20"/>
                <w:szCs w:val="20"/>
                <w:color w:val="auto"/>
              </w:rPr>
            </w:pPr>
            <w:r>
              <w:rPr>
                <w:rFonts w:ascii="Arial" w:cs="Arial" w:eastAsia="Arial" w:hAnsi="Arial"/>
                <w:sz w:val="16"/>
                <w:szCs w:val="16"/>
                <w:b w:val="1"/>
                <w:bCs w:val="1"/>
                <w:color w:val="auto"/>
              </w:rPr>
              <w:t>CASH AND CASH EQUIVALENTS AND RESTRICTED CASH—</w:t>
            </w: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840" w:type="dxa"/>
            <w:vAlign w:val="bottom"/>
            <w:tcBorders>
              <w:bottom w:val="single" w:sz="8" w:color="CFF0FC"/>
            </w:tcBorders>
          </w:tcPr>
          <w:p>
            <w:pPr>
              <w:ind w:left="120"/>
              <w:spacing w:after="0"/>
              <w:rPr>
                <w:sz w:val="20"/>
                <w:szCs w:val="20"/>
                <w:color w:val="auto"/>
              </w:rPr>
            </w:pPr>
            <w:r>
              <w:rPr>
                <w:rFonts w:ascii="Arial" w:cs="Arial" w:eastAsia="Arial" w:hAnsi="Arial"/>
                <w:sz w:val="16"/>
                <w:szCs w:val="16"/>
                <w:b w:val="1"/>
                <w:bCs w:val="1"/>
                <w:color w:val="auto"/>
              </w:rPr>
              <w:t>January 1</w:t>
            </w:r>
          </w:p>
        </w:tc>
        <w:tc>
          <w:tcPr>
            <w:tcW w:w="10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2,230,388</w:t>
            </w: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2,441,266</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1,580,138</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8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AND CASH EQUIVALENTS AND RESTRICTED CASH—</w:t>
            </w:r>
          </w:p>
        </w:tc>
        <w:tc>
          <w:tcPr>
            <w:tcW w:w="10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84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December 31</w:t>
            </w: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2,388,101</w:t>
            </w:r>
          </w:p>
        </w:tc>
        <w:tc>
          <w:tcPr>
            <w:tcW w:w="1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2,230,388</w:t>
            </w:r>
          </w:p>
        </w:tc>
        <w:tc>
          <w:tcPr>
            <w:tcW w:w="22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2,441,266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5" w:name="page76"/>
    <w:bookmarkEnd w:id="75"/>
    <w:p>
      <w:pPr>
        <w:spacing w:after="0"/>
        <w:rPr>
          <w:sz w:val="20"/>
          <w:szCs w:val="20"/>
          <w:color w:val="auto"/>
        </w:rPr>
      </w:pPr>
      <w:r>
        <w:rPr>
          <w:rFonts w:ascii="Arial" w:cs="Arial" w:eastAsia="Arial" w:hAnsi="Arial"/>
          <w:sz w:val="16"/>
          <w:szCs w:val="16"/>
          <w:b w:val="1"/>
          <w:bCs w:val="1"/>
          <w:color w:val="auto"/>
        </w:rPr>
        <w:t>RECONCILIATION OF CASH AND CASH EQUIVALENTS AND RESTRICTED CASH</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WITHIN THE CONSOLIDATED STATEMENTS OF FINANCIAL</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CONDITION:</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5"/>
              </w:rPr>
              <w:t>Year Ended December 31,</w:t>
            </w: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20" w:type="dxa"/>
            <w:vAlign w:val="bottom"/>
            <w:tcBorders>
              <w:bottom w:val="single" w:sz="8" w:color="CFF0FC"/>
            </w:tcBorders>
          </w:tcPr>
          <w:p>
            <w:pPr>
              <w:spacing w:after="0"/>
              <w:rPr>
                <w:sz w:val="13"/>
                <w:szCs w:val="13"/>
                <w:color w:val="auto"/>
              </w:rPr>
            </w:pPr>
          </w:p>
        </w:tc>
        <w:tc>
          <w:tcPr>
            <w:tcW w:w="10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20"/>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40"/>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40"/>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1340" w:type="dxa"/>
            <w:vAlign w:val="bottom"/>
            <w:gridSpan w:val="2"/>
            <w:shd w:val="clear" w:color="auto" w:fill="CFF0FC"/>
          </w:tcPr>
          <w:p>
            <w:pPr>
              <w:jc w:val="right"/>
              <w:ind w:right="144"/>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1,164,135</w:t>
            </w:r>
          </w:p>
        </w:tc>
        <w:tc>
          <w:tcPr>
            <w:tcW w:w="560" w:type="dxa"/>
            <w:vAlign w:val="bottom"/>
            <w:gridSpan w:val="2"/>
            <w:shd w:val="clear" w:color="auto" w:fill="CFF0FC"/>
          </w:tcPr>
          <w:p>
            <w:pPr>
              <w:jc w:val="right"/>
              <w:ind w:right="144"/>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1,185,040</w:t>
            </w:r>
          </w:p>
        </w:tc>
        <w:tc>
          <w:tcPr>
            <w:tcW w:w="22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1,470,296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20" w:type="dxa"/>
            <w:vAlign w:val="bottom"/>
          </w:tcPr>
          <w:p>
            <w:pPr>
              <w:ind w:left="260"/>
              <w:spacing w:after="0"/>
              <w:rPr>
                <w:sz w:val="20"/>
                <w:szCs w:val="20"/>
                <w:color w:val="auto"/>
              </w:rPr>
            </w:pPr>
            <w:r>
              <w:rPr>
                <w:rFonts w:ascii="Arial" w:cs="Arial" w:eastAsia="Arial" w:hAnsi="Arial"/>
                <w:sz w:val="16"/>
                <w:szCs w:val="16"/>
                <w:color w:val="auto"/>
              </w:rPr>
              <w:t>Deposits with banks and short-term investments</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1,180,686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1,006,969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935,431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deposited with clearing organizations and other segregated cash</w:t>
            </w:r>
          </w:p>
        </w:tc>
        <w:tc>
          <w:tcPr>
            <w:tcW w:w="10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43,280</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38,379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35,539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820" w:type="dxa"/>
            <w:vAlign w:val="bottom"/>
          </w:tcPr>
          <w:p>
            <w:pPr>
              <w:spacing w:after="0"/>
              <w:rPr>
                <w:sz w:val="20"/>
                <w:szCs w:val="20"/>
                <w:color w:val="auto"/>
              </w:rPr>
            </w:pPr>
            <w:r>
              <w:rPr>
                <w:rFonts w:ascii="Arial" w:cs="Arial" w:eastAsia="Arial" w:hAnsi="Arial"/>
                <w:sz w:val="16"/>
                <w:szCs w:val="16"/>
                <w:b w:val="1"/>
                <w:bCs w:val="1"/>
                <w:color w:val="auto"/>
              </w:rPr>
              <w:t>TOTAL CASH AND CASH EQUIVALENTS AND</w:t>
            </w: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20" w:type="dxa"/>
            <w:vAlign w:val="bottom"/>
          </w:tcPr>
          <w:p>
            <w:pPr>
              <w:ind w:left="120"/>
              <w:spacing w:after="0"/>
              <w:rPr>
                <w:sz w:val="20"/>
                <w:szCs w:val="20"/>
                <w:color w:val="auto"/>
              </w:rPr>
            </w:pPr>
            <w:r>
              <w:rPr>
                <w:rFonts w:ascii="Arial" w:cs="Arial" w:eastAsia="Arial" w:hAnsi="Arial"/>
                <w:sz w:val="16"/>
                <w:szCs w:val="16"/>
                <w:b w:val="1"/>
                <w:bCs w:val="1"/>
                <w:color w:val="auto"/>
              </w:rPr>
              <w:t>RESTRICTED CASH</w:t>
            </w:r>
          </w:p>
        </w:tc>
        <w:tc>
          <w:tcPr>
            <w:tcW w:w="1340" w:type="dxa"/>
            <w:vAlign w:val="bottom"/>
            <w:gridSpan w:val="2"/>
          </w:tcPr>
          <w:p>
            <w:pPr>
              <w:jc w:val="right"/>
              <w:ind w:right="144"/>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2,388,101</w:t>
            </w:r>
          </w:p>
        </w:tc>
        <w:tc>
          <w:tcPr>
            <w:tcW w:w="560" w:type="dxa"/>
            <w:vAlign w:val="bottom"/>
            <w:gridSpan w:val="2"/>
          </w:tcPr>
          <w:p>
            <w:pPr>
              <w:jc w:val="right"/>
              <w:ind w:right="144"/>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2,230,388</w:t>
            </w:r>
          </w:p>
        </w:tc>
        <w:tc>
          <w:tcPr>
            <w:tcW w:w="22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2,441,266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6"/>
                <w:szCs w:val="16"/>
                <w:b w:val="1"/>
                <w:bCs w:val="1"/>
                <w:color w:val="auto"/>
              </w:rPr>
              <w:t>SUPPLEMENTAL DISCLOSURES OF CASH FLOW</w:t>
            </w:r>
          </w:p>
        </w:tc>
        <w:tc>
          <w:tcPr>
            <w:tcW w:w="10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58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20" w:type="dxa"/>
            <w:vAlign w:val="bottom"/>
          </w:tcPr>
          <w:p>
            <w:pPr>
              <w:ind w:left="120"/>
              <w:spacing w:after="0"/>
              <w:rPr>
                <w:sz w:val="20"/>
                <w:szCs w:val="20"/>
                <w:color w:val="auto"/>
              </w:rPr>
            </w:pPr>
            <w:r>
              <w:rPr>
                <w:rFonts w:ascii="Arial" w:cs="Arial" w:eastAsia="Arial" w:hAnsi="Arial"/>
                <w:sz w:val="16"/>
                <w:szCs w:val="16"/>
                <w:b w:val="1"/>
                <w:bCs w:val="1"/>
                <w:color w:val="auto"/>
              </w:rPr>
              <w:t>INFORMATION:</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paid during the year for:</w:t>
            </w: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820" w:type="dxa"/>
            <w:vAlign w:val="bottom"/>
          </w:tcPr>
          <w:p>
            <w:pPr>
              <w:ind w:left="260"/>
              <w:spacing w:after="0"/>
              <w:rPr>
                <w:sz w:val="20"/>
                <w:szCs w:val="20"/>
                <w:color w:val="auto"/>
              </w:rPr>
            </w:pPr>
            <w:r>
              <w:rPr>
                <w:rFonts w:ascii="Arial" w:cs="Arial" w:eastAsia="Arial" w:hAnsi="Arial"/>
                <w:sz w:val="16"/>
                <w:szCs w:val="16"/>
                <w:color w:val="auto"/>
              </w:rPr>
              <w:t>Interest</w:t>
            </w:r>
          </w:p>
        </w:tc>
        <w:tc>
          <w:tcPr>
            <w:tcW w:w="1040" w:type="dxa"/>
            <w:vAlign w:val="bottom"/>
          </w:tcPr>
          <w:p>
            <w:pPr>
              <w:spacing w:after="0"/>
              <w:rPr>
                <w:sz w:val="20"/>
                <w:szCs w:val="20"/>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69,489</w:t>
            </w:r>
          </w:p>
        </w:tc>
        <w:tc>
          <w:tcPr>
            <w:tcW w:w="260" w:type="dxa"/>
            <w:vAlign w:val="bottom"/>
          </w:tcPr>
          <w:p>
            <w:pPr>
              <w:spacing w:after="0"/>
              <w:rPr>
                <w:sz w:val="20"/>
                <w:szCs w:val="20"/>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50,696</w:t>
            </w:r>
          </w:p>
        </w:tc>
        <w:tc>
          <w:tcPr>
            <w:tcW w:w="220" w:type="dxa"/>
            <w:vAlign w:val="bottom"/>
          </w:tcPr>
          <w:p>
            <w:pPr>
              <w:spacing w:after="0"/>
              <w:rPr>
                <w:sz w:val="20"/>
                <w:szCs w:val="20"/>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49,502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vMerge w:val="restart"/>
            <w:shd w:val="clear" w:color="auto" w:fill="CFF0FC"/>
          </w:tcPr>
          <w:p>
            <w:pPr>
              <w:ind w:left="260"/>
              <w:spacing w:after="0"/>
              <w:rPr>
                <w:sz w:val="20"/>
                <w:szCs w:val="20"/>
                <w:color w:val="auto"/>
              </w:rPr>
            </w:pPr>
            <w:r>
              <w:rPr>
                <w:rFonts w:ascii="Arial" w:cs="Arial" w:eastAsia="Arial" w:hAnsi="Arial"/>
                <w:sz w:val="16"/>
                <w:szCs w:val="16"/>
                <w:color w:val="auto"/>
              </w:rPr>
              <w:t>Income taxes, net of refunds</w:t>
            </w: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20" w:type="dxa"/>
            <w:vAlign w:val="bottom"/>
            <w:vMerge w:val="continue"/>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80,739</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94,069</w:t>
            </w:r>
          </w:p>
        </w:tc>
        <w:tc>
          <w:tcPr>
            <w:tcW w:w="22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53,337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76" w:name="page77"/>
    <w:bookmarkEnd w:id="76"/>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CONSOLIDATED STATEMENTS OF CHANGES IN MEMBERS’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8"/>
              </w:rPr>
              <w:t>Accumulated</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12"/>
                <w:szCs w:val="12"/>
                <w:color w:val="auto"/>
              </w:rPr>
            </w:pPr>
          </w:p>
        </w:tc>
        <w:tc>
          <w:tcPr>
            <w:tcW w:w="11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Total</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5"/>
              </w:rPr>
              <w:t>Comprehensive</w:t>
            </w:r>
          </w:p>
        </w:tc>
        <w:tc>
          <w:tcPr>
            <w:tcW w:w="80" w:type="dxa"/>
            <w:vAlign w:val="bottom"/>
          </w:tcPr>
          <w:p>
            <w:pPr>
              <w:spacing w:after="0"/>
              <w:rPr>
                <w:sz w:val="14"/>
                <w:szCs w:val="14"/>
                <w:color w:val="auto"/>
              </w:rPr>
            </w:pPr>
          </w:p>
        </w:tc>
        <w:tc>
          <w:tcPr>
            <w:tcW w:w="11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Lazard Group</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Total</w:t>
            </w:r>
          </w:p>
        </w:tc>
      </w:tr>
      <w:tr>
        <w:trPr>
          <w:trHeight w:val="162"/>
        </w:trPr>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Members'</w:t>
            </w:r>
          </w:p>
        </w:tc>
        <w:tc>
          <w:tcPr>
            <w:tcW w:w="140" w:type="dxa"/>
            <w:vAlign w:val="bottom"/>
          </w:tcPr>
          <w:p>
            <w:pPr>
              <w:spacing w:after="0"/>
              <w:rPr>
                <w:sz w:val="14"/>
                <w:szCs w:val="14"/>
                <w:color w:val="auto"/>
              </w:rPr>
            </w:pPr>
          </w:p>
        </w:tc>
        <w:tc>
          <w:tcPr>
            <w:tcW w:w="12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6"/>
              </w:rPr>
              <w:t>Income (Loss),</w:t>
            </w:r>
          </w:p>
        </w:tc>
        <w:tc>
          <w:tcPr>
            <w:tcW w:w="80" w:type="dxa"/>
            <w:vAlign w:val="bottom"/>
          </w:tcPr>
          <w:p>
            <w:pPr>
              <w:spacing w:after="0"/>
              <w:rPr>
                <w:sz w:val="14"/>
                <w:szCs w:val="14"/>
                <w:color w:val="auto"/>
              </w:rPr>
            </w:pPr>
          </w:p>
        </w:tc>
        <w:tc>
          <w:tcPr>
            <w:tcW w:w="11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Members'</w:t>
            </w:r>
          </w:p>
        </w:tc>
        <w:tc>
          <w:tcPr>
            <w:tcW w:w="12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8"/>
              </w:rPr>
              <w:t>Noncontrolling</w:t>
            </w: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Members'</w:t>
            </w:r>
          </w:p>
        </w:tc>
      </w:tr>
      <w:tr>
        <w:trPr>
          <w:trHeight w:val="161"/>
        </w:trPr>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Equity</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5"/>
              </w:rPr>
              <w:t>Net of Tax</w:t>
            </w:r>
          </w:p>
        </w:tc>
        <w:tc>
          <w:tcPr>
            <w:tcW w:w="80" w:type="dxa"/>
            <w:vAlign w:val="bottom"/>
          </w:tcPr>
          <w:p>
            <w:pPr>
              <w:spacing w:after="0"/>
              <w:rPr>
                <w:sz w:val="14"/>
                <w:szCs w:val="14"/>
                <w:color w:val="auto"/>
              </w:rPr>
            </w:pPr>
          </w:p>
        </w:tc>
        <w:tc>
          <w:tcPr>
            <w:tcW w:w="11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Equity</w:t>
            </w:r>
          </w:p>
        </w:tc>
        <w:tc>
          <w:tcPr>
            <w:tcW w:w="180" w:type="dxa"/>
            <w:vAlign w:val="bottom"/>
          </w:tcPr>
          <w:p>
            <w:pPr>
              <w:spacing w:after="0"/>
              <w:rPr>
                <w:sz w:val="14"/>
                <w:szCs w:val="14"/>
                <w:color w:val="auto"/>
              </w:rPr>
            </w:pPr>
          </w:p>
        </w:tc>
        <w:tc>
          <w:tcPr>
            <w:tcW w:w="10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5"/>
              </w:rPr>
              <w:t>Interests</w:t>
            </w: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Equity</w:t>
            </w:r>
          </w:p>
        </w:tc>
      </w:tr>
      <w:tr>
        <w:trPr>
          <w:trHeight w:val="210"/>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 January 1, 2017</w:t>
            </w: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949,669</w:t>
            </w: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(270,775)</w:t>
            </w: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678,894</w:t>
            </w: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3"/>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57,246</w:t>
            </w: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736,140</w:t>
            </w:r>
          </w:p>
        </w:tc>
        <w:tc>
          <w:tcPr>
            <w:tcW w:w="100" w:type="dxa"/>
            <w:vAlign w:val="bottom"/>
            <w:tcBorders>
              <w:top w:val="single" w:sz="8" w:color="CFF0FC"/>
            </w:tcBorders>
            <w:shd w:val="clear" w:color="auto" w:fill="CFF0FC"/>
          </w:tcPr>
          <w:p>
            <w:pPr>
              <w:spacing w:after="0"/>
              <w:rPr>
                <w:sz w:val="18"/>
                <w:szCs w:val="18"/>
                <w:color w:val="auto"/>
              </w:rPr>
            </w:pPr>
          </w:p>
        </w:tc>
      </w:tr>
      <w:tr>
        <w:trPr>
          <w:trHeight w:val="206"/>
        </w:trPr>
        <w:tc>
          <w:tcPr>
            <w:tcW w:w="5280" w:type="dxa"/>
            <w:vAlign w:val="bottom"/>
          </w:tcPr>
          <w:p>
            <w:pPr>
              <w:spacing w:after="0"/>
              <w:rPr>
                <w:sz w:val="20"/>
                <w:szCs w:val="20"/>
                <w:color w:val="auto"/>
              </w:rPr>
            </w:pPr>
            <w:r>
              <w:rPr>
                <w:rFonts w:ascii="Arial" w:cs="Arial" w:eastAsia="Arial" w:hAnsi="Arial"/>
                <w:sz w:val="16"/>
                <w:szCs w:val="16"/>
                <w:color w:val="auto"/>
              </w:rPr>
              <w:t>Adjustment for the cumulative effect on prior</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280" w:type="dxa"/>
            <w:vAlign w:val="bottom"/>
          </w:tcPr>
          <w:p>
            <w:pPr>
              <w:ind w:left="120"/>
              <w:spacing w:after="0"/>
              <w:rPr>
                <w:sz w:val="20"/>
                <w:szCs w:val="20"/>
                <w:color w:val="auto"/>
              </w:rPr>
            </w:pPr>
            <w:r>
              <w:rPr>
                <w:rFonts w:ascii="Arial" w:cs="Arial" w:eastAsia="Arial" w:hAnsi="Arial"/>
                <w:sz w:val="16"/>
                <w:szCs w:val="16"/>
                <w:color w:val="auto"/>
              </w:rPr>
              <w:t>years from the adoption of new accounting</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280" w:type="dxa"/>
            <w:vAlign w:val="bottom"/>
          </w:tcPr>
          <w:p>
            <w:pPr>
              <w:ind w:left="120"/>
              <w:spacing w:after="0"/>
              <w:rPr>
                <w:sz w:val="20"/>
                <w:szCs w:val="20"/>
                <w:color w:val="auto"/>
              </w:rPr>
            </w:pPr>
            <w:r>
              <w:rPr>
                <w:rFonts w:ascii="Arial" w:cs="Arial" w:eastAsia="Arial" w:hAnsi="Arial"/>
                <w:sz w:val="16"/>
                <w:szCs w:val="16"/>
                <w:color w:val="auto"/>
              </w:rPr>
              <w:t>guidance related to share-based incentive</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5280" w:type="dxa"/>
            <w:vAlign w:val="bottom"/>
            <w:tcBorders>
              <w:bottom w:val="single" w:sz="8" w:color="CFF0FC"/>
            </w:tcBorders>
          </w:tcPr>
          <w:p>
            <w:pPr>
              <w:ind w:left="120"/>
              <w:spacing w:after="0"/>
              <w:rPr>
                <w:sz w:val="20"/>
                <w:szCs w:val="20"/>
                <w:color w:val="auto"/>
              </w:rPr>
            </w:pPr>
            <w:r>
              <w:rPr>
                <w:rFonts w:ascii="Arial" w:cs="Arial" w:eastAsia="Arial" w:hAnsi="Arial"/>
                <w:sz w:val="16"/>
                <w:szCs w:val="16"/>
                <w:color w:val="auto"/>
              </w:rPr>
              <w:t>compensation</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4,945</w:t>
            </w: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4,945</w:t>
            </w: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4,945</w:t>
            </w:r>
          </w:p>
        </w:tc>
        <w:tc>
          <w:tcPr>
            <w:tcW w:w="100" w:type="dxa"/>
            <w:vAlign w:val="bottom"/>
            <w:tcBorders>
              <w:bottom w:val="single" w:sz="8" w:color="CFF0FC"/>
            </w:tcBorders>
          </w:tcPr>
          <w:p>
            <w:pPr>
              <w:spacing w:after="0"/>
              <w:rPr>
                <w:sz w:val="18"/>
                <w:szCs w:val="18"/>
                <w:color w:val="auto"/>
              </w:rPr>
            </w:pPr>
          </w:p>
        </w:tc>
      </w:tr>
      <w:tr>
        <w:trPr>
          <w:trHeight w:val="213"/>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Balance, as adjusted - January 1, 2017</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954,614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(270,775)</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683,839</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57,246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741,085</w:t>
            </w:r>
          </w:p>
        </w:tc>
        <w:tc>
          <w:tcPr>
            <w:tcW w:w="100" w:type="dxa"/>
            <w:vAlign w:val="bottom"/>
            <w:shd w:val="clear" w:color="auto" w:fill="CFF0FC"/>
          </w:tcPr>
          <w:p>
            <w:pPr>
              <w:spacing w:after="0"/>
              <w:rPr>
                <w:sz w:val="18"/>
                <w:szCs w:val="18"/>
                <w:color w:val="auto"/>
              </w:rPr>
            </w:pPr>
          </w:p>
        </w:tc>
      </w:tr>
      <w:tr>
        <w:trPr>
          <w:trHeight w:val="213"/>
        </w:trPr>
        <w:tc>
          <w:tcPr>
            <w:tcW w:w="5280" w:type="dxa"/>
            <w:vAlign w:val="bottom"/>
          </w:tcPr>
          <w:p>
            <w:pPr>
              <w:spacing w:after="0"/>
              <w:rPr>
                <w:sz w:val="20"/>
                <w:szCs w:val="20"/>
                <w:color w:val="auto"/>
              </w:rPr>
            </w:pPr>
            <w:r>
              <w:rPr>
                <w:rFonts w:ascii="Arial" w:cs="Arial" w:eastAsia="Arial" w:hAnsi="Arial"/>
                <w:sz w:val="16"/>
                <w:szCs w:val="16"/>
                <w:color w:val="auto"/>
              </w:rPr>
              <w:t>Comprehensive income:</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5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545,627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545,627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6,263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551,890</w:t>
            </w:r>
          </w:p>
        </w:tc>
        <w:tc>
          <w:tcPr>
            <w:tcW w:w="100" w:type="dxa"/>
            <w:vAlign w:val="bottom"/>
            <w:shd w:val="clear" w:color="auto" w:fill="CFF0FC"/>
          </w:tcPr>
          <w:p>
            <w:pPr>
              <w:spacing w:after="0"/>
              <w:rPr>
                <w:sz w:val="19"/>
                <w:szCs w:val="19"/>
                <w:color w:val="auto"/>
              </w:rPr>
            </w:pPr>
          </w:p>
        </w:tc>
      </w:tr>
      <w:tr>
        <w:trPr>
          <w:trHeight w:val="213"/>
        </w:trPr>
        <w:tc>
          <w:tcPr>
            <w:tcW w:w="5280" w:type="dxa"/>
            <w:vAlign w:val="bottom"/>
          </w:tcPr>
          <w:p>
            <w:pPr>
              <w:ind w:left="260"/>
              <w:spacing w:after="0"/>
              <w:rPr>
                <w:sz w:val="20"/>
                <w:szCs w:val="20"/>
                <w:color w:val="auto"/>
              </w:rPr>
            </w:pPr>
            <w:r>
              <w:rPr>
                <w:rFonts w:ascii="Arial" w:cs="Arial" w:eastAsia="Arial" w:hAnsi="Arial"/>
                <w:sz w:val="16"/>
                <w:szCs w:val="16"/>
                <w:color w:val="auto"/>
              </w:rPr>
              <w:t>Other comprehensive income - net of tax</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75,519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75,519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75,521</w:t>
            </w:r>
          </w:p>
        </w:tc>
        <w:tc>
          <w:tcPr>
            <w:tcW w:w="100" w:type="dxa"/>
            <w:vAlign w:val="bottom"/>
          </w:tcPr>
          <w:p>
            <w:pPr>
              <w:spacing w:after="0"/>
              <w:rPr>
                <w:sz w:val="18"/>
                <w:szCs w:val="18"/>
                <w:color w:val="auto"/>
              </w:rPr>
            </w:pPr>
          </w:p>
        </w:tc>
      </w:tr>
      <w:tr>
        <w:trPr>
          <w:trHeight w:val="209"/>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Amortization of share-based incentive</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52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compensation</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272,965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272,965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272,965</w:t>
            </w:r>
          </w:p>
        </w:tc>
        <w:tc>
          <w:tcPr>
            <w:tcW w:w="100" w:type="dxa"/>
            <w:vAlign w:val="bottom"/>
            <w:shd w:val="clear" w:color="auto" w:fill="CFF0FC"/>
          </w:tcPr>
          <w:p>
            <w:pPr>
              <w:spacing w:after="0"/>
              <w:rPr>
                <w:sz w:val="18"/>
                <w:szCs w:val="18"/>
                <w:color w:val="auto"/>
              </w:rPr>
            </w:pPr>
          </w:p>
        </w:tc>
      </w:tr>
      <w:tr>
        <w:trPr>
          <w:trHeight w:val="206"/>
        </w:trPr>
        <w:tc>
          <w:tcPr>
            <w:tcW w:w="5280" w:type="dxa"/>
            <w:vAlign w:val="bottom"/>
          </w:tcPr>
          <w:p>
            <w:pPr>
              <w:spacing w:after="0"/>
              <w:rPr>
                <w:sz w:val="20"/>
                <w:szCs w:val="20"/>
                <w:color w:val="auto"/>
              </w:rPr>
            </w:pPr>
            <w:r>
              <w:rPr>
                <w:rFonts w:ascii="Arial" w:cs="Arial" w:eastAsia="Arial" w:hAnsi="Arial"/>
                <w:sz w:val="16"/>
                <w:szCs w:val="16"/>
                <w:color w:val="auto"/>
              </w:rPr>
              <w:t>Distributions to members and noncontrolling interests,</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5280" w:type="dxa"/>
            <w:vAlign w:val="bottom"/>
          </w:tcPr>
          <w:p>
            <w:pPr>
              <w:ind w:left="120"/>
              <w:spacing w:after="0"/>
              <w:rPr>
                <w:sz w:val="20"/>
                <w:szCs w:val="20"/>
                <w:color w:val="auto"/>
              </w:rPr>
            </w:pPr>
            <w:r>
              <w:rPr>
                <w:rFonts w:ascii="Arial" w:cs="Arial" w:eastAsia="Arial" w:hAnsi="Arial"/>
                <w:sz w:val="16"/>
                <w:szCs w:val="16"/>
                <w:color w:val="auto"/>
              </w:rPr>
              <w:t>net</w:t>
            </w: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(346,072)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(346,072)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(5,133)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(351,205)</w:t>
            </w:r>
          </w:p>
        </w:tc>
      </w:tr>
      <w:tr>
        <w:trPr>
          <w:trHeight w:val="219"/>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Purchase of Class A common stock</w:t>
            </w: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(310,872)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(310,872)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(310,872)</w:t>
            </w:r>
          </w:p>
        </w:tc>
      </w:tr>
      <w:tr>
        <w:trPr>
          <w:trHeight w:val="206"/>
        </w:trPr>
        <w:tc>
          <w:tcPr>
            <w:tcW w:w="5280" w:type="dxa"/>
            <w:vAlign w:val="bottom"/>
          </w:tcPr>
          <w:p>
            <w:pPr>
              <w:spacing w:after="0"/>
              <w:rPr>
                <w:sz w:val="20"/>
                <w:szCs w:val="20"/>
                <w:color w:val="auto"/>
              </w:rPr>
            </w:pPr>
            <w:r>
              <w:rPr>
                <w:rFonts w:ascii="Arial" w:cs="Arial" w:eastAsia="Arial" w:hAnsi="Arial"/>
                <w:sz w:val="16"/>
                <w:szCs w:val="16"/>
                <w:color w:val="auto"/>
              </w:rPr>
              <w:t>Delivery of Class A common stock in</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280" w:type="dxa"/>
            <w:vAlign w:val="bottom"/>
          </w:tcPr>
          <w:p>
            <w:pPr>
              <w:ind w:left="120"/>
              <w:spacing w:after="0"/>
              <w:rPr>
                <w:sz w:val="20"/>
                <w:szCs w:val="20"/>
                <w:color w:val="auto"/>
              </w:rPr>
            </w:pPr>
            <w:r>
              <w:rPr>
                <w:rFonts w:ascii="Arial" w:cs="Arial" w:eastAsia="Arial" w:hAnsi="Arial"/>
                <w:sz w:val="16"/>
                <w:szCs w:val="16"/>
                <w:color w:val="auto"/>
              </w:rPr>
              <w:t>connection with share-based incentive</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5280" w:type="dxa"/>
            <w:vAlign w:val="bottom"/>
          </w:tcPr>
          <w:p>
            <w:pPr>
              <w:ind w:left="120"/>
              <w:spacing w:after="0"/>
              <w:rPr>
                <w:sz w:val="20"/>
                <w:szCs w:val="20"/>
                <w:color w:val="auto"/>
              </w:rPr>
            </w:pPr>
            <w:r>
              <w:rPr>
                <w:rFonts w:ascii="Arial" w:cs="Arial" w:eastAsia="Arial" w:hAnsi="Arial"/>
                <w:sz w:val="16"/>
                <w:szCs w:val="16"/>
                <w:color w:val="auto"/>
              </w:rPr>
              <w:t>compensation</w:t>
            </w: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(67,899)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(67,899)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(67,899)</w:t>
            </w:r>
          </w:p>
        </w:tc>
      </w:tr>
      <w:tr>
        <w:trPr>
          <w:trHeight w:val="209"/>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Business acquisitions and related equity</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52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transactions:</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5280" w:type="dxa"/>
            <w:vAlign w:val="bottom"/>
          </w:tcPr>
          <w:p>
            <w:pPr>
              <w:ind w:left="140"/>
              <w:spacing w:after="0"/>
              <w:rPr>
                <w:sz w:val="20"/>
                <w:szCs w:val="20"/>
                <w:color w:val="auto"/>
              </w:rPr>
            </w:pPr>
            <w:r>
              <w:rPr>
                <w:rFonts w:ascii="Arial" w:cs="Arial" w:eastAsia="Arial" w:hAnsi="Arial"/>
                <w:sz w:val="16"/>
                <w:szCs w:val="16"/>
                <w:color w:val="auto"/>
              </w:rPr>
              <w:t>Delivery of Class A common stock</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605</w:t>
            </w:r>
          </w:p>
        </w:tc>
        <w:tc>
          <w:tcPr>
            <w:tcW w:w="100" w:type="dxa"/>
            <w:vAlign w:val="bottom"/>
          </w:tcPr>
          <w:p>
            <w:pPr>
              <w:spacing w:after="0"/>
              <w:rPr>
                <w:sz w:val="18"/>
                <w:szCs w:val="18"/>
                <w:color w:val="auto"/>
              </w:rPr>
            </w:pPr>
          </w:p>
        </w:tc>
      </w:tr>
      <w:tr>
        <w:trPr>
          <w:trHeight w:val="209"/>
        </w:trPr>
        <w:tc>
          <w:tcPr>
            <w:tcW w:w="52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Class A common stock issuable</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5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(including related amortization)</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371</w:t>
            </w:r>
          </w:p>
        </w:tc>
        <w:tc>
          <w:tcPr>
            <w:tcW w:w="100" w:type="dxa"/>
            <w:vAlign w:val="bottom"/>
            <w:shd w:val="clear" w:color="auto" w:fill="CFF0FC"/>
          </w:tcPr>
          <w:p>
            <w:pPr>
              <w:spacing w:after="0"/>
              <w:rPr>
                <w:sz w:val="18"/>
                <w:szCs w:val="18"/>
                <w:color w:val="auto"/>
              </w:rPr>
            </w:pPr>
          </w:p>
        </w:tc>
      </w:tr>
      <w:tr>
        <w:trPr>
          <w:trHeight w:val="213"/>
        </w:trPr>
        <w:tc>
          <w:tcPr>
            <w:tcW w:w="5280" w:type="dxa"/>
            <w:vAlign w:val="bottom"/>
          </w:tcPr>
          <w:p>
            <w:pPr>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(5,765)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(5,765)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(5,561)</w:t>
            </w:r>
          </w:p>
        </w:tc>
      </w:tr>
      <w:tr>
        <w:trPr>
          <w:trHeight w:val="210"/>
        </w:trPr>
        <w:tc>
          <w:tcPr>
            <w:tcW w:w="5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 December 31, 2017 (*)</w:t>
            </w:r>
          </w:p>
        </w:tc>
        <w:tc>
          <w:tcPr>
            <w:tcW w:w="16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1,043,574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(195,256)</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848,318</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3"/>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58,582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906,900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8" w:lineRule="exact"/>
        <w:rPr>
          <w:sz w:val="20"/>
          <w:szCs w:val="20"/>
          <w:color w:val="auto"/>
        </w:rPr>
      </w:pPr>
    </w:p>
    <w:p>
      <w:pPr>
        <w:ind w:left="260" w:hanging="252"/>
        <w:spacing w:after="0"/>
        <w:tabs>
          <w:tab w:leader="none" w:pos="260" w:val="left"/>
        </w:tabs>
        <w:numPr>
          <w:ilvl w:val="0"/>
          <w:numId w:val="47"/>
        </w:numPr>
        <w:rPr>
          <w:rFonts w:ascii="Arial" w:cs="Arial" w:eastAsia="Arial" w:hAnsi="Arial"/>
          <w:sz w:val="18"/>
          <w:szCs w:val="18"/>
          <w:color w:val="auto"/>
        </w:rPr>
      </w:pPr>
      <w:r>
        <w:rPr>
          <w:rFonts w:ascii="Arial" w:cs="Arial" w:eastAsia="Arial" w:hAnsi="Arial"/>
          <w:sz w:val="16"/>
          <w:szCs w:val="16"/>
          <w:color w:val="auto"/>
        </w:rPr>
        <w:t>At December 31, 2017, in addition to profit participation interests, there were two managing member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111506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7" w:name="page78"/>
    <w:bookmarkEnd w:id="77"/>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CONSOLIDATED STATEMENTS OF CHANGES IN MEMBERS’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Accumulated</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Total</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Comprehensive</w:t>
            </w:r>
          </w:p>
        </w:tc>
        <w:tc>
          <w:tcPr>
            <w:tcW w:w="8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Lazard Group</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Total</w:t>
            </w:r>
          </w:p>
        </w:tc>
      </w:tr>
      <w:tr>
        <w:trPr>
          <w:trHeight w:val="162"/>
        </w:trPr>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5"/>
              </w:rPr>
              <w:t>Members'</w:t>
            </w:r>
          </w:p>
        </w:tc>
        <w:tc>
          <w:tcPr>
            <w:tcW w:w="100" w:type="dxa"/>
            <w:vAlign w:val="bottom"/>
          </w:tcPr>
          <w:p>
            <w:pPr>
              <w:spacing w:after="0"/>
              <w:rPr>
                <w:sz w:val="14"/>
                <w:szCs w:val="14"/>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Income (Loss),</w:t>
            </w:r>
          </w:p>
        </w:tc>
        <w:tc>
          <w:tcPr>
            <w:tcW w:w="8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Members’</w:t>
            </w:r>
          </w:p>
        </w:tc>
        <w:tc>
          <w:tcPr>
            <w:tcW w:w="12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4"/>
              </w:rPr>
              <w:t>Noncontrolling</w:t>
            </w: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Members’</w:t>
            </w:r>
          </w:p>
        </w:tc>
      </w:tr>
      <w:tr>
        <w:trPr>
          <w:trHeight w:val="161"/>
        </w:trPr>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Net of Tax</w:t>
            </w:r>
          </w:p>
        </w:tc>
        <w:tc>
          <w:tcPr>
            <w:tcW w:w="8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Equity</w:t>
            </w:r>
          </w:p>
        </w:tc>
        <w:tc>
          <w:tcPr>
            <w:tcW w:w="180" w:type="dxa"/>
            <w:vAlign w:val="bottom"/>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5"/>
              </w:rPr>
              <w:t>Interests</w:t>
            </w: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Equity</w:t>
            </w:r>
          </w:p>
        </w:tc>
      </w:tr>
      <w:tr>
        <w:trPr>
          <w:trHeight w:val="210"/>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 January 1, 2018</w:t>
            </w: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1,043,574</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(195,256)</w:t>
            </w:r>
          </w:p>
        </w:tc>
        <w:tc>
          <w:tcPr>
            <w:tcW w:w="2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848,318</w:t>
            </w: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3"/>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58,582</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906,900</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5280" w:type="dxa"/>
            <w:vAlign w:val="bottom"/>
          </w:tcPr>
          <w:p>
            <w:pPr>
              <w:spacing w:after="0"/>
              <w:rPr>
                <w:sz w:val="20"/>
                <w:szCs w:val="20"/>
                <w:color w:val="auto"/>
              </w:rPr>
            </w:pPr>
            <w:r>
              <w:rPr>
                <w:rFonts w:ascii="Arial" w:cs="Arial" w:eastAsia="Arial" w:hAnsi="Arial"/>
                <w:sz w:val="16"/>
                <w:szCs w:val="16"/>
                <w:color w:val="auto"/>
              </w:rPr>
              <w:t>Comprehensive income (loss):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5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565,597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565,597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5,323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570,920</w:t>
            </w:r>
          </w:p>
        </w:tc>
        <w:tc>
          <w:tcPr>
            <w:tcW w:w="100" w:type="dxa"/>
            <w:vAlign w:val="bottom"/>
            <w:shd w:val="clear" w:color="auto" w:fill="CFF0FC"/>
          </w:tcPr>
          <w:p>
            <w:pPr>
              <w:spacing w:after="0"/>
              <w:rPr>
                <w:sz w:val="19"/>
                <w:szCs w:val="19"/>
                <w:color w:val="auto"/>
              </w:rPr>
            </w:pPr>
          </w:p>
        </w:tc>
      </w:tr>
      <w:tr>
        <w:trPr>
          <w:trHeight w:val="213"/>
        </w:trPr>
        <w:tc>
          <w:tcPr>
            <w:tcW w:w="5280" w:type="dxa"/>
            <w:vAlign w:val="bottom"/>
          </w:tcPr>
          <w:p>
            <w:pPr>
              <w:ind w:left="260"/>
              <w:spacing w:after="0"/>
              <w:rPr>
                <w:sz w:val="20"/>
                <w:szCs w:val="20"/>
                <w:color w:val="auto"/>
              </w:rPr>
            </w:pPr>
            <w:r>
              <w:rPr>
                <w:rFonts w:ascii="Arial" w:cs="Arial" w:eastAsia="Arial" w:hAnsi="Arial"/>
                <w:sz w:val="16"/>
                <w:szCs w:val="16"/>
                <w:color w:val="auto"/>
              </w:rPr>
              <w:t>Other comprehensive loss - net of tax</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(33,404)</w:t>
            </w: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(33,404)</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(33,404)</w:t>
            </w:r>
          </w:p>
        </w:tc>
      </w:tr>
      <w:tr>
        <w:trPr>
          <w:trHeight w:val="209"/>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Amortization of share-based incentive</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52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compensation</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267,573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267,573</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267,573</w:t>
            </w:r>
          </w:p>
        </w:tc>
        <w:tc>
          <w:tcPr>
            <w:tcW w:w="100" w:type="dxa"/>
            <w:vAlign w:val="bottom"/>
            <w:shd w:val="clear" w:color="auto" w:fill="CFF0FC"/>
          </w:tcPr>
          <w:p>
            <w:pPr>
              <w:spacing w:after="0"/>
              <w:rPr>
                <w:sz w:val="18"/>
                <w:szCs w:val="18"/>
                <w:color w:val="auto"/>
              </w:rPr>
            </w:pPr>
          </w:p>
        </w:tc>
      </w:tr>
      <w:tr>
        <w:trPr>
          <w:trHeight w:val="206"/>
        </w:trPr>
        <w:tc>
          <w:tcPr>
            <w:tcW w:w="5280" w:type="dxa"/>
            <w:vAlign w:val="bottom"/>
          </w:tcPr>
          <w:p>
            <w:pPr>
              <w:spacing w:after="0"/>
              <w:rPr>
                <w:sz w:val="20"/>
                <w:szCs w:val="20"/>
                <w:color w:val="auto"/>
              </w:rPr>
            </w:pPr>
            <w:r>
              <w:rPr>
                <w:rFonts w:ascii="Arial" w:cs="Arial" w:eastAsia="Arial" w:hAnsi="Arial"/>
                <w:sz w:val="16"/>
                <w:szCs w:val="16"/>
                <w:color w:val="auto"/>
              </w:rPr>
              <w:t>Distribution to members and noncontrolling interests,</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5280" w:type="dxa"/>
            <w:vAlign w:val="bottom"/>
          </w:tcPr>
          <w:p>
            <w:pPr>
              <w:ind w:left="80"/>
              <w:spacing w:after="0"/>
              <w:rPr>
                <w:sz w:val="20"/>
                <w:szCs w:val="20"/>
                <w:color w:val="auto"/>
              </w:rPr>
            </w:pPr>
            <w:r>
              <w:rPr>
                <w:rFonts w:ascii="Arial" w:cs="Arial" w:eastAsia="Arial" w:hAnsi="Arial"/>
                <w:sz w:val="16"/>
                <w:szCs w:val="16"/>
                <w:color w:val="auto"/>
              </w:rPr>
              <w:t>net</w:t>
            </w: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(448,912)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(448,912)</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(11,198)</w:t>
            </w:r>
          </w:p>
        </w:tc>
        <w:tc>
          <w:tcPr>
            <w:tcW w:w="1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(460,110)</w:t>
            </w:r>
          </w:p>
        </w:tc>
      </w:tr>
      <w:tr>
        <w:trPr>
          <w:trHeight w:val="219"/>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Purchase of Class A common stock</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(552,872)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(552,872)</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(552,872)</w:t>
            </w:r>
          </w:p>
        </w:tc>
      </w:tr>
      <w:tr>
        <w:trPr>
          <w:trHeight w:val="206"/>
        </w:trPr>
        <w:tc>
          <w:tcPr>
            <w:tcW w:w="5280" w:type="dxa"/>
            <w:vAlign w:val="bottom"/>
          </w:tcPr>
          <w:p>
            <w:pPr>
              <w:spacing w:after="0"/>
              <w:rPr>
                <w:sz w:val="20"/>
                <w:szCs w:val="20"/>
                <w:color w:val="auto"/>
              </w:rPr>
            </w:pPr>
            <w:r>
              <w:rPr>
                <w:rFonts w:ascii="Arial" w:cs="Arial" w:eastAsia="Arial" w:hAnsi="Arial"/>
                <w:sz w:val="16"/>
                <w:szCs w:val="16"/>
                <w:color w:val="auto"/>
              </w:rPr>
              <w:t>Delivery of Class A common stock in</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280" w:type="dxa"/>
            <w:vAlign w:val="bottom"/>
          </w:tcPr>
          <w:p>
            <w:pPr>
              <w:ind w:left="120"/>
              <w:spacing w:after="0"/>
              <w:rPr>
                <w:sz w:val="20"/>
                <w:szCs w:val="20"/>
                <w:color w:val="auto"/>
              </w:rPr>
            </w:pPr>
            <w:r>
              <w:rPr>
                <w:rFonts w:ascii="Arial" w:cs="Arial" w:eastAsia="Arial" w:hAnsi="Arial"/>
                <w:sz w:val="16"/>
                <w:szCs w:val="16"/>
                <w:color w:val="auto"/>
              </w:rPr>
              <w:t>connection with share-based incentive</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280" w:type="dxa"/>
            <w:vAlign w:val="bottom"/>
          </w:tcPr>
          <w:p>
            <w:pPr>
              <w:ind w:left="120"/>
              <w:spacing w:after="0"/>
              <w:rPr>
                <w:sz w:val="20"/>
                <w:szCs w:val="20"/>
                <w:color w:val="auto"/>
              </w:rPr>
            </w:pPr>
            <w:r>
              <w:rPr>
                <w:rFonts w:ascii="Arial" w:cs="Arial" w:eastAsia="Arial" w:hAnsi="Arial"/>
                <w:sz w:val="16"/>
                <w:szCs w:val="16"/>
                <w:color w:val="auto"/>
              </w:rPr>
              <w:t>compensation and related tax expense</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5280" w:type="dxa"/>
            <w:vAlign w:val="bottom"/>
          </w:tcPr>
          <w:p>
            <w:pPr>
              <w:ind w:left="120"/>
              <w:spacing w:after="0"/>
              <w:rPr>
                <w:sz w:val="20"/>
                <w:szCs w:val="20"/>
                <w:color w:val="auto"/>
              </w:rPr>
            </w:pPr>
            <w:r>
              <w:rPr>
                <w:rFonts w:ascii="Arial" w:cs="Arial" w:eastAsia="Arial" w:hAnsi="Arial"/>
                <w:sz w:val="16"/>
                <w:szCs w:val="16"/>
                <w:color w:val="auto"/>
              </w:rPr>
              <w:t>of $71</w:t>
            </w: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(110,432)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(110,432)</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(110,432)</w:t>
            </w:r>
          </w:p>
        </w:tc>
      </w:tr>
      <w:tr>
        <w:trPr>
          <w:trHeight w:val="209"/>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Business acquisitions and related equity</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52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transactions:</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6"/>
        </w:trPr>
        <w:tc>
          <w:tcPr>
            <w:tcW w:w="5280" w:type="dxa"/>
            <w:vAlign w:val="bottom"/>
          </w:tcPr>
          <w:p>
            <w:pPr>
              <w:ind w:left="260"/>
              <w:spacing w:after="0"/>
              <w:rPr>
                <w:sz w:val="20"/>
                <w:szCs w:val="20"/>
                <w:color w:val="auto"/>
              </w:rPr>
            </w:pPr>
            <w:r>
              <w:rPr>
                <w:rFonts w:ascii="Arial" w:cs="Arial" w:eastAsia="Arial" w:hAnsi="Arial"/>
                <w:sz w:val="16"/>
                <w:szCs w:val="16"/>
                <w:color w:val="auto"/>
              </w:rPr>
              <w:t>Class A common stock issuable</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5280" w:type="dxa"/>
            <w:vAlign w:val="bottom"/>
          </w:tcPr>
          <w:p>
            <w:pPr>
              <w:ind w:left="380"/>
              <w:spacing w:after="0"/>
              <w:rPr>
                <w:sz w:val="20"/>
                <w:szCs w:val="20"/>
                <w:color w:val="auto"/>
              </w:rPr>
            </w:pPr>
            <w:r>
              <w:rPr>
                <w:rFonts w:ascii="Arial" w:cs="Arial" w:eastAsia="Arial" w:hAnsi="Arial"/>
                <w:sz w:val="16"/>
                <w:szCs w:val="16"/>
                <w:color w:val="auto"/>
              </w:rPr>
              <w:t>(including related amortization)</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353</w:t>
            </w:r>
          </w:p>
        </w:tc>
        <w:tc>
          <w:tcPr>
            <w:tcW w:w="100" w:type="dxa"/>
            <w:vAlign w:val="bottom"/>
          </w:tcPr>
          <w:p>
            <w:pPr>
              <w:spacing w:after="0"/>
              <w:rPr>
                <w:sz w:val="18"/>
                <w:szCs w:val="18"/>
                <w:color w:val="auto"/>
              </w:rPr>
            </w:pPr>
          </w:p>
        </w:tc>
      </w:tr>
      <w:tr>
        <w:trPr>
          <w:trHeight w:val="219"/>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(6,176)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(6,176)</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(6,176)</w:t>
            </w:r>
          </w:p>
        </w:tc>
      </w:tr>
      <w:tr>
        <w:trPr>
          <w:trHeight w:val="207"/>
        </w:trPr>
        <w:tc>
          <w:tcPr>
            <w:tcW w:w="5280" w:type="dxa"/>
            <w:vAlign w:val="bottom"/>
          </w:tcPr>
          <w:p>
            <w:pPr>
              <w:spacing w:after="0"/>
              <w:rPr>
                <w:sz w:val="20"/>
                <w:szCs w:val="20"/>
                <w:color w:val="auto"/>
              </w:rPr>
            </w:pPr>
            <w:r>
              <w:rPr>
                <w:rFonts w:ascii="Arial" w:cs="Arial" w:eastAsia="Arial" w:hAnsi="Arial"/>
                <w:sz w:val="16"/>
                <w:szCs w:val="16"/>
                <w:b w:val="1"/>
                <w:bCs w:val="1"/>
                <w:color w:val="auto"/>
              </w:rPr>
              <w:t>Balance - December 31, 2018 (*)</w:t>
            </w: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758,705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(228,660)</w:t>
            </w:r>
          </w:p>
        </w:tc>
        <w:tc>
          <w:tcPr>
            <w:tcW w:w="2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530,045</w:t>
            </w:r>
          </w:p>
        </w:tc>
        <w:tc>
          <w:tcPr>
            <w:tcW w:w="2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52,707</w:t>
            </w:r>
          </w:p>
        </w:tc>
        <w:tc>
          <w:tcPr>
            <w:tcW w:w="2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582,752</w:t>
            </w:r>
          </w:p>
        </w:tc>
        <w:tc>
          <w:tcPr>
            <w:tcW w:w="100" w:type="dxa"/>
            <w:vAlign w:val="bottom"/>
          </w:tcPr>
          <w:p>
            <w:pPr>
              <w:spacing w:after="0"/>
              <w:rPr>
                <w:sz w:val="17"/>
                <w:szCs w:val="17"/>
                <w:color w:val="auto"/>
              </w:rPr>
            </w:pPr>
          </w:p>
        </w:tc>
      </w:tr>
      <w:tr>
        <w:trPr>
          <w:trHeight w:val="20"/>
        </w:trPr>
        <w:tc>
          <w:tcPr>
            <w:tcW w:w="5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8" w:lineRule="exact"/>
        <w:rPr>
          <w:sz w:val="20"/>
          <w:szCs w:val="20"/>
          <w:color w:val="auto"/>
        </w:rPr>
      </w:pPr>
    </w:p>
    <w:p>
      <w:pPr>
        <w:ind w:left="260" w:hanging="252"/>
        <w:spacing w:after="0"/>
        <w:tabs>
          <w:tab w:leader="none" w:pos="260" w:val="left"/>
        </w:tabs>
        <w:numPr>
          <w:ilvl w:val="0"/>
          <w:numId w:val="48"/>
        </w:numPr>
        <w:rPr>
          <w:rFonts w:ascii="Arial" w:cs="Arial" w:eastAsia="Arial" w:hAnsi="Arial"/>
          <w:sz w:val="18"/>
          <w:szCs w:val="18"/>
          <w:color w:val="auto"/>
        </w:rPr>
      </w:pPr>
      <w:r>
        <w:rPr>
          <w:rFonts w:ascii="Arial" w:cs="Arial" w:eastAsia="Arial" w:hAnsi="Arial"/>
          <w:sz w:val="16"/>
          <w:szCs w:val="16"/>
          <w:color w:val="auto"/>
        </w:rPr>
        <w:t>At December 31, 2018, in addition to profit participation interests, there were two managing member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11150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8" w:name="page79"/>
    <w:bookmarkEnd w:id="78"/>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CONSOLIDATED STATEMENTS OF CHANGES IN MEMBERS’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Accumulated</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7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Total</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17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Comprehensive</w:t>
            </w:r>
          </w:p>
        </w:tc>
        <w:tc>
          <w:tcPr>
            <w:tcW w:w="8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Lazard Group</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Total</w:t>
            </w:r>
          </w:p>
        </w:tc>
      </w:tr>
      <w:tr>
        <w:trPr>
          <w:trHeight w:val="162"/>
        </w:trPr>
        <w:tc>
          <w:tcPr>
            <w:tcW w:w="17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5"/>
              </w:rPr>
              <w:t>Member's</w:t>
            </w:r>
          </w:p>
        </w:tc>
        <w:tc>
          <w:tcPr>
            <w:tcW w:w="100" w:type="dxa"/>
            <w:vAlign w:val="bottom"/>
          </w:tcPr>
          <w:p>
            <w:pPr>
              <w:spacing w:after="0"/>
              <w:rPr>
                <w:sz w:val="14"/>
                <w:szCs w:val="14"/>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Income (Loss),</w:t>
            </w:r>
          </w:p>
        </w:tc>
        <w:tc>
          <w:tcPr>
            <w:tcW w:w="8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Members’</w:t>
            </w:r>
          </w:p>
        </w:tc>
        <w:tc>
          <w:tcPr>
            <w:tcW w:w="12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4"/>
              </w:rPr>
              <w:t>Noncontrolling</w:t>
            </w: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Members’</w:t>
            </w:r>
          </w:p>
        </w:tc>
      </w:tr>
      <w:tr>
        <w:trPr>
          <w:trHeight w:val="161"/>
        </w:trPr>
        <w:tc>
          <w:tcPr>
            <w:tcW w:w="17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Net of Tax</w:t>
            </w:r>
          </w:p>
        </w:tc>
        <w:tc>
          <w:tcPr>
            <w:tcW w:w="8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Equity</w:t>
            </w:r>
          </w:p>
        </w:tc>
        <w:tc>
          <w:tcPr>
            <w:tcW w:w="180" w:type="dxa"/>
            <w:vAlign w:val="bottom"/>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5"/>
              </w:rPr>
              <w:t>Interests</w:t>
            </w: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Equity</w:t>
            </w:r>
          </w:p>
        </w:tc>
      </w:tr>
      <w:tr>
        <w:trPr>
          <w:trHeight w:val="210"/>
        </w:trPr>
        <w:tc>
          <w:tcPr>
            <w:tcW w:w="52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Balance - January 1, 2019</w:t>
            </w: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758,705</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(228,660)</w:t>
            </w:r>
          </w:p>
        </w:tc>
        <w:tc>
          <w:tcPr>
            <w:tcW w:w="2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530,045</w:t>
            </w: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3"/>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52,707</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582,752</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5280" w:type="dxa"/>
            <w:vAlign w:val="bottom"/>
            <w:gridSpan w:val="2"/>
          </w:tcPr>
          <w:p>
            <w:pPr>
              <w:spacing w:after="0"/>
              <w:rPr>
                <w:sz w:val="20"/>
                <w:szCs w:val="20"/>
                <w:color w:val="auto"/>
              </w:rPr>
            </w:pPr>
            <w:r>
              <w:rPr>
                <w:rFonts w:ascii="Arial" w:cs="Arial" w:eastAsia="Arial" w:hAnsi="Arial"/>
                <w:sz w:val="16"/>
                <w:szCs w:val="16"/>
                <w:color w:val="auto"/>
              </w:rPr>
              <w:t>Comprehensive income (loss):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52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322,380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322,380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11,216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333,596</w:t>
            </w:r>
          </w:p>
        </w:tc>
        <w:tc>
          <w:tcPr>
            <w:tcW w:w="100" w:type="dxa"/>
            <w:vAlign w:val="bottom"/>
            <w:shd w:val="clear" w:color="auto" w:fill="CFF0FC"/>
          </w:tcPr>
          <w:p>
            <w:pPr>
              <w:spacing w:after="0"/>
              <w:rPr>
                <w:sz w:val="19"/>
                <w:szCs w:val="19"/>
                <w:color w:val="auto"/>
              </w:rPr>
            </w:pPr>
          </w:p>
        </w:tc>
      </w:tr>
      <w:tr>
        <w:trPr>
          <w:trHeight w:val="213"/>
        </w:trPr>
        <w:tc>
          <w:tcPr>
            <w:tcW w:w="5280" w:type="dxa"/>
            <w:vAlign w:val="bottom"/>
            <w:gridSpan w:val="2"/>
          </w:tcPr>
          <w:p>
            <w:pPr>
              <w:ind w:left="260"/>
              <w:spacing w:after="0"/>
              <w:rPr>
                <w:sz w:val="20"/>
                <w:szCs w:val="20"/>
                <w:color w:val="auto"/>
              </w:rPr>
            </w:pPr>
            <w:r>
              <w:rPr>
                <w:rFonts w:ascii="Arial" w:cs="Arial" w:eastAsia="Arial" w:hAnsi="Arial"/>
                <w:sz w:val="16"/>
                <w:szCs w:val="16"/>
                <w:color w:val="auto"/>
              </w:rPr>
              <w:t>Other comprehensive loss - net of tax</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(21,744)</w:t>
            </w: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(21,744)</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(21,744)</w:t>
            </w:r>
          </w:p>
        </w:tc>
      </w:tr>
      <w:tr>
        <w:trPr>
          <w:trHeight w:val="209"/>
        </w:trPr>
        <w:tc>
          <w:tcPr>
            <w:tcW w:w="52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Amortization of share-based incentive</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528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compensation</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253,284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253,284</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253,284</w:t>
            </w:r>
          </w:p>
        </w:tc>
        <w:tc>
          <w:tcPr>
            <w:tcW w:w="100" w:type="dxa"/>
            <w:vAlign w:val="bottom"/>
            <w:shd w:val="clear" w:color="auto" w:fill="CFF0FC"/>
          </w:tcPr>
          <w:p>
            <w:pPr>
              <w:spacing w:after="0"/>
              <w:rPr>
                <w:sz w:val="18"/>
                <w:szCs w:val="18"/>
                <w:color w:val="auto"/>
              </w:rPr>
            </w:pPr>
          </w:p>
        </w:tc>
      </w:tr>
      <w:tr>
        <w:trPr>
          <w:trHeight w:val="206"/>
        </w:trPr>
        <w:tc>
          <w:tcPr>
            <w:tcW w:w="5280" w:type="dxa"/>
            <w:vAlign w:val="bottom"/>
            <w:gridSpan w:val="2"/>
          </w:tcPr>
          <w:p>
            <w:pPr>
              <w:spacing w:after="0"/>
              <w:rPr>
                <w:sz w:val="20"/>
                <w:szCs w:val="20"/>
                <w:color w:val="auto"/>
              </w:rPr>
            </w:pPr>
            <w:r>
              <w:rPr>
                <w:rFonts w:ascii="Arial" w:cs="Arial" w:eastAsia="Arial" w:hAnsi="Arial"/>
                <w:sz w:val="16"/>
                <w:szCs w:val="16"/>
                <w:color w:val="auto"/>
              </w:rPr>
              <w:t>Distributions to members and noncontrolling interests,</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5280" w:type="dxa"/>
            <w:vAlign w:val="bottom"/>
            <w:gridSpan w:val="2"/>
          </w:tcPr>
          <w:p>
            <w:pPr>
              <w:ind w:left="80"/>
              <w:spacing w:after="0"/>
              <w:rPr>
                <w:sz w:val="20"/>
                <w:szCs w:val="20"/>
                <w:color w:val="auto"/>
              </w:rPr>
            </w:pPr>
            <w:r>
              <w:rPr>
                <w:rFonts w:ascii="Arial" w:cs="Arial" w:eastAsia="Arial" w:hAnsi="Arial"/>
                <w:sz w:val="16"/>
                <w:szCs w:val="16"/>
                <w:color w:val="auto"/>
              </w:rPr>
              <w:t>net</w:t>
            </w: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(263,935)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(263,935)</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(12,395)</w:t>
            </w:r>
          </w:p>
        </w:tc>
        <w:tc>
          <w:tcPr>
            <w:tcW w:w="1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(276,330)</w:t>
            </w:r>
          </w:p>
        </w:tc>
      </w:tr>
      <w:tr>
        <w:trPr>
          <w:trHeight w:val="219"/>
        </w:trPr>
        <w:tc>
          <w:tcPr>
            <w:tcW w:w="52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Purchase of Class A common stock</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(494,687)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(494,687)</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(494,687)</w:t>
            </w:r>
          </w:p>
        </w:tc>
      </w:tr>
      <w:tr>
        <w:trPr>
          <w:trHeight w:val="206"/>
        </w:trPr>
        <w:tc>
          <w:tcPr>
            <w:tcW w:w="5280" w:type="dxa"/>
            <w:vAlign w:val="bottom"/>
            <w:gridSpan w:val="2"/>
          </w:tcPr>
          <w:p>
            <w:pPr>
              <w:spacing w:after="0"/>
              <w:rPr>
                <w:sz w:val="20"/>
                <w:szCs w:val="20"/>
                <w:color w:val="auto"/>
              </w:rPr>
            </w:pPr>
            <w:r>
              <w:rPr>
                <w:rFonts w:ascii="Arial" w:cs="Arial" w:eastAsia="Arial" w:hAnsi="Arial"/>
                <w:sz w:val="16"/>
                <w:szCs w:val="16"/>
                <w:color w:val="auto"/>
              </w:rPr>
              <w:t>Delivery of Class A common stock in</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280" w:type="dxa"/>
            <w:vAlign w:val="bottom"/>
            <w:gridSpan w:val="2"/>
          </w:tcPr>
          <w:p>
            <w:pPr>
              <w:ind w:left="120"/>
              <w:spacing w:after="0"/>
              <w:rPr>
                <w:sz w:val="20"/>
                <w:szCs w:val="20"/>
                <w:color w:val="auto"/>
              </w:rPr>
            </w:pPr>
            <w:r>
              <w:rPr>
                <w:rFonts w:ascii="Arial" w:cs="Arial" w:eastAsia="Arial" w:hAnsi="Arial"/>
                <w:sz w:val="16"/>
                <w:szCs w:val="16"/>
                <w:color w:val="auto"/>
              </w:rPr>
              <w:t>connection with share-based incentive</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280" w:type="dxa"/>
            <w:vAlign w:val="bottom"/>
            <w:gridSpan w:val="2"/>
          </w:tcPr>
          <w:p>
            <w:pPr>
              <w:ind w:left="120"/>
              <w:spacing w:after="0"/>
              <w:rPr>
                <w:sz w:val="20"/>
                <w:szCs w:val="20"/>
                <w:color w:val="auto"/>
              </w:rPr>
            </w:pPr>
            <w:r>
              <w:rPr>
                <w:rFonts w:ascii="Arial" w:cs="Arial" w:eastAsia="Arial" w:hAnsi="Arial"/>
                <w:sz w:val="16"/>
                <w:szCs w:val="16"/>
                <w:color w:val="auto"/>
              </w:rPr>
              <w:t>compensation and related tax benefit</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5280" w:type="dxa"/>
            <w:vAlign w:val="bottom"/>
            <w:gridSpan w:val="2"/>
          </w:tcPr>
          <w:p>
            <w:pPr>
              <w:ind w:left="120"/>
              <w:spacing w:after="0"/>
              <w:rPr>
                <w:sz w:val="20"/>
                <w:szCs w:val="20"/>
                <w:color w:val="auto"/>
              </w:rPr>
            </w:pPr>
            <w:r>
              <w:rPr>
                <w:rFonts w:ascii="Arial" w:cs="Arial" w:eastAsia="Arial" w:hAnsi="Arial"/>
                <w:sz w:val="16"/>
                <w:szCs w:val="16"/>
                <w:color w:val="auto"/>
              </w:rPr>
              <w:t>of $49</w:t>
            </w: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(99,911)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(99,911)</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(99,911)</w:t>
            </w:r>
          </w:p>
        </w:tc>
      </w:tr>
      <w:tr>
        <w:trPr>
          <w:trHeight w:val="209"/>
        </w:trPr>
        <w:tc>
          <w:tcPr>
            <w:tcW w:w="52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Business acquisitions and related equity</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528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transactions:</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6"/>
        </w:trPr>
        <w:tc>
          <w:tcPr>
            <w:tcW w:w="5280" w:type="dxa"/>
            <w:vAlign w:val="bottom"/>
            <w:gridSpan w:val="2"/>
          </w:tcPr>
          <w:p>
            <w:pPr>
              <w:ind w:left="260"/>
              <w:spacing w:after="0"/>
              <w:rPr>
                <w:sz w:val="20"/>
                <w:szCs w:val="20"/>
                <w:color w:val="auto"/>
              </w:rPr>
            </w:pPr>
            <w:r>
              <w:rPr>
                <w:rFonts w:ascii="Arial" w:cs="Arial" w:eastAsia="Arial" w:hAnsi="Arial"/>
                <w:sz w:val="16"/>
                <w:szCs w:val="16"/>
                <w:color w:val="auto"/>
              </w:rPr>
              <w:t>Class A common stock issuable</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5280" w:type="dxa"/>
            <w:vAlign w:val="bottom"/>
            <w:gridSpan w:val="2"/>
          </w:tcPr>
          <w:p>
            <w:pPr>
              <w:ind w:left="380"/>
              <w:spacing w:after="0"/>
              <w:rPr>
                <w:sz w:val="20"/>
                <w:szCs w:val="20"/>
                <w:color w:val="auto"/>
              </w:rPr>
            </w:pPr>
            <w:r>
              <w:rPr>
                <w:rFonts w:ascii="Arial" w:cs="Arial" w:eastAsia="Arial" w:hAnsi="Arial"/>
                <w:sz w:val="16"/>
                <w:szCs w:val="16"/>
                <w:color w:val="auto"/>
              </w:rPr>
              <w:t>(including related amortization)</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8"/>
                <w:szCs w:val="18"/>
                <w:color w:val="auto"/>
              </w:rPr>
            </w:pPr>
          </w:p>
        </w:tc>
      </w:tr>
      <w:tr>
        <w:trPr>
          <w:trHeight w:val="219"/>
        </w:trPr>
        <w:tc>
          <w:tcPr>
            <w:tcW w:w="52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Consolidation of VIEs</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16,878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16,878</w:t>
            </w:r>
          </w:p>
        </w:tc>
        <w:tc>
          <w:tcPr>
            <w:tcW w:w="100" w:type="dxa"/>
            <w:vAlign w:val="bottom"/>
            <w:shd w:val="clear" w:color="auto" w:fill="CFF0FC"/>
          </w:tcPr>
          <w:p>
            <w:pPr>
              <w:spacing w:after="0"/>
              <w:rPr>
                <w:sz w:val="19"/>
                <w:szCs w:val="19"/>
                <w:color w:val="auto"/>
              </w:rPr>
            </w:pPr>
          </w:p>
        </w:tc>
      </w:tr>
      <w:tr>
        <w:trPr>
          <w:trHeight w:val="213"/>
        </w:trPr>
        <w:tc>
          <w:tcPr>
            <w:tcW w:w="5280" w:type="dxa"/>
            <w:vAlign w:val="bottom"/>
            <w:gridSpan w:val="2"/>
          </w:tcPr>
          <w:p>
            <w:pPr>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(6,717)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(6,717)</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(6,717)</w:t>
            </w:r>
          </w:p>
        </w:tc>
      </w:tr>
      <w:tr>
        <w:trPr>
          <w:trHeight w:val="210"/>
        </w:trPr>
        <w:tc>
          <w:tcPr>
            <w:tcW w:w="52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Balance - December 31, 2019 (*)</w:t>
            </w:r>
          </w:p>
        </w:tc>
        <w:tc>
          <w:tcPr>
            <w:tcW w:w="16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469,324</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(250,404)</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218,920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3"/>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68,406</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287,326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17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5"/>
        </w:trPr>
        <w:tc>
          <w:tcPr>
            <w:tcW w:w="1760" w:type="dxa"/>
            <w:vAlign w:val="bottom"/>
            <w:tcBorders>
              <w:bottom w:val="single" w:sz="8" w:color="auto"/>
            </w:tcBorders>
          </w:tcPr>
          <w:p>
            <w:pPr>
              <w:spacing w:after="0"/>
              <w:rPr>
                <w:sz w:val="9"/>
                <w:szCs w:val="9"/>
                <w:color w:val="auto"/>
              </w:rPr>
            </w:pPr>
          </w:p>
        </w:tc>
        <w:tc>
          <w:tcPr>
            <w:tcW w:w="3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r>
    </w:tbl>
    <w:p>
      <w:pPr>
        <w:spacing w:after="0" w:line="44" w:lineRule="exact"/>
        <w:rPr>
          <w:sz w:val="20"/>
          <w:szCs w:val="20"/>
          <w:color w:val="auto"/>
        </w:rPr>
      </w:pPr>
    </w:p>
    <w:p>
      <w:pPr>
        <w:ind w:left="300" w:hanging="261"/>
        <w:spacing w:after="0"/>
        <w:tabs>
          <w:tab w:leader="none" w:pos="300" w:val="left"/>
        </w:tabs>
        <w:numPr>
          <w:ilvl w:val="0"/>
          <w:numId w:val="49"/>
        </w:numPr>
        <w:rPr>
          <w:rFonts w:ascii="Arial" w:cs="Arial" w:eastAsia="Arial" w:hAnsi="Arial"/>
          <w:sz w:val="18"/>
          <w:szCs w:val="18"/>
          <w:color w:val="auto"/>
        </w:rPr>
      </w:pPr>
      <w:r>
        <w:rPr>
          <w:rFonts w:ascii="Arial" w:cs="Arial" w:eastAsia="Arial" w:hAnsi="Arial"/>
          <w:sz w:val="16"/>
          <w:szCs w:val="16"/>
          <w:color w:val="auto"/>
        </w:rPr>
        <w:t>At December 31, 2019, in addition to profit participation interests, there were two managing member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38" w:lineRule="exact"/>
        <w:rPr>
          <w:sz w:val="20"/>
          <w:szCs w:val="20"/>
          <w:color w:val="auto"/>
        </w:rPr>
      </w:pPr>
    </w:p>
    <w:p>
      <w:pPr>
        <w:ind w:left="300" w:right="6760" w:hanging="292"/>
        <w:spacing w:after="0" w:line="375" w:lineRule="auto"/>
        <w:tabs>
          <w:tab w:leader="none" w:pos="595" w:val="left"/>
        </w:tabs>
        <w:numPr>
          <w:ilvl w:val="0"/>
          <w:numId w:val="5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 Organization</w:t>
      </w:r>
    </w:p>
    <w:p>
      <w:pPr>
        <w:spacing w:after="0" w:line="1" w:lineRule="exact"/>
        <w:rPr>
          <w:sz w:val="20"/>
          <w:szCs w:val="20"/>
          <w:color w:val="auto"/>
        </w:rPr>
      </w:pPr>
    </w:p>
    <w:p>
      <w:pPr>
        <w:jc w:val="both"/>
        <w:ind w:right="20" w:firstLine="598"/>
        <w:spacing w:after="0" w:line="264" w:lineRule="auto"/>
        <w:rPr>
          <w:sz w:val="20"/>
          <w:szCs w:val="20"/>
          <w:color w:val="auto"/>
        </w:rPr>
      </w:pPr>
      <w:r>
        <w:rPr>
          <w:rFonts w:ascii="Arial" w:cs="Arial" w:eastAsia="Arial" w:hAnsi="Arial"/>
          <w:sz w:val="18"/>
          <w:szCs w:val="18"/>
          <w:color w:val="auto"/>
        </w:rPr>
        <w:t>The accompanying consolidated financial statements are those of Lazard Group LLC and its subsidiaries (collectively referred to as “Lazard Group”, “we” or the “Company”). Lazard Group is a Delaware limited liability company, which is governed by an Amended and Restated Operating Agreement dated as of February 4, 2019 (the “Operating Agreement”).</w:t>
      </w:r>
    </w:p>
    <w:p>
      <w:pPr>
        <w:spacing w:after="0" w:line="73"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Lazard Ltd, a Bermuda holding company, and its subsidiaries (collectively referred to as “Lazard Ltd”), including its indirect investment in Lazard Group, is one of the world’s preeminent financial advisory and asset management firms and has long specialized in crafting solutions to the complex financial and strategic challenges of our clients. We serve a diverse set of clients around the world, including corporations, governments, institutions, partnerships and individuals.</w:t>
      </w:r>
    </w:p>
    <w:p>
      <w:pPr>
        <w:spacing w:after="0" w:line="187" w:lineRule="exact"/>
        <w:rPr>
          <w:sz w:val="20"/>
          <w:szCs w:val="20"/>
          <w:color w:val="auto"/>
        </w:rPr>
      </w:pPr>
    </w:p>
    <w:p>
      <w:pPr>
        <w:ind w:right="340" w:firstLine="598"/>
        <w:spacing w:after="0" w:line="277" w:lineRule="auto"/>
        <w:rPr>
          <w:sz w:val="20"/>
          <w:szCs w:val="20"/>
          <w:color w:val="auto"/>
        </w:rPr>
      </w:pPr>
      <w:r>
        <w:rPr>
          <w:rFonts w:ascii="Arial" w:cs="Arial" w:eastAsia="Arial" w:hAnsi="Arial"/>
          <w:sz w:val="18"/>
          <w:szCs w:val="18"/>
          <w:color w:val="auto"/>
        </w:rPr>
        <w:t>Lazard Ltd indirectly held 100% of all outstanding Lazard Group common membership interests as of December 31, 2019 and 2018. Lazard Ltd, through its control of the managing members of Lazard Group, controls Lazard Group.</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Lazard Group’s principal operating activities are included in two business segments:</w:t>
      </w:r>
    </w:p>
    <w:p>
      <w:pPr>
        <w:spacing w:after="0" w:line="117" w:lineRule="exact"/>
        <w:rPr>
          <w:sz w:val="20"/>
          <w:szCs w:val="20"/>
          <w:color w:val="auto"/>
        </w:rPr>
      </w:pPr>
    </w:p>
    <w:p>
      <w:pPr>
        <w:ind w:left="1200" w:right="200" w:hanging="598"/>
        <w:spacing w:after="0" w:line="264" w:lineRule="auto"/>
        <w:tabs>
          <w:tab w:leader="none" w:pos="12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capital advisory, restructurings, shareholder advisory, sovereign advisory, capital raising and other strategic advisory matters, and</w:t>
      </w:r>
    </w:p>
    <w:p>
      <w:pPr>
        <w:spacing w:after="0" w:line="73" w:lineRule="exact"/>
        <w:rPr>
          <w:rFonts w:ascii="Arial" w:cs="Arial" w:eastAsia="Arial" w:hAnsi="Arial"/>
          <w:sz w:val="18"/>
          <w:szCs w:val="18"/>
          <w:color w:val="auto"/>
        </w:rPr>
      </w:pPr>
    </w:p>
    <w:p>
      <w:pPr>
        <w:ind w:left="1200" w:right="460" w:hanging="598"/>
        <w:spacing w:after="0" w:line="286" w:lineRule="auto"/>
        <w:tabs>
          <w:tab w:leader="none" w:pos="12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Asset Management, which offers a broad range of global investment solutions and investment management services in equity and fixed income strategies, asset allocation strategies, alternative investments and private equity funds to corporations, public funds, sovereign entities, endowments and foundations, labor funds, financial intermediaries and private clients.</w:t>
      </w:r>
    </w:p>
    <w:p>
      <w:pPr>
        <w:spacing w:after="0" w:line="166"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deferred tax assets, outstanding indebtedness, certain contingent obligations, and assets and liabilities associated with Lazard Group’s Paris-based subsidiary Lazard Frères Banque SA (“LFB”).</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440" w:firstLine="598"/>
        <w:spacing w:after="0" w:line="308" w:lineRule="auto"/>
        <w:rPr>
          <w:sz w:val="20"/>
          <w:szCs w:val="20"/>
          <w:color w:val="auto"/>
        </w:rPr>
      </w:pPr>
      <w:r>
        <w:rPr>
          <w:rFonts w:ascii="Arial" w:cs="Arial" w:eastAsia="Arial" w:hAnsi="Arial"/>
          <w:sz w:val="17"/>
          <w:szCs w:val="17"/>
          <w:color w:val="auto"/>
        </w:rPr>
        <w:t>The consolidated financial statements are prepared in conformity with accounting principles generally accepted in the United States of America (“U.S. GAAP”). The Company’s policy is to consolidate entities in which it has a controlling financial interest. The Company consolidates:</w:t>
      </w:r>
    </w:p>
    <w:p>
      <w:pPr>
        <w:spacing w:after="0" w:line="38" w:lineRule="exact"/>
        <w:rPr>
          <w:sz w:val="20"/>
          <w:szCs w:val="20"/>
          <w:color w:val="auto"/>
        </w:rPr>
      </w:pPr>
    </w:p>
    <w:p>
      <w:pPr>
        <w:ind w:left="1200" w:hanging="598"/>
        <w:spacing w:after="0"/>
        <w:tabs>
          <w:tab w:leader="none" w:pos="12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Voting interest entities (“VOEs”) where the Company holds a majority of the voting interest in such VOEs, and</w:t>
      </w:r>
    </w:p>
    <w:p>
      <w:pPr>
        <w:spacing w:after="0" w:line="117" w:lineRule="exact"/>
        <w:rPr>
          <w:rFonts w:ascii="Arial" w:cs="Arial" w:eastAsia="Arial" w:hAnsi="Arial"/>
          <w:sz w:val="18"/>
          <w:szCs w:val="18"/>
          <w:color w:val="auto"/>
        </w:rPr>
      </w:pPr>
    </w:p>
    <w:p>
      <w:pPr>
        <w:ind w:left="1200" w:hanging="598"/>
        <w:spacing w:after="0" w:line="264" w:lineRule="auto"/>
        <w:tabs>
          <w:tab w:leader="none" w:pos="12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Variable interest entities (“VIEs”) where the Company is the primary beneficiary having the power to direct the activities of the VIE that most significantly impact the VIE’s economic performance and the obligation to absorb losses of, or receive benefits from, the VIE that could be potentially significant to the VIE (see Note 23).</w:t>
      </w:r>
    </w:p>
    <w:p>
      <w:pPr>
        <w:spacing w:after="0" w:line="181"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color w:val="auto"/>
        </w:rPr>
        <w:t>When the Company does not have a controlling interest in an entity, but exerts significant influence over such entity’s operating and financial decisions, the Company either (i) applies the equity method of accounting in which it records a proportionate share of the entity’s net earnings, or (ii) elects the option to measure its investment at fair value. Intercompany transactions and balances have been eliminated.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80" w:name="page81"/>
    <w:bookmarkEnd w:id="80"/>
    <w:p>
      <w:pPr>
        <w:jc w:val="center"/>
        <w:ind w:right="-79"/>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right="300" w:firstLine="598"/>
        <w:spacing w:after="0" w:line="276" w:lineRule="auto"/>
        <w:rPr>
          <w:sz w:val="20"/>
          <w:szCs w:val="20"/>
          <w:color w:val="auto"/>
        </w:rPr>
      </w:pPr>
      <w:r>
        <w:rPr>
          <w:rFonts w:ascii="Arial" w:cs="Arial" w:eastAsia="Arial" w:hAnsi="Arial"/>
          <w:sz w:val="17"/>
          <w:szCs w:val="17"/>
          <w:color w:val="auto"/>
        </w:rPr>
        <w:t>The consolidated financial statements include Lazard Group and Lazard Group’s principal operating subsidiaries: Lazard Frères &amp; Co. LLC (“LFNY”), a New York limited liability company, along with its subsidiaries, including Lazard Asset Management LLC and its subsidiaries (collectively referred to as “LAM”); the French limited liability companies Compagnie Financière Lazard Frères SAS (“CFLF”) along with its subsidiaries, LFB and Lazard Frères Gestion SAS (“LFG”), and Maison Lazard SAS and its subsidiaries; and Lazard &amp; Co., Limited (“LCL”), through Lazard &amp; Co., Holdings Limited (“LCH”), an English private limited company, together with their jointly owned affiliates and subsidiaries.</w:t>
      </w:r>
    </w:p>
    <w:p>
      <w:pPr>
        <w:spacing w:after="0" w:line="17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374" w:lineRule="exact"/>
        <w:rPr>
          <w:sz w:val="20"/>
          <w:szCs w:val="20"/>
          <w:color w:val="auto"/>
        </w:rPr>
      </w:pPr>
    </w:p>
    <w:p>
      <w:pPr>
        <w:ind w:left="600" w:hanging="592"/>
        <w:spacing w:after="0"/>
        <w:tabs>
          <w:tab w:leader="none" w:pos="600" w:val="left"/>
        </w:tabs>
        <w:numPr>
          <w:ilvl w:val="0"/>
          <w:numId w:val="5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SIGNIFICANT ACCOUNTING POLICIES</w:t>
      </w:r>
    </w:p>
    <w:p>
      <w:pPr>
        <w:spacing w:after="0" w:line="117" w:lineRule="exact"/>
        <w:rPr>
          <w:rFonts w:ascii="Arial" w:cs="Arial" w:eastAsia="Arial" w:hAnsi="Arial"/>
          <w:sz w:val="18"/>
          <w:szCs w:val="18"/>
          <w:b w:val="1"/>
          <w:bCs w:val="1"/>
          <w:i w:val="1"/>
          <w:iCs w:val="1"/>
          <w:color w:val="auto"/>
        </w:rPr>
      </w:pPr>
    </w:p>
    <w:p>
      <w:pPr>
        <w:ind w:left="60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accounting policies below relate to reported amounts and disclosures in the consolidated financial statements.</w:t>
      </w:r>
    </w:p>
    <w:p>
      <w:pPr>
        <w:spacing w:after="0" w:line="225" w:lineRule="exact"/>
        <w:rPr>
          <w:sz w:val="20"/>
          <w:szCs w:val="20"/>
          <w:color w:val="auto"/>
        </w:rPr>
      </w:pPr>
    </w:p>
    <w:p>
      <w:pPr>
        <w:ind w:firstLine="598"/>
        <w:spacing w:after="0" w:line="290" w:lineRule="auto"/>
        <w:rPr>
          <w:sz w:val="20"/>
          <w:szCs w:val="20"/>
          <w:color w:val="auto"/>
        </w:rPr>
      </w:pPr>
      <w:r>
        <w:rPr>
          <w:rFonts w:ascii="Arial" w:cs="Arial" w:eastAsia="Arial" w:hAnsi="Arial"/>
          <w:sz w:val="16"/>
          <w:szCs w:val="16"/>
          <w:b w:val="1"/>
          <w:bCs w:val="1"/>
          <w:i w:val="1"/>
          <w:iCs w:val="1"/>
          <w:color w:val="auto"/>
        </w:rPr>
        <w:t>Foreign Currency Translation—</w:t>
      </w:r>
      <w:r>
        <w:rPr>
          <w:rFonts w:ascii="Arial" w:cs="Arial" w:eastAsia="Arial" w:hAnsi="Arial"/>
          <w:sz w:val="16"/>
          <w:szCs w:val="16"/>
          <w:color w:val="auto"/>
        </w:rPr>
        <w:t>The consolidated financial statements are presented in U.S. Dollars. Many of the Company’s non-U.S. subsidiaries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year-end exchange rates, while revenue and expenses are translated at average exchange rates during the year based on the daily closing exchange rates. Adjustments that result from translating amounts from a subsidiary’s functional currency to U.S. Dollars are reported in “accumulated other comprehensive income (loss), net of tax” (“AOCI”). Foreign currency remeasurement gains and losses on transactions in non-functional currencies are included on the consolidated statements of operations. Foreign currency remeasurement gains (losses), net of hedge transactions (see Note 8) amounted to $3,665, $(2,206) and $1,876 for the years ended December 31, 2019, 2018 and 2017, respectively, and are included in “revenue-other” on the respective consolidated statements of operations.</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6"/>
          <w:szCs w:val="16"/>
          <w:b w:val="1"/>
          <w:bCs w:val="1"/>
          <w:i w:val="1"/>
          <w:iCs w:val="1"/>
          <w:color w:val="auto"/>
        </w:rPr>
        <w:t>Use of Estimates—</w:t>
      </w:r>
      <w:r>
        <w:rPr>
          <w:rFonts w:ascii="Arial" w:cs="Arial" w:eastAsia="Arial" w:hAnsi="Arial"/>
          <w:sz w:val="16"/>
          <w:szCs w:val="16"/>
          <w:color w:val="auto"/>
        </w:rPr>
        <w:t>The preparation of consolidated financial statements in conformity with U.S. GAAP requires the use of management’s estimates.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preparing the consolidated financial statements, management makes estimates and assumptions regarding:</w:t>
      </w:r>
    </w:p>
    <w:p>
      <w:pPr>
        <w:spacing w:after="0" w:line="103" w:lineRule="exact"/>
        <w:rPr>
          <w:sz w:val="20"/>
          <w:szCs w:val="20"/>
          <w:color w:val="auto"/>
        </w:rPr>
      </w:pPr>
    </w:p>
    <w:p>
      <w:pPr>
        <w:ind w:left="1200" w:hanging="598"/>
        <w:spacing w:after="0" w:line="277" w:lineRule="auto"/>
        <w:tabs>
          <w:tab w:leader="none" w:pos="12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valuations of assets and liabilities requiring fair value estimates including, but not limited to, investments, derivatives, securities sold, not yet purchased and assumptions used to value pension and other post-retirement plans;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assessment of probability with respect to recognizing revenue;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discount rate used to measure operating lease right-of-use assets and operating lease liabilities;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adequacy of the allowance for doubtful accounts;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realization of deferred tax assets and adequacy of tax reserves for uncertain tax positions;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outcome of litigation;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carrying amount of goodwill and other intangible assets;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vesting of share-based and other deferred compensation plan awards;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other matters that affect the reported amounts and disclosure of contingencies in the consolidated financial statements.</w:t>
      </w:r>
    </w:p>
    <w:p>
      <w:pPr>
        <w:spacing w:after="0" w:line="225" w:lineRule="exact"/>
        <w:rPr>
          <w:sz w:val="20"/>
          <w:szCs w:val="20"/>
          <w:color w:val="auto"/>
        </w:rPr>
      </w:pPr>
    </w:p>
    <w:p>
      <w:pPr>
        <w:ind w:right="300" w:firstLine="598"/>
        <w:spacing w:after="0" w:line="277" w:lineRule="auto"/>
        <w:rPr>
          <w:sz w:val="20"/>
          <w:szCs w:val="20"/>
          <w:color w:val="auto"/>
        </w:rPr>
      </w:pPr>
      <w:r>
        <w:rPr>
          <w:rFonts w:ascii="Arial" w:cs="Arial" w:eastAsia="Arial" w:hAnsi="Arial"/>
          <w:sz w:val="18"/>
          <w:szCs w:val="18"/>
          <w:color w:val="auto"/>
        </w:rPr>
        <w:t>Estimates, by their nature, are based on judgment and available information. Therefore, actual results could differ from those estimates and could have a material impact on the consolidated financial statements.</w:t>
      </w:r>
    </w:p>
    <w:p>
      <w:pPr>
        <w:spacing w:after="0" w:line="170" w:lineRule="exact"/>
        <w:rPr>
          <w:sz w:val="20"/>
          <w:szCs w:val="20"/>
          <w:color w:val="auto"/>
        </w:rPr>
      </w:pPr>
    </w:p>
    <w:p>
      <w:pPr>
        <w:ind w:right="700" w:firstLine="598"/>
        <w:spacing w:after="0" w:line="277" w:lineRule="auto"/>
        <w:rPr>
          <w:sz w:val="20"/>
          <w:szCs w:val="20"/>
          <w:color w:val="auto"/>
        </w:rPr>
      </w:pPr>
      <w:r>
        <w:rPr>
          <w:rFonts w:ascii="Arial" w:cs="Arial" w:eastAsia="Arial" w:hAnsi="Arial"/>
          <w:sz w:val="18"/>
          <w:szCs w:val="18"/>
          <w:b w:val="1"/>
          <w:bCs w:val="1"/>
          <w:i w:val="1"/>
          <w:iCs w:val="1"/>
          <w:color w:val="auto"/>
        </w:rPr>
        <w:t>Cash and Cash Equivalents—</w:t>
      </w:r>
      <w:r>
        <w:rPr>
          <w:rFonts w:ascii="Arial" w:cs="Arial" w:eastAsia="Arial" w:hAnsi="Arial"/>
          <w:sz w:val="18"/>
          <w:szCs w:val="18"/>
          <w:color w:val="auto"/>
        </w:rPr>
        <w:t>The Company defines cash equivalents as short-term, highly liquid securities and cash deposits with original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maturities of 90 days or less when purchased.</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jc w:val="both"/>
        <w:ind w:right="40" w:firstLine="598"/>
        <w:spacing w:after="0" w:line="312" w:lineRule="auto"/>
        <w:rPr>
          <w:sz w:val="20"/>
          <w:szCs w:val="20"/>
          <w:color w:val="auto"/>
        </w:rPr>
      </w:pPr>
      <w:r>
        <w:rPr>
          <w:rFonts w:ascii="Arial" w:cs="Arial" w:eastAsia="Arial" w:hAnsi="Arial"/>
          <w:sz w:val="16"/>
          <w:szCs w:val="16"/>
          <w:b w:val="1"/>
          <w:bCs w:val="1"/>
          <w:i w:val="1"/>
          <w:iCs w:val="1"/>
          <w:color w:val="auto"/>
        </w:rPr>
        <w:t>Deposits with Banks and Short-Term Investments—</w:t>
      </w:r>
      <w:r>
        <w:rPr>
          <w:rFonts w:ascii="Arial" w:cs="Arial" w:eastAsia="Arial" w:hAnsi="Arial"/>
          <w:sz w:val="16"/>
          <w:szCs w:val="16"/>
          <w:color w:val="auto"/>
        </w:rPr>
        <w:t>Represents LFB’s short-term deposits, including with the Banque de France and amounts placed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LFB in short-term, highly liquid securities with original maturities of 90 days or less when purchased. The level of these deposits and investments may be driven by the level of LFB time and demand deposits (which can fluctuate significantly on a daily basis) and by changes in asset allocation.</w:t>
      </w:r>
    </w:p>
    <w:p>
      <w:pPr>
        <w:spacing w:after="0" w:line="147" w:lineRule="exact"/>
        <w:rPr>
          <w:sz w:val="20"/>
          <w:szCs w:val="20"/>
          <w:color w:val="auto"/>
        </w:rPr>
      </w:pPr>
    </w:p>
    <w:p>
      <w:pPr>
        <w:ind w:right="360" w:firstLine="598"/>
        <w:spacing w:after="0" w:line="277" w:lineRule="auto"/>
        <w:rPr>
          <w:sz w:val="20"/>
          <w:szCs w:val="20"/>
          <w:color w:val="auto"/>
        </w:rPr>
      </w:pPr>
      <w:r>
        <w:rPr>
          <w:rFonts w:ascii="Arial" w:cs="Arial" w:eastAsia="Arial" w:hAnsi="Arial"/>
          <w:sz w:val="18"/>
          <w:szCs w:val="18"/>
          <w:b w:val="1"/>
          <w:bCs w:val="1"/>
          <w:i w:val="1"/>
          <w:iCs w:val="1"/>
          <w:color w:val="auto"/>
        </w:rPr>
        <w:t>Cash Deposited with Clearing Organizations and Other Segregated Cash—</w:t>
      </w:r>
      <w:r>
        <w:rPr>
          <w:rFonts w:ascii="Arial" w:cs="Arial" w:eastAsia="Arial" w:hAnsi="Arial"/>
          <w:sz w:val="18"/>
          <w:szCs w:val="18"/>
          <w:color w:val="auto"/>
        </w:rPr>
        <w:t>Primarily represents restricted cash deposits made by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those to satisfy the requirements of clearing organizations.</w:t>
      </w:r>
    </w:p>
    <w:p>
      <w:pPr>
        <w:spacing w:after="0" w:line="170"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b w:val="1"/>
          <w:bCs w:val="1"/>
          <w:i w:val="1"/>
          <w:iCs w:val="1"/>
          <w:color w:val="auto"/>
        </w:rPr>
        <w:t>Allowance for Doubtful Accounts—</w:t>
      </w:r>
      <w:r>
        <w:rPr>
          <w:rFonts w:ascii="Arial" w:cs="Arial" w:eastAsia="Arial" w:hAnsi="Arial"/>
          <w:sz w:val="18"/>
          <w:szCs w:val="18"/>
          <w:color w:val="auto"/>
        </w:rPr>
        <w:t>We maintain an allowance for bad debts to provide for estimated losses relating to fees and 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receivables. We determine the adequacy of the allowance by estimating the probability of loss based on management’s analysis of the client’s creditworthiness and specifically reserve against exposures where we determine the receivables may be impaired, which may include situations where a fee is in dispute or litigation has commenced.</w:t>
      </w:r>
    </w:p>
    <w:p>
      <w:pPr>
        <w:spacing w:after="0" w:line="187" w:lineRule="exact"/>
        <w:rPr>
          <w:sz w:val="20"/>
          <w:szCs w:val="20"/>
          <w:color w:val="auto"/>
        </w:rPr>
      </w:pPr>
    </w:p>
    <w:p>
      <w:pPr>
        <w:ind w:right="40" w:firstLine="598"/>
        <w:spacing w:after="0" w:line="271" w:lineRule="auto"/>
        <w:rPr>
          <w:sz w:val="20"/>
          <w:szCs w:val="20"/>
          <w:color w:val="auto"/>
        </w:rPr>
      </w:pPr>
      <w:r>
        <w:rPr>
          <w:rFonts w:ascii="Arial" w:cs="Arial" w:eastAsia="Arial" w:hAnsi="Arial"/>
          <w:sz w:val="17"/>
          <w:szCs w:val="17"/>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interest-bearing financing receivables) following the invoice date or may be subject to court approval (as is the case with bankruptcy-related restructuring assignments).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collectable.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7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See Note 5 for additional information regarding receivables.</w:t>
      </w:r>
    </w:p>
    <w:p>
      <w:pPr>
        <w:spacing w:after="0" w:line="225" w:lineRule="exact"/>
        <w:rPr>
          <w:sz w:val="20"/>
          <w:szCs w:val="20"/>
          <w:color w:val="auto"/>
        </w:rPr>
      </w:pPr>
    </w:p>
    <w:p>
      <w:pPr>
        <w:ind w:right="180" w:firstLine="598"/>
        <w:spacing w:after="0" w:line="264" w:lineRule="auto"/>
        <w:rPr>
          <w:sz w:val="20"/>
          <w:szCs w:val="20"/>
          <w:color w:val="auto"/>
        </w:rPr>
      </w:pPr>
      <w:r>
        <w:rPr>
          <w:rFonts w:ascii="Arial" w:cs="Arial" w:eastAsia="Arial" w:hAnsi="Arial"/>
          <w:sz w:val="18"/>
          <w:szCs w:val="18"/>
          <w:b w:val="1"/>
          <w:bCs w:val="1"/>
          <w:i w:val="1"/>
          <w:iCs w:val="1"/>
          <w:color w:val="auto"/>
        </w:rPr>
        <w:t>Investments—</w:t>
      </w:r>
      <w:r>
        <w:rPr>
          <w:rFonts w:ascii="Arial" w:cs="Arial" w:eastAsia="Arial" w:hAnsi="Arial"/>
          <w:sz w:val="18"/>
          <w:szCs w:val="18"/>
          <w:color w:val="auto"/>
        </w:rPr>
        <w:t>Investments in debt and marketable equity securities held either directly, or indirectly through asset management funds, 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broker-dealer and non broker-dealer subsidiaries are accounted for at fair value, with any increase or decrease in fair value recorded in earnings. Such amounts are reflected in “revenue-other” in the consolidated statements of operations.</w:t>
      </w:r>
    </w:p>
    <w:p>
      <w:pPr>
        <w:spacing w:after="0" w:line="181" w:lineRule="exact"/>
        <w:rPr>
          <w:sz w:val="20"/>
          <w:szCs w:val="20"/>
          <w:color w:val="auto"/>
        </w:rPr>
      </w:pPr>
    </w:p>
    <w:p>
      <w:pPr>
        <w:ind w:right="160" w:firstLine="598"/>
        <w:spacing w:after="0" w:line="342" w:lineRule="auto"/>
        <w:rPr>
          <w:sz w:val="20"/>
          <w:szCs w:val="20"/>
          <w:color w:val="auto"/>
        </w:rPr>
      </w:pPr>
      <w:r>
        <w:rPr>
          <w:rFonts w:ascii="Arial" w:cs="Arial" w:eastAsia="Arial" w:hAnsi="Arial"/>
          <w:sz w:val="16"/>
          <w:szCs w:val="16"/>
          <w:color w:val="auto"/>
        </w:rPr>
        <w:t>Investments also include interests in alternative investment funds and private equity funds, each accounted for at fair value. Any increases or decreases in the carrying value of those investments accounted for at fair value are reflected in “revenue-other” in the consolidated statements of operations.</w:t>
      </w:r>
    </w:p>
    <w:p>
      <w:pPr>
        <w:spacing w:after="0" w:line="124" w:lineRule="exact"/>
        <w:rPr>
          <w:sz w:val="20"/>
          <w:szCs w:val="20"/>
          <w:color w:val="auto"/>
        </w:rPr>
      </w:pPr>
    </w:p>
    <w:p>
      <w:pPr>
        <w:ind w:right="420" w:firstLine="598"/>
        <w:spacing w:after="0" w:line="277" w:lineRule="auto"/>
        <w:rPr>
          <w:sz w:val="20"/>
          <w:szCs w:val="20"/>
          <w:color w:val="auto"/>
        </w:rPr>
      </w:pPr>
      <w:r>
        <w:rPr>
          <w:rFonts w:ascii="Arial" w:cs="Arial" w:eastAsia="Arial" w:hAnsi="Arial"/>
          <w:sz w:val="18"/>
          <w:szCs w:val="18"/>
          <w:color w:val="auto"/>
        </w:rPr>
        <w:t>Dividend income is reflected in “revenue-other” in the consolidated statements of operations. Securities transactions and the related revenue and expenses are recorded on a “trade date” basis.</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See Notes 6 and 7 for additional information regarding the Company’s investments.</w:t>
      </w:r>
    </w:p>
    <w:p>
      <w:pPr>
        <w:spacing w:after="0" w:line="225"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b w:val="1"/>
          <w:bCs w:val="1"/>
          <w:i w:val="1"/>
          <w:iCs w:val="1"/>
          <w:color w:val="auto"/>
        </w:rPr>
        <w:t>Property-net—</w:t>
      </w:r>
      <w:r>
        <w:rPr>
          <w:rFonts w:ascii="Arial" w:cs="Arial" w:eastAsia="Arial" w:hAnsi="Arial"/>
          <w:sz w:val="17"/>
          <w:szCs w:val="17"/>
          <w:color w:val="auto"/>
        </w:rPr>
        <w:t>Property is stated at cost less accumulated depreciation and amortization. Buildings are depreciated on a straight-line basis over their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estimated useful lives. Leasehold improvements are capitalized and are amortized over the lesser of the economic useful life of the improvement or the term of the lease. Depreciation of furniture and equipment, including computer hardware and software, is determined on a straight-line basis using estimated useful lives. Depreciation and amortization expense aggregating $35,260, $33,778 and $31,491 for the years ended December 31, 2019, 2018 and 2017, respectively, is included on the respective consolidated statements of operations in “occupancy and equipment” or “technology and information services”, depending on the nature of the underlying asset. Repairs and maintenance are expensed as incurred.</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Operating Lease Right-of-use Assets and Operating Lease Liabilities—</w:t>
      </w:r>
      <w:r>
        <w:rPr>
          <w:rFonts w:ascii="Arial" w:cs="Arial" w:eastAsia="Arial" w:hAnsi="Arial"/>
          <w:sz w:val="18"/>
          <w:szCs w:val="18"/>
          <w:color w:val="auto"/>
        </w:rPr>
        <w:t>See Notes 3 and 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2" w:name="page83"/>
    <w:bookmarkEnd w:id="82"/>
    <w:p>
      <w:pPr>
        <w:jc w:val="center"/>
        <w:ind w:right="-39"/>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right="140" w:firstLine="598"/>
        <w:spacing w:after="0" w:line="312" w:lineRule="auto"/>
        <w:rPr>
          <w:sz w:val="20"/>
          <w:szCs w:val="20"/>
          <w:color w:val="auto"/>
        </w:rPr>
      </w:pPr>
      <w:r>
        <w:rPr>
          <w:rFonts w:ascii="Arial" w:cs="Arial" w:eastAsia="Arial" w:hAnsi="Arial"/>
          <w:sz w:val="16"/>
          <w:szCs w:val="16"/>
          <w:b w:val="1"/>
          <w:bCs w:val="1"/>
          <w:i w:val="1"/>
          <w:iCs w:val="1"/>
          <w:color w:val="auto"/>
        </w:rPr>
        <w:t>Goodwill and Other Intangible Assets—</w:t>
      </w:r>
      <w:r>
        <w:rPr>
          <w:rFonts w:ascii="Arial" w:cs="Arial" w:eastAsia="Arial" w:hAnsi="Arial"/>
          <w:sz w:val="16"/>
          <w:szCs w:val="16"/>
          <w:color w:val="auto"/>
        </w:rPr>
        <w:t>As goodwill has an indefinite life, it is required to be tested for impairment annually, as of November 1,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more frequently if circumstances indicate impairment may have occurred. The Company performs a qualitative evaluation about whether it is more likely than not that the fair value of a reporting unit is less than its carrying amount in lieu of actually calculating the fair value of the reporting unit.</w:t>
      </w:r>
    </w:p>
    <w:p>
      <w:pPr>
        <w:spacing w:after="0" w:line="147"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Intangible assets that are not deemed to have an indefinite life are amortized over their estimated useful lives and are reviewed for impairment whenever events or changes in circumstances indicate that the carrying amount of such assets may not be recoverable. The pattern of amortization reflects the timing of the realization of the economic benefits of such intangible assets. For acquired customer contracts, the period of realization is deemed to be the period when the related revenue is recognized. This analysis is performed by comparing the carrying value of the intangible asset being reviewed for impairment to the current and expected future cash flows expected to be generated from such asset on an undiscounted basis, including eventual disposition. An impairment loss would be measured for the amount by which the carrying amount of the intangible asset exceeds its fair value.</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See Note 11 with respect to goodwill and other intangible assets.</w:t>
      </w:r>
    </w:p>
    <w:p>
      <w:pPr>
        <w:spacing w:after="0" w:line="225" w:lineRule="exact"/>
        <w:rPr>
          <w:sz w:val="20"/>
          <w:szCs w:val="20"/>
          <w:color w:val="auto"/>
        </w:rPr>
      </w:pPr>
    </w:p>
    <w:p>
      <w:pPr>
        <w:ind w:right="20" w:firstLine="598"/>
        <w:spacing w:after="0" w:line="302" w:lineRule="auto"/>
        <w:rPr>
          <w:sz w:val="20"/>
          <w:szCs w:val="20"/>
          <w:color w:val="auto"/>
        </w:rPr>
      </w:pPr>
      <w:r>
        <w:rPr>
          <w:rFonts w:ascii="Arial" w:cs="Arial" w:eastAsia="Arial" w:hAnsi="Arial"/>
          <w:sz w:val="16"/>
          <w:szCs w:val="16"/>
          <w:b w:val="1"/>
          <w:bCs w:val="1"/>
          <w:i w:val="1"/>
          <w:iCs w:val="1"/>
          <w:color w:val="auto"/>
        </w:rPr>
        <w:t>Derivative Instruments—</w:t>
      </w:r>
      <w:r>
        <w:rPr>
          <w:rFonts w:ascii="Arial" w:cs="Arial" w:eastAsia="Arial" w:hAnsi="Arial"/>
          <w:sz w:val="16"/>
          <w:szCs w:val="16"/>
          <w:color w:val="auto"/>
        </w:rPr>
        <w:t>A derivative is typically defined as an instrument whose value is “derived” from underlying assets, indices or reference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rates, such as a future, forward, swap, or option contract, or other financial instrument with similar characteristics. Derivative contracts often involve future commitments to exchange interest payment streams or currencies based on a notional or contractual amount (</w:t>
      </w:r>
      <w:r>
        <w:rPr>
          <w:rFonts w:ascii="Arial" w:cs="Arial" w:eastAsia="Arial" w:hAnsi="Arial"/>
          <w:sz w:val="16"/>
          <w:szCs w:val="16"/>
          <w:i w:val="1"/>
          <w:iCs w:val="1"/>
          <w:color w:val="auto"/>
        </w:rPr>
        <w:t>e.g.</w:t>
      </w:r>
      <w:r>
        <w:rPr>
          <w:rFonts w:ascii="Arial" w:cs="Arial" w:eastAsia="Arial" w:hAnsi="Arial"/>
          <w:sz w:val="16"/>
          <w:szCs w:val="16"/>
          <w:color w:val="auto"/>
        </w:rPr>
        <w:t>, interest rate swaps or currency forwards) or to purchase or sell other financial instruments at specified terms on a specified date (</w:t>
      </w:r>
      <w:r>
        <w:rPr>
          <w:rFonts w:ascii="Arial" w:cs="Arial" w:eastAsia="Arial" w:hAnsi="Arial"/>
          <w:sz w:val="16"/>
          <w:szCs w:val="16"/>
          <w:i w:val="1"/>
          <w:iCs w:val="1"/>
          <w:color w:val="auto"/>
        </w:rPr>
        <w:t>e.g.</w:t>
      </w:r>
      <w:r>
        <w:rPr>
          <w:rFonts w:ascii="Arial" w:cs="Arial" w:eastAsia="Arial" w:hAnsi="Arial"/>
          <w:sz w:val="16"/>
          <w:szCs w:val="16"/>
          <w:color w:val="auto"/>
        </w:rPr>
        <w:t>, options to buy or sell securities or currencies).</w:t>
      </w:r>
    </w:p>
    <w:p>
      <w:pPr>
        <w:spacing w:after="0" w:line="154"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The Company enters into forward foreign currency exchange rate contracts, interest rate swaps, interest rate futures, total return swap contracts on various equity and debt indices and other derivative contracts to economically hedge exposures to fluctuations in currency exchange rates, interest rates and equity and debt prices.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consolidated statements of financial condition. Gains and losses on the Company’s derivative instruments are generally included in “interest income” and “interest expense”, respectively, or “revenue-other”, depending on the nature of the underlying item, in the consolidated statements of operations.</w:t>
      </w:r>
    </w:p>
    <w:p>
      <w:pPr>
        <w:spacing w:after="0" w:line="189" w:lineRule="exact"/>
        <w:rPr>
          <w:sz w:val="20"/>
          <w:szCs w:val="20"/>
          <w:color w:val="auto"/>
        </w:rPr>
      </w:pPr>
    </w:p>
    <w:p>
      <w:pPr>
        <w:ind w:right="200" w:firstLine="598"/>
        <w:spacing w:after="0" w:line="272" w:lineRule="auto"/>
        <w:rPr>
          <w:sz w:val="20"/>
          <w:szCs w:val="20"/>
          <w:color w:val="auto"/>
        </w:rPr>
      </w:pPr>
      <w:r>
        <w:rPr>
          <w:rFonts w:ascii="Arial" w:cs="Arial" w:eastAsia="Arial" w:hAnsi="Arial"/>
          <w:sz w:val="17"/>
          <w:szCs w:val="17"/>
          <w:color w:val="auto"/>
        </w:rPr>
        <w:t>In addition to the derivative instruments described above, the Company records derivative liabilities relating to its obligations pertaining to Lazard Fund Interests (“LFI”) and other similar deferred compensation arrangements, the fair value of which is based on the value of the underlying investments, adjusted for estimated forfeitures, and is included in “accrued compensation and benefits” in the consolidated statements of financial condition. Changes in the fair value of the derivative liabilities are included in “compensation and benefits” in the consolidated statements of operations, the impact of which equally offsets the changes in the fair value of investments which are currently expected to be delivered upon settlement of LFI and other similar deferred compensation arrangements, which are reported in “revenue-other” in the consolidated statements of operations. For information regarding LFI and other similar deferred compensation arrangements, see Notes 6, 8 and 16.</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Deposits and Other Customer Payables—</w:t>
      </w:r>
      <w:r>
        <w:rPr>
          <w:rFonts w:ascii="Arial" w:cs="Arial" w:eastAsia="Arial" w:hAnsi="Arial"/>
          <w:sz w:val="18"/>
          <w:szCs w:val="18"/>
          <w:color w:val="auto"/>
        </w:rPr>
        <w:t>Principally relates to LFB customer-related demand deposits.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b w:val="1"/>
          <w:bCs w:val="1"/>
          <w:i w:val="1"/>
          <w:iCs w:val="1"/>
          <w:color w:val="auto"/>
        </w:rPr>
        <w:t>Securities Sold, Not Yet Purchased—</w:t>
      </w:r>
      <w:r>
        <w:rPr>
          <w:rFonts w:ascii="Arial" w:cs="Arial" w:eastAsia="Arial" w:hAnsi="Arial"/>
          <w:sz w:val="18"/>
          <w:szCs w:val="18"/>
          <w:color w:val="auto"/>
        </w:rPr>
        <w:t>Securities sold, not yet purchased represents liabilities for securities sold for which payment has been received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the obligations to deliver such securities are included within “other liabilities” in the consolidated statements of financial condition. These securities are accounted for at fair value, with any increase or decrease in fair value recorded in earnings in accordance with standard securities industry practices. Such gains and losses are reflected in “revenue-other” in the consolidated statements of operations.</w:t>
      </w:r>
    </w:p>
    <w:p>
      <w:pPr>
        <w:spacing w:after="0" w:line="187" w:lineRule="exact"/>
        <w:rPr>
          <w:sz w:val="20"/>
          <w:szCs w:val="20"/>
          <w:color w:val="auto"/>
        </w:rPr>
      </w:pPr>
    </w:p>
    <w:p>
      <w:pPr>
        <w:jc w:val="both"/>
        <w:ind w:right="540" w:firstLine="598"/>
        <w:spacing w:after="0" w:line="312" w:lineRule="auto"/>
        <w:rPr>
          <w:sz w:val="20"/>
          <w:szCs w:val="20"/>
          <w:color w:val="auto"/>
        </w:rPr>
      </w:pPr>
      <w:r>
        <w:rPr>
          <w:rFonts w:ascii="Arial" w:cs="Arial" w:eastAsia="Arial" w:hAnsi="Arial"/>
          <w:sz w:val="16"/>
          <w:szCs w:val="16"/>
          <w:b w:val="1"/>
          <w:bCs w:val="1"/>
          <w:i w:val="1"/>
          <w:iCs w:val="1"/>
          <w:color w:val="auto"/>
        </w:rPr>
        <w:t>Contingent Consideration Liabilities —</w:t>
      </w:r>
      <w:r>
        <w:rPr>
          <w:rFonts w:ascii="Arial" w:cs="Arial" w:eastAsia="Arial" w:hAnsi="Arial"/>
          <w:sz w:val="16"/>
          <w:szCs w:val="16"/>
          <w:color w:val="auto"/>
        </w:rPr>
        <w:t>The contingent consideration liabilities of businesses acquired in a business combination are initially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recorded at fair value, and any change in the fair value is recognized in “amortization and other acquisition-related (benefits) costs” in the consolidated statements of operations. The contingent consideration liability is included in “other liabilities” on the consolidated statements of financial condition.</w:t>
      </w:r>
    </w:p>
    <w:p>
      <w:pPr>
        <w:spacing w:after="0" w:line="147"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b w:val="1"/>
          <w:bCs w:val="1"/>
          <w:i w:val="1"/>
          <w:iCs w:val="1"/>
          <w:color w:val="auto"/>
        </w:rPr>
        <w:t>Fair Value of Financial Assets and Liabilities—</w:t>
      </w:r>
      <w:r>
        <w:rPr>
          <w:rFonts w:ascii="Arial" w:cs="Arial" w:eastAsia="Arial" w:hAnsi="Arial"/>
          <w:sz w:val="18"/>
          <w:szCs w:val="18"/>
          <w:color w:val="auto"/>
        </w:rPr>
        <w:t>The majority of the Company’s financial assets and liabilities are recorded at fair value or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that approximate fair value. Such assets and liabilities include cash and cash equivalents, deposits with banks and short-term investments, cash deposited with clearing organizations and other segregated cash, receivables, investments (excluding investments accounted for at amortized cost or interest-bearing deposits), derivative instruments, deposits and other customer payables.</w:t>
      </w:r>
    </w:p>
    <w:p>
      <w:pPr>
        <w:spacing w:after="0" w:line="187" w:lineRule="exact"/>
        <w:rPr>
          <w:sz w:val="20"/>
          <w:szCs w:val="20"/>
          <w:color w:val="auto"/>
        </w:rPr>
      </w:pPr>
    </w:p>
    <w:p>
      <w:pPr>
        <w:ind w:right="720" w:firstLine="598"/>
        <w:spacing w:after="0" w:line="277" w:lineRule="auto"/>
        <w:rPr>
          <w:sz w:val="20"/>
          <w:szCs w:val="20"/>
          <w:color w:val="auto"/>
        </w:rPr>
      </w:pPr>
      <w:r>
        <w:rPr>
          <w:rFonts w:ascii="Arial" w:cs="Arial" w:eastAsia="Arial" w:hAnsi="Arial"/>
          <w:sz w:val="18"/>
          <w:szCs w:val="18"/>
          <w:b w:val="1"/>
          <w:bCs w:val="1"/>
          <w:i w:val="1"/>
          <w:iCs w:val="1"/>
          <w:color w:val="auto"/>
        </w:rPr>
        <w:t>Investment Banking and Other Advisory Fees and Asset Management Fees—</w:t>
      </w:r>
      <w:r>
        <w:rPr>
          <w:rFonts w:ascii="Arial" w:cs="Arial" w:eastAsia="Arial" w:hAnsi="Arial"/>
          <w:sz w:val="18"/>
          <w:szCs w:val="18"/>
          <w:color w:val="auto"/>
        </w:rPr>
        <w:t>See Note 4 for the Company’s accounting policy on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recognition as it applies to investment banking and other advisory and asset management fees.</w:t>
      </w:r>
    </w:p>
    <w:p>
      <w:pPr>
        <w:spacing w:after="0" w:line="170" w:lineRule="exact"/>
        <w:rPr>
          <w:sz w:val="20"/>
          <w:szCs w:val="20"/>
          <w:color w:val="auto"/>
        </w:rPr>
      </w:pPr>
    </w:p>
    <w:p>
      <w:pPr>
        <w:ind w:right="40" w:firstLine="598"/>
        <w:spacing w:after="0" w:line="270" w:lineRule="auto"/>
        <w:rPr>
          <w:sz w:val="20"/>
          <w:szCs w:val="20"/>
          <w:color w:val="auto"/>
        </w:rPr>
      </w:pPr>
      <w:r>
        <w:rPr>
          <w:rFonts w:ascii="Arial" w:cs="Arial" w:eastAsia="Arial" w:hAnsi="Arial"/>
          <w:sz w:val="17"/>
          <w:szCs w:val="17"/>
          <w:b w:val="1"/>
          <w:bCs w:val="1"/>
          <w:i w:val="1"/>
          <w:iCs w:val="1"/>
          <w:color w:val="auto"/>
        </w:rPr>
        <w:t>Soft Dollar Arrangements—</w:t>
      </w:r>
      <w:r>
        <w:rPr>
          <w:rFonts w:ascii="Arial" w:cs="Arial" w:eastAsia="Arial" w:hAnsi="Arial"/>
          <w:sz w:val="17"/>
          <w:szCs w:val="17"/>
          <w:color w:val="auto"/>
        </w:rPr>
        <w:t>Certain entities within the Company’s Asset Management business obtain research and other services through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commission-sharing arrangements with broker-dealers, which are also known as “soft dollar” arrangements. Consistent with the “soft dollar” safe harbor established by Section 28(e) of the Securities Exchange Act of 1934, as amended (the “Exchange Act”), the Asset Management business does not have any contractual obligation or arrangement requiring it to pay for research and other eligible services obtained through soft dollar arrangements with brokers. Instead, the provider is obligated to pay for the services. Consequently, the Company does not incur any liability and does not accrue any expenses in connection with any research or other eligible services obtained by the Asset Management business pursuant to such soft dollar arrangements. For the year ended December 31, 2019, the Company obtained research and other eligible services through soft dollar arrangements valued at approximately $25,000. The use of soft dollars is limited by regulations in the European Union and the U.K. and, as such, the Company intends to directly pay a portion of the costs of such research and other eligible services going forward.</w:t>
      </w:r>
    </w:p>
    <w:p>
      <w:pPr>
        <w:spacing w:after="0" w:line="182"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b w:val="1"/>
          <w:bCs w:val="1"/>
          <w:i w:val="1"/>
          <w:iCs w:val="1"/>
          <w:color w:val="auto"/>
        </w:rPr>
        <w:t>Equity-Based Incentive Compensation Awards—</w:t>
      </w:r>
      <w:r>
        <w:rPr>
          <w:rFonts w:ascii="Arial" w:cs="Arial" w:eastAsia="Arial" w:hAnsi="Arial"/>
          <w:sz w:val="16"/>
          <w:szCs w:val="16"/>
          <w:color w:val="auto"/>
        </w:rPr>
        <w:t>Equity-based incentive compensation awards that do not require future service are expensed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immediately. Equity-based compensation awards that require future service are amortized over the applicable vesting period, or requisite service period, based on the fair value of the Company’s Class A common stock on the date of grant. Compensation expense recognized for equity-based incentive compensation is determined based on the number of awards that in the Company’s estimate are considered probable of vesting (including as a result of any applicable performance conditions). Equity-based incentive compensation is recognized in “compensation and benefits” expense.</w:t>
      </w:r>
    </w:p>
    <w:p>
      <w:pPr>
        <w:spacing w:after="0" w:line="158" w:lineRule="exact"/>
        <w:rPr>
          <w:sz w:val="20"/>
          <w:szCs w:val="20"/>
          <w:color w:val="auto"/>
        </w:rPr>
      </w:pPr>
    </w:p>
    <w:p>
      <w:pPr>
        <w:ind w:right="100" w:firstLine="598"/>
        <w:spacing w:after="0" w:line="279"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color w:val="auto"/>
        </w:rPr>
        <w:t>Deferred income taxes reflect the net tax effects of temporary differences between the financial reporting and tax basis of assets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liabilities and are measured using the enacted tax rates and laws that will be in effect when such differences are expected to reverse. Such temporary differences are reflected as deferred tax assets and deferred tax liabilities on the consolidated statements of financial condition. A deferred tax asset is recognized if it is more likely than not (defined as a likelihood of greater than 50%) that a tax benefit will be accepted by a taxing authority.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4" w:name="page85"/>
    <w:bookmarkEnd w:id="84"/>
    <w:p>
      <w:pPr>
        <w:jc w:val="center"/>
        <w:ind w:right="-39"/>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 Management considers the following possible sources of taxable income when assessing the realization of deferred tax assets:</w:t>
      </w:r>
    </w:p>
    <w:p>
      <w:pPr>
        <w:spacing w:after="0" w:line="79" w:lineRule="exact"/>
        <w:rPr>
          <w:sz w:val="20"/>
          <w:szCs w:val="20"/>
          <w:color w:val="auto"/>
        </w:rPr>
      </w:pPr>
    </w:p>
    <w:p>
      <w:pPr>
        <w:ind w:left="1200" w:hanging="598"/>
        <w:spacing w:after="0"/>
        <w:tabs>
          <w:tab w:leader="none" w:pos="1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225"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color w:val="auto"/>
        </w:rPr>
        <w:t>The assessment regarding whether a valuation allowance is required or should be adjusted also considers all available information, including the following:</w:t>
      </w:r>
    </w:p>
    <w:p>
      <w:pPr>
        <w:spacing w:after="0" w:line="62" w:lineRule="exact"/>
        <w:rPr>
          <w:sz w:val="20"/>
          <w:szCs w:val="20"/>
          <w:color w:val="auto"/>
        </w:rPr>
      </w:pPr>
    </w:p>
    <w:p>
      <w:pPr>
        <w:ind w:left="1200" w:hanging="598"/>
        <w:spacing w:after="0"/>
        <w:tabs>
          <w:tab w:leader="none" w:pos="12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nature, frequency, magnitude and duration of any past losses and current operating results;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near-term and medium-term financial outlook.</w:t>
      </w:r>
    </w:p>
    <w:p>
      <w:pPr>
        <w:spacing w:after="0" w:line="225"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color w:val="auto"/>
        </w:rPr>
        <w:t>The Company records tax positions taken or expected to be taken in a tax return based upon the Company’s estimates regarding the amount that is more likely than not to be realized or paid, including in connection with the resolution of any related appeals or other legal processes. Accordingly, the Company recognizes liabilities for certain unrecognized tax benefits based on the amounts that are more likely than not to be settled with the relevant taxing authority.</w:t>
      </w:r>
    </w:p>
    <w:p>
      <w:pPr>
        <w:spacing w:after="0" w:line="187"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color w:val="auto"/>
        </w:rPr>
        <w:t>The Company recognizes interest and/or penalties related to unrecognized tax benefits in “provision for income taxes”. See Note 19 for additional information relating to income taxes.</w:t>
      </w:r>
    </w:p>
    <w:p>
      <w:pPr>
        <w:spacing w:after="0" w:line="279" w:lineRule="exact"/>
        <w:rPr>
          <w:sz w:val="20"/>
          <w:szCs w:val="20"/>
          <w:color w:val="auto"/>
        </w:rPr>
      </w:pPr>
    </w:p>
    <w:p>
      <w:pPr>
        <w:ind w:left="600" w:hanging="592"/>
        <w:spacing w:after="0"/>
        <w:tabs>
          <w:tab w:leader="none" w:pos="600" w:val="left"/>
        </w:tabs>
        <w:numPr>
          <w:ilvl w:val="0"/>
          <w:numId w:val="5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DEVELOPMENTS</w:t>
      </w:r>
    </w:p>
    <w:p>
      <w:pPr>
        <w:spacing w:after="0" w:line="117" w:lineRule="exact"/>
        <w:rPr>
          <w:sz w:val="20"/>
          <w:szCs w:val="20"/>
          <w:color w:val="auto"/>
        </w:rPr>
      </w:pPr>
    </w:p>
    <w:p>
      <w:pPr>
        <w:ind w:right="280" w:firstLine="598"/>
        <w:spacing w:after="0" w:line="276" w:lineRule="auto"/>
        <w:rPr>
          <w:sz w:val="20"/>
          <w:szCs w:val="20"/>
          <w:color w:val="auto"/>
        </w:rPr>
      </w:pPr>
      <w:r>
        <w:rPr>
          <w:rFonts w:ascii="Arial" w:cs="Arial" w:eastAsia="Arial" w:hAnsi="Arial"/>
          <w:sz w:val="17"/>
          <w:szCs w:val="17"/>
          <w:i w:val="1"/>
          <w:iCs w:val="1"/>
          <w:color w:val="auto"/>
        </w:rPr>
        <w:t>Leases</w:t>
      </w:r>
      <w:r>
        <w:rPr>
          <w:rFonts w:ascii="Arial" w:cs="Arial" w:eastAsia="Arial" w:hAnsi="Arial"/>
          <w:sz w:val="17"/>
          <w:szCs w:val="17"/>
          <w:color w:val="auto"/>
        </w:rPr>
        <w:t>—In February 2016, the Financial Accounting Standards Board (the “FASB”) issued updated guidance for leases. The guidance requires a</w:t>
      </w:r>
      <w:r>
        <w:rPr>
          <w:rFonts w:ascii="Arial" w:cs="Arial" w:eastAsia="Arial" w:hAnsi="Arial"/>
          <w:sz w:val="17"/>
          <w:szCs w:val="17"/>
          <w:i w:val="1"/>
          <w:iCs w:val="1"/>
          <w:color w:val="auto"/>
        </w:rPr>
        <w:t xml:space="preserve"> </w:t>
      </w:r>
      <w:r>
        <w:rPr>
          <w:rFonts w:ascii="Arial" w:cs="Arial" w:eastAsia="Arial" w:hAnsi="Arial"/>
          <w:sz w:val="17"/>
          <w:szCs w:val="17"/>
          <w:color w:val="auto"/>
        </w:rPr>
        <w:t>lessee to (i) recognize a right-of-use asset and a lease liability that is initially measured at the present value of the lease payments, in the consolidated statement of financial condition, (ii) recognize a single lease cost, calculated so that the cost of the lease is allocated over the lease term on a straight-line basis and (iii) classify operating lease related cash payments within operating activities and finance lease related principal cash payments within financing activities (with interest included in interest paid) in the consolidated statement of cash flows.</w:t>
      </w:r>
    </w:p>
    <w:p>
      <w:pPr>
        <w:spacing w:after="0" w:line="173" w:lineRule="exact"/>
        <w:rPr>
          <w:sz w:val="20"/>
          <w:szCs w:val="20"/>
          <w:color w:val="auto"/>
        </w:rPr>
      </w:pPr>
    </w:p>
    <w:p>
      <w:pPr>
        <w:jc w:val="both"/>
        <w:ind w:firstLine="598"/>
        <w:spacing w:after="0" w:line="312" w:lineRule="auto"/>
        <w:rPr>
          <w:sz w:val="20"/>
          <w:szCs w:val="20"/>
          <w:color w:val="auto"/>
        </w:rPr>
      </w:pPr>
      <w:r>
        <w:rPr>
          <w:rFonts w:ascii="Arial" w:cs="Arial" w:eastAsia="Arial" w:hAnsi="Arial"/>
          <w:sz w:val="16"/>
          <w:szCs w:val="16"/>
          <w:color w:val="auto"/>
        </w:rPr>
        <w:t>The Company adopted the new guidance on January 1, 2019 using the optional transition method, which allows such guidance to be applied initially at the adoption date with a cumulative-effect adjustment and without restating comparative periods. Lazard elected the package of practical expedients, which allows the carry-forward of the prior conclusions on lease definition, classification and initial direct costs related to the existing leases as of the adoption date.</w:t>
      </w:r>
    </w:p>
    <w:p>
      <w:pPr>
        <w:spacing w:after="0" w:line="147"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Substantially all of the Company’s existing lease arrangements are operating leases. The adoption of the new guidance on January 1, 2019 resulted in a recognition of $501,000 of operating lease right-of-use assets (“ROU assets”) and $581,000 of operating lease liabilities in the Company’s consolidated statements of financial condition. The operating lease liabilities at January 1, 2019 reflect any remaining lease payments discounted using an incremental borrowing rate (on a collateralized basis) based on the remaining lease term (the “Discount”), as an implicit rate was not readily determinable for any of the Company’s existing operating leases. The operating lease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85" w:name="page86"/>
    <w:bookmarkEnd w:id="85"/>
    <w:p>
      <w:pPr>
        <w:jc w:val="center"/>
        <w:ind w:right="-39"/>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ROU assets are lower than the operating lease liabilities primarily because lease incentives reduce the ROU assets (see Note 10).</w:t>
      </w:r>
    </w:p>
    <w:p>
      <w:pPr>
        <w:spacing w:after="0" w:line="225" w:lineRule="exact"/>
        <w:rPr>
          <w:sz w:val="20"/>
          <w:szCs w:val="20"/>
          <w:color w:val="auto"/>
        </w:rPr>
      </w:pPr>
    </w:p>
    <w:p>
      <w:pPr>
        <w:ind w:right="140" w:firstLine="598"/>
        <w:spacing w:after="0" w:line="255" w:lineRule="auto"/>
        <w:rPr>
          <w:sz w:val="20"/>
          <w:szCs w:val="20"/>
          <w:color w:val="auto"/>
        </w:rPr>
      </w:pPr>
      <w:r>
        <w:rPr>
          <w:rFonts w:ascii="Arial" w:cs="Arial" w:eastAsia="Arial" w:hAnsi="Arial"/>
          <w:sz w:val="18"/>
          <w:szCs w:val="18"/>
          <w:i w:val="1"/>
          <w:iCs w:val="1"/>
          <w:color w:val="auto"/>
        </w:rPr>
        <w:t>Improvements to Nonemployee Share-Based Payment Accounting—</w:t>
      </w:r>
      <w:r>
        <w:rPr>
          <w:rFonts w:ascii="Arial" w:cs="Arial" w:eastAsia="Arial" w:hAnsi="Arial"/>
          <w:sz w:val="18"/>
          <w:szCs w:val="18"/>
          <w:color w:val="auto"/>
        </w:rPr>
        <w:t>In June 2018, the FASB issued updated guidance to simplify the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nonemployee share-based payment transactions. The new guidance generally requires equity-classified nonemployee share-based payment awards to be measured at the grant date, which is the date at which a grantor and grantee reach a mutual understanding of the key terms and conditions of a share-based payment award. This update generally aligns the accounting for equity-classified share-based payment awards to nonemployees with the measurement date required for employees. The Company adopted the new guidance on January 1, 2019 and its application did not have a material impact on the Company’s financial statements.</w:t>
      </w:r>
    </w:p>
    <w:p>
      <w:pPr>
        <w:spacing w:after="0" w:line="193" w:lineRule="exact"/>
        <w:rPr>
          <w:sz w:val="20"/>
          <w:szCs w:val="20"/>
          <w:color w:val="auto"/>
        </w:rPr>
      </w:pPr>
    </w:p>
    <w:p>
      <w:pPr>
        <w:ind w:right="20" w:firstLine="598"/>
        <w:spacing w:after="0" w:line="293" w:lineRule="auto"/>
        <w:rPr>
          <w:sz w:val="20"/>
          <w:szCs w:val="20"/>
          <w:color w:val="auto"/>
        </w:rPr>
      </w:pPr>
      <w:r>
        <w:rPr>
          <w:rFonts w:ascii="Arial" w:cs="Arial" w:eastAsia="Arial" w:hAnsi="Arial"/>
          <w:sz w:val="16"/>
          <w:szCs w:val="16"/>
          <w:i w:val="1"/>
          <w:iCs w:val="1"/>
          <w:color w:val="auto"/>
        </w:rPr>
        <w:t>Reclassification of Certain Tax Effects from Accumulated Other Comprehensive Income—</w:t>
      </w:r>
      <w:r>
        <w:rPr>
          <w:rFonts w:ascii="Arial" w:cs="Arial" w:eastAsia="Arial" w:hAnsi="Arial"/>
          <w:sz w:val="16"/>
          <w:szCs w:val="16"/>
          <w:color w:val="auto"/>
        </w:rPr>
        <w:t>In February 2018, the FASB issued updated guidance on</w:t>
      </w:r>
      <w:r>
        <w:rPr>
          <w:rFonts w:ascii="Arial" w:cs="Arial" w:eastAsia="Arial" w:hAnsi="Arial"/>
          <w:sz w:val="16"/>
          <w:szCs w:val="16"/>
          <w:i w:val="1"/>
          <w:iCs w:val="1"/>
          <w:color w:val="auto"/>
        </w:rPr>
        <w:t xml:space="preserve"> </w:t>
      </w:r>
      <w:r>
        <w:rPr>
          <w:rFonts w:ascii="Arial" w:cs="Arial" w:eastAsia="Arial" w:hAnsi="Arial"/>
          <w:sz w:val="16"/>
          <w:szCs w:val="16"/>
          <w:color w:val="auto"/>
        </w:rPr>
        <w:t>the tax effects of items in “accumulated other comprehensive income (loss), net of tax” (“AOCI”). Specifically, the new guidance will permit, but not require, a reclassification from AOCI to retained earnings for stranded tax effects resulting from the newly enacted federal corporate income tax rate under the Tax Cuts and Jobs Act of 2017. The amount of the reclassification would be the difference between the historical corporate income tax rate and the newly enacted 21% corporate income tax rate. The Company adopted the new guidance on January 1, 2019 without reclassifying any amounts from AOCI to retained earnings. The application of the guidance did not have a material impact on the Company’s financial statements.</w:t>
      </w:r>
    </w:p>
    <w:p>
      <w:pPr>
        <w:spacing w:after="0" w:line="165"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i w:val="1"/>
          <w:iCs w:val="1"/>
          <w:color w:val="auto"/>
        </w:rPr>
        <w:t>Financial Instruments—Credit Losses: Measurement of Credit Losses on Financial Instruments</w:t>
      </w:r>
      <w:r>
        <w:rPr>
          <w:rFonts w:ascii="Arial" w:cs="Arial" w:eastAsia="Arial" w:hAnsi="Arial"/>
          <w:sz w:val="18"/>
          <w:szCs w:val="18"/>
          <w:color w:val="auto"/>
        </w:rPr>
        <w:t>—In June 2016, the FASB issued new guidance</w:t>
      </w:r>
      <w:r>
        <w:rPr>
          <w:rFonts w:ascii="Arial" w:cs="Arial" w:eastAsia="Arial" w:hAnsi="Arial"/>
          <w:sz w:val="18"/>
          <w:szCs w:val="18"/>
          <w:i w:val="1"/>
          <w:iCs w:val="1"/>
          <w:color w:val="auto"/>
        </w:rPr>
        <w:t xml:space="preserve"> </w:t>
      </w:r>
      <w:r>
        <w:rPr>
          <w:rFonts w:ascii="Arial" w:cs="Arial" w:eastAsia="Arial" w:hAnsi="Arial"/>
          <w:sz w:val="18"/>
          <w:szCs w:val="18"/>
          <w:color w:val="auto"/>
        </w:rPr>
        <w:t>regarding the measurement of credit losses on financial instruments. The new guidance replaces the incurred loss impairment methodology in the current guidance with a methodology that reflects current expected credit losses (“CECL”) and requires consideration of a broader range of reasonable and supportable information to determine credit loss estimates. The new guidance is effective for annual and interim periods beginning after December 15, 2019. The new guidance will be applied using a modified retrospective approach through a cumulative-effect adjustment to retained earnings at the beginning of the year of adoption.</w:t>
      </w:r>
    </w:p>
    <w:p>
      <w:pPr>
        <w:spacing w:after="0" w:line="193" w:lineRule="exact"/>
        <w:rPr>
          <w:sz w:val="20"/>
          <w:szCs w:val="20"/>
          <w:color w:val="auto"/>
        </w:rPr>
      </w:pPr>
    </w:p>
    <w:p>
      <w:pPr>
        <w:ind w:right="20" w:firstLine="598"/>
        <w:spacing w:after="0" w:line="297" w:lineRule="auto"/>
        <w:rPr>
          <w:sz w:val="20"/>
          <w:szCs w:val="20"/>
          <w:color w:val="auto"/>
        </w:rPr>
      </w:pPr>
      <w:r>
        <w:rPr>
          <w:rFonts w:ascii="Arial" w:cs="Arial" w:eastAsia="Arial" w:hAnsi="Arial"/>
          <w:sz w:val="16"/>
          <w:szCs w:val="16"/>
          <w:color w:val="auto"/>
        </w:rPr>
        <w:t>The Company will adopt the new credit loss guidance upon its effective date of January 1, 2020. The Company’s adoption efforts include the identification of financial assets within the scope of the guidance, the evaluation of the current credit loss provisioning process, and the implementation of the CECL model. The impact of the new guidance primarily relates to the Company’s fee receivables. For customer loans within customer receivables, the Company has elected to apply the practical expedient on financial assets with collateral maintenance provisions, which results in no expected credit losses given that these loans are required to be maintained with collateral having a fair value in excess of the carrying amount of the loans.</w:t>
      </w:r>
    </w:p>
    <w:p>
      <w:pPr>
        <w:spacing w:after="0" w:line="158"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To comply with the CECL model, the Company has analyzed historical bad debt charge-off data to determine the average charge-off rate used to measure the expected credit loss for fee receivables. The Company has determined that long-term forecasted information is not relevant to its fee receivables which are generally short-term. The Company will update the average charge-off rate periodically and maintain a quarterly reserve review process to consider current factors that would require an adjustment to the credit loss estimate. In addition, the Company will periodically perform a qualitative assessment to monitor risks associated with current and forecasted conditions that may require an adjustment to the expected credit loss allowance. The Company currently does not expect a material impact to its financial statements upon adoption of the new credit loss guidance.</w:t>
      </w:r>
    </w:p>
    <w:p>
      <w:pPr>
        <w:spacing w:after="0" w:line="178"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i w:val="1"/>
          <w:iCs w:val="1"/>
          <w:color w:val="auto"/>
        </w:rPr>
        <w:t>Intangibles</w:t>
      </w:r>
      <w:r>
        <w:rPr>
          <w:rFonts w:ascii="Arial" w:cs="Arial" w:eastAsia="Arial" w:hAnsi="Arial"/>
          <w:sz w:val="18"/>
          <w:szCs w:val="18"/>
          <w:color w:val="3C3C3D"/>
        </w:rPr>
        <w:t>—</w:t>
      </w:r>
      <w:r>
        <w:rPr>
          <w:rFonts w:ascii="Arial" w:cs="Arial" w:eastAsia="Arial" w:hAnsi="Arial"/>
          <w:sz w:val="18"/>
          <w:szCs w:val="18"/>
          <w:i w:val="1"/>
          <w:iCs w:val="1"/>
          <w:color w:val="auto"/>
        </w:rPr>
        <w:t>Goodwill and Other: Simplifying the Test for Goodwill Impairment</w:t>
      </w:r>
      <w:r>
        <w:rPr>
          <w:rFonts w:ascii="Arial" w:cs="Arial" w:eastAsia="Arial" w:hAnsi="Arial"/>
          <w:sz w:val="18"/>
          <w:szCs w:val="18"/>
          <w:color w:val="3C3C3D"/>
        </w:rPr>
        <w:t>—</w:t>
      </w:r>
      <w:r>
        <w:rPr>
          <w:rFonts w:ascii="Arial" w:cs="Arial" w:eastAsia="Arial" w:hAnsi="Arial"/>
          <w:sz w:val="18"/>
          <w:szCs w:val="18"/>
          <w:color w:val="auto"/>
        </w:rPr>
        <w:t>In January 2017, the FASB issued updated guidance which</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eliminated Step 2 from the goodwill impairment test. Step 2 is the process of measuring a goodwill impairment loss by comparing the implied fair value of a reporting unit’s goodwill with the carrying amount of that goodwill. The new guidance requires entities to measure a goodwill impairment loss as the amount by which a reporting unit’s carrying value exceeds its fair value, limited to the carrying amount of goodwill. The FASB also eliminated the requirements for entities that have reporting units with zero or negative carrying amounts to perform a qualitative assessment for the goodwill impairment test. Instead, those entities would be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required to disclose the amount of goodwill allocated to each reporting unit with a zero or negative carrying amount. The new guidance is effective for interim or annual goodwill impairment tests performed in fiscal years beginning after December 15, 2019. The Company will adopt the new guidance as of January 1, 2020 and prospectively apply the new model for its goodwill impairment test. There will be no impact to the Company’s financial statements at the adoption date.</w:t>
      </w:r>
    </w:p>
    <w:p>
      <w:pPr>
        <w:spacing w:after="0" w:line="187" w:lineRule="exact"/>
        <w:rPr>
          <w:sz w:val="20"/>
          <w:szCs w:val="20"/>
          <w:color w:val="auto"/>
        </w:rPr>
      </w:pPr>
    </w:p>
    <w:p>
      <w:pPr>
        <w:ind w:right="60" w:firstLine="598"/>
        <w:spacing w:after="0" w:line="272" w:lineRule="auto"/>
        <w:rPr>
          <w:sz w:val="20"/>
          <w:szCs w:val="20"/>
          <w:color w:val="auto"/>
        </w:rPr>
      </w:pPr>
      <w:r>
        <w:rPr>
          <w:rFonts w:ascii="Arial" w:cs="Arial" w:eastAsia="Arial" w:hAnsi="Arial"/>
          <w:sz w:val="17"/>
          <w:szCs w:val="17"/>
          <w:i w:val="1"/>
          <w:iCs w:val="1"/>
          <w:color w:val="auto"/>
        </w:rPr>
        <w:t>Intangibles—Internal-Use Software: Customer’s Accounting for Implementation Costs Incurred in a Cloud Computing Arrangement that is a Service Contract</w:t>
      </w:r>
      <w:r>
        <w:rPr>
          <w:rFonts w:ascii="Arial" w:cs="Arial" w:eastAsia="Arial" w:hAnsi="Arial"/>
          <w:sz w:val="17"/>
          <w:szCs w:val="17"/>
          <w:color w:val="auto"/>
        </w:rPr>
        <w:t>—In August 2018, the FASB issued updated guidance on the accounting for implementation costs incurred in a cloud computing arrangement. The</w:t>
      </w:r>
      <w:r>
        <w:rPr>
          <w:rFonts w:ascii="Arial" w:cs="Arial" w:eastAsia="Arial" w:hAnsi="Arial"/>
          <w:sz w:val="17"/>
          <w:szCs w:val="17"/>
          <w:i w:val="1"/>
          <w:iCs w:val="1"/>
          <w:color w:val="auto"/>
        </w:rPr>
        <w:t xml:space="preserve"> </w:t>
      </w:r>
      <w:r>
        <w:rPr>
          <w:rFonts w:ascii="Arial" w:cs="Arial" w:eastAsia="Arial" w:hAnsi="Arial"/>
          <w:sz w:val="17"/>
          <w:szCs w:val="17"/>
          <w:color w:val="auto"/>
        </w:rPr>
        <w:t>new guidance requires the capitalization of the implementation costs incurred in a cloud computing arrangement to be aligned with the requirements for capitalizing costs incurred to develop or obtain internal-use software. The new guidance is effective for annual and interim reporting periods beginning after December 15, 2019 and allows entities to either retrospectively or prospectively apply the amendments at adoption. The Company will adopt the new guidance as of January 1, 2020 and has elected to apply the new guidance prospectively to implementation costs incurred after the adoption date. There will be no impact to the Company’s financial statements at the adoption date.</w:t>
      </w:r>
    </w:p>
    <w:p>
      <w:pPr>
        <w:spacing w:after="0" w:line="178" w:lineRule="exact"/>
        <w:rPr>
          <w:sz w:val="20"/>
          <w:szCs w:val="20"/>
          <w:color w:val="auto"/>
        </w:rPr>
      </w:pPr>
    </w:p>
    <w:p>
      <w:pPr>
        <w:ind w:right="120" w:firstLine="598"/>
        <w:spacing w:after="0" w:line="257" w:lineRule="auto"/>
        <w:rPr>
          <w:sz w:val="20"/>
          <w:szCs w:val="20"/>
          <w:color w:val="auto"/>
        </w:rPr>
      </w:pPr>
      <w:r>
        <w:rPr>
          <w:rFonts w:ascii="Arial" w:cs="Arial" w:eastAsia="Arial" w:hAnsi="Arial"/>
          <w:sz w:val="18"/>
          <w:szCs w:val="18"/>
          <w:i w:val="1"/>
          <w:iCs w:val="1"/>
          <w:color w:val="auto"/>
        </w:rPr>
        <w:t>Related Party Guidance for Variable Interest Entities</w:t>
      </w:r>
      <w:r>
        <w:rPr>
          <w:rFonts w:ascii="Arial" w:cs="Arial" w:eastAsia="Arial" w:hAnsi="Arial"/>
          <w:sz w:val="18"/>
          <w:szCs w:val="18"/>
          <w:color w:val="auto"/>
        </w:rPr>
        <w:t>—In October 2018, the FASB issued updated guidance that requires consideration of indirect</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held through related parties under common control for determining whether fees paid to decision makers and service providers are variable interests. The new guidance is effective for fiscal years and interim periods beginning after December 15, 2019. The amendments are required to be applied retrospectively with a cumulative-effect adjustment. The Company will adopt the new guidance as of January 1, 2020 and does not expect a material impact to its financial statements at the adoption date.</w:t>
      </w:r>
    </w:p>
    <w:p>
      <w:pPr>
        <w:spacing w:after="0" w:line="188"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i w:val="1"/>
          <w:iCs w:val="1"/>
          <w:color w:val="auto"/>
        </w:rPr>
        <w:t>Fair Value Measurement: Changes to the Disclosure Requirements for Fair Value Measurement</w:t>
      </w:r>
      <w:r>
        <w:rPr>
          <w:rFonts w:ascii="Arial" w:cs="Arial" w:eastAsia="Arial" w:hAnsi="Arial"/>
          <w:sz w:val="16"/>
          <w:szCs w:val="16"/>
          <w:color w:val="auto"/>
        </w:rPr>
        <w:t>—In August 2018, the FASB issued updated guidance</w:t>
      </w:r>
      <w:r>
        <w:rPr>
          <w:rFonts w:ascii="Arial" w:cs="Arial" w:eastAsia="Arial" w:hAnsi="Arial"/>
          <w:sz w:val="16"/>
          <w:szCs w:val="16"/>
          <w:i w:val="1"/>
          <w:iCs w:val="1"/>
          <w:color w:val="auto"/>
        </w:rPr>
        <w:t xml:space="preserve"> </w:t>
      </w:r>
      <w:r>
        <w:rPr>
          <w:rFonts w:ascii="Arial" w:cs="Arial" w:eastAsia="Arial" w:hAnsi="Arial"/>
          <w:sz w:val="16"/>
          <w:szCs w:val="16"/>
          <w:color w:val="auto"/>
        </w:rPr>
        <w:t>which modifies the disclosure requirements on fair value measurement. The updated guidance eliminates or modifies various required disclosures under the current guidance and includes additional requirements. The new guidance is effective for annual and interim reporting periods beginning after December 15, 2019. The additional disclosures related to level 3 fair value measurements are to be applied prospectively and other amendments are to be applied retrospectively. The Company will adopt the new guidance on January 1, 2020 and update its fair value measurement disclosures in accordance with the new guidance. The Company currently does not expect a material impact to its financial statements at the adoption date.</w:t>
      </w:r>
    </w:p>
    <w:p>
      <w:pPr>
        <w:spacing w:after="0" w:line="165" w:lineRule="exact"/>
        <w:rPr>
          <w:sz w:val="20"/>
          <w:szCs w:val="20"/>
          <w:color w:val="auto"/>
        </w:rPr>
      </w:pPr>
    </w:p>
    <w:p>
      <w:pPr>
        <w:ind w:right="100" w:firstLine="598"/>
        <w:spacing w:after="0" w:line="276" w:lineRule="auto"/>
        <w:rPr>
          <w:sz w:val="20"/>
          <w:szCs w:val="20"/>
          <w:color w:val="auto"/>
        </w:rPr>
      </w:pPr>
      <w:r>
        <w:rPr>
          <w:rFonts w:ascii="Arial" w:cs="Arial" w:eastAsia="Arial" w:hAnsi="Arial"/>
          <w:sz w:val="17"/>
          <w:szCs w:val="17"/>
          <w:i w:val="1"/>
          <w:iCs w:val="1"/>
          <w:color w:val="auto"/>
        </w:rPr>
        <w:t>Compensation–Retirement Benefits: Changes to the Disclosure Requirements for Defined Benefit Plans</w:t>
      </w:r>
      <w:r>
        <w:rPr>
          <w:rFonts w:ascii="Arial" w:cs="Arial" w:eastAsia="Arial" w:hAnsi="Arial"/>
          <w:sz w:val="17"/>
          <w:szCs w:val="17"/>
          <w:color w:val="auto"/>
        </w:rPr>
        <w:t>—In August 2018, the FASB issued updated</w:t>
      </w:r>
      <w:r>
        <w:rPr>
          <w:rFonts w:ascii="Arial" w:cs="Arial" w:eastAsia="Arial" w:hAnsi="Arial"/>
          <w:sz w:val="17"/>
          <w:szCs w:val="17"/>
          <w:i w:val="1"/>
          <w:iCs w:val="1"/>
          <w:color w:val="auto"/>
        </w:rPr>
        <w:t xml:space="preserve"> </w:t>
      </w:r>
      <w:r>
        <w:rPr>
          <w:rFonts w:ascii="Arial" w:cs="Arial" w:eastAsia="Arial" w:hAnsi="Arial"/>
          <w:sz w:val="17"/>
          <w:szCs w:val="17"/>
          <w:color w:val="auto"/>
        </w:rPr>
        <w:t>guidance which modifies the disclosure requirements regarding defined benefit plans and other postretirement plans. The updated guidance eliminates or clarifies certain currently required disclosures and includes additional requirements. The new guidance is effective for years ending after December 15, 2020 with retrospective application. The Company will adopt the new guidance on January 1, 2020 and update its related disclosures in accordance with the new guidance. The Company currently does not expect a material impact to its financial statements at the adoption date.</w:t>
      </w:r>
    </w:p>
    <w:p>
      <w:pPr>
        <w:spacing w:after="0" w:line="173" w:lineRule="exact"/>
        <w:rPr>
          <w:sz w:val="20"/>
          <w:szCs w:val="20"/>
          <w:color w:val="auto"/>
        </w:rPr>
      </w:pPr>
    </w:p>
    <w:p>
      <w:pPr>
        <w:ind w:right="80" w:firstLine="598"/>
        <w:spacing w:after="0" w:line="276" w:lineRule="auto"/>
        <w:rPr>
          <w:sz w:val="20"/>
          <w:szCs w:val="20"/>
          <w:color w:val="auto"/>
        </w:rPr>
      </w:pPr>
      <w:r>
        <w:rPr>
          <w:rFonts w:ascii="Arial" w:cs="Arial" w:eastAsia="Arial" w:hAnsi="Arial"/>
          <w:sz w:val="17"/>
          <w:szCs w:val="17"/>
          <w:i w:val="1"/>
          <w:iCs w:val="1"/>
          <w:color w:val="auto"/>
        </w:rPr>
        <w:t>Simplifying the Accounting for Income Taxes</w:t>
      </w:r>
      <w:r>
        <w:rPr>
          <w:rFonts w:ascii="Arial" w:cs="Arial" w:eastAsia="Arial" w:hAnsi="Arial"/>
          <w:sz w:val="17"/>
          <w:szCs w:val="17"/>
          <w:color w:val="auto"/>
        </w:rPr>
        <w:t>—In December 2019, the FASB issued new guidance to simplify the accounting for income taxes. The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amendments include the removal of certain exceptions and various improvements. These improvements are related to the accounting for franchise tax based on income, evaluation of step up in tax basis of goodwill, allocation of consolidated tax expense to standalone legal entities, recognition of enacted change in tax laws or rates, and other minor changes. The new guidance is effective for annual and interim reporting periods beginning after December 15, 2020, with early adoption permitted. The Company is currently evaluating the new guidance.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35" w:lineRule="exact"/>
        <w:rPr>
          <w:sz w:val="20"/>
          <w:szCs w:val="20"/>
          <w:color w:val="auto"/>
        </w:rPr>
      </w:pPr>
    </w:p>
    <w:p>
      <w:pPr>
        <w:ind w:left="600" w:hanging="592"/>
        <w:spacing w:after="0"/>
        <w:tabs>
          <w:tab w:leader="none" w:pos="600" w:val="left"/>
        </w:tabs>
        <w:numPr>
          <w:ilvl w:val="0"/>
          <w:numId w:val="5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w:t>
      </w:r>
    </w:p>
    <w:p>
      <w:pPr>
        <w:spacing w:after="0" w:line="131"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b w:val="1"/>
          <w:bCs w:val="1"/>
          <w:i w:val="1"/>
          <w:iCs w:val="1"/>
          <w:color w:val="auto"/>
        </w:rPr>
        <w:t>Investment Banking and Other Advisory Fees</w:t>
      </w:r>
      <w:r>
        <w:rPr>
          <w:rFonts w:ascii="Arial" w:cs="Arial" w:eastAsia="Arial" w:hAnsi="Arial"/>
          <w:sz w:val="17"/>
          <w:szCs w:val="17"/>
          <w:color w:val="auto"/>
        </w:rPr>
        <w:t>—Fees for Financial Advisory services are recorded when: (i) a contract with a client has been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identified, (ii) the performance obligations in the contract have been identified, (iii) the fee or other transaction price has been determined, (iv) the fee or other transaction price has been allocated to each performance obligation in the contract, and (v) the Company has satisfied the applicable performance obligation. The expenses that are directly related to such transactions are recorded as incurred and presented within operating expenses when the Company is primarily responsible for fulfilling the promise of the arrangement. Revenues associated with the reimbursement of such expenses are recorded when the Company is contractually entitled to reimbursement and presented within investment banking and other advisory fees.</w:t>
      </w:r>
    </w:p>
    <w:p>
      <w:pPr>
        <w:spacing w:after="0" w:line="178"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b w:val="1"/>
          <w:bCs w:val="1"/>
          <w:i w:val="1"/>
          <w:iCs w:val="1"/>
          <w:color w:val="auto"/>
        </w:rPr>
        <w:t>Asset Management Fees</w:t>
      </w:r>
      <w:r>
        <w:rPr>
          <w:rFonts w:ascii="Arial" w:cs="Arial" w:eastAsia="Arial" w:hAnsi="Arial"/>
          <w:sz w:val="17"/>
          <w:szCs w:val="17"/>
          <w:color w:val="auto"/>
        </w:rPr>
        <w:t>—Fees for Asset Management services are primarily comprised of management fees and incentive fees. Management fees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derived from fees for investment management and other services provided to clients. Revenue is recorded in accordance with the same five criteria as Financial Advisory fees, which generally results in management fees being recorded on a daily, monthly or quarterly basis, primarily based on a percentage of client assets managed. Fees vary with the type of assets managed, with higher fees earned on equity assets, alternative investment (such as hedge fund) and private equity funds, and lower fees earned on fixed income and money market products. Expenses that are directly related to the sale or distribution of fund interests are recorded as incurred and presented within operating expenses when the Company is primarily responsible for fulfilling the promise of the arrangement. Revenues associated with the reimbursement of such expenses are recorded when the Company is contractually entitled to reimbursement and presented within asset management fees.</w:t>
      </w:r>
    </w:p>
    <w:p>
      <w:pPr>
        <w:spacing w:after="0" w:line="179" w:lineRule="exact"/>
        <w:rPr>
          <w:sz w:val="20"/>
          <w:szCs w:val="20"/>
          <w:color w:val="auto"/>
        </w:rPr>
      </w:pPr>
    </w:p>
    <w:p>
      <w:pPr>
        <w:ind w:right="440" w:firstLine="598"/>
        <w:spacing w:after="0" w:line="277" w:lineRule="auto"/>
        <w:rPr>
          <w:sz w:val="20"/>
          <w:szCs w:val="20"/>
          <w:color w:val="auto"/>
        </w:rPr>
      </w:pPr>
      <w:r>
        <w:rPr>
          <w:rFonts w:ascii="Arial" w:cs="Arial" w:eastAsia="Arial" w:hAnsi="Arial"/>
          <w:sz w:val="18"/>
          <w:szCs w:val="18"/>
          <w:color w:val="auto"/>
        </w:rPr>
        <w:t>In addition, the Company earns performance-based incentive fees on various investment products, including traditional products and alternative investment funds such as hedge funds and private equity funds.</w:t>
      </w:r>
    </w:p>
    <w:p>
      <w:pPr>
        <w:spacing w:after="0" w:line="170" w:lineRule="exact"/>
        <w:rPr>
          <w:sz w:val="20"/>
          <w:szCs w:val="20"/>
          <w:color w:val="auto"/>
        </w:rPr>
      </w:pPr>
    </w:p>
    <w:p>
      <w:pPr>
        <w:ind w:right="100" w:firstLine="598"/>
        <w:spacing w:after="0" w:line="255" w:lineRule="auto"/>
        <w:rPr>
          <w:sz w:val="20"/>
          <w:szCs w:val="20"/>
          <w:color w:val="auto"/>
        </w:rPr>
      </w:pPr>
      <w:r>
        <w:rPr>
          <w:rFonts w:ascii="Arial" w:cs="Arial" w:eastAsia="Arial" w:hAnsi="Arial"/>
          <w:sz w:val="18"/>
          <w:szCs w:val="18"/>
          <w:color w:val="auto"/>
        </w:rPr>
        <w:t>For hedge funds, incentive fees are calculated based on a specific percentage of a fund’s net appreciation, in some cases in excess of established benchmarks or thresholds. The Company records incentive fees on traditional products and hedge funds when a significant reversal in the amount of the cumulative revenue to be recognized is not probable, which is typically at the end of the relevant performance measurement period. The incentive fee measurement period is generally an annual period (unless an account is terminated during the year). The incentive fees received at the end of the measurement period are not subject to reversal or payback. Incentive fees on hedge funds generally are subject to loss carryforward provisions in which losses incurred by the hedge funds in any year are applied against certain gains realized by the hedge funds in future periods before any incentive fees can be earned.</w:t>
      </w:r>
    </w:p>
    <w:p>
      <w:pPr>
        <w:spacing w:after="0" w:line="189" w:lineRule="exact"/>
        <w:rPr>
          <w:sz w:val="20"/>
          <w:szCs w:val="20"/>
          <w:color w:val="auto"/>
        </w:rPr>
      </w:pPr>
    </w:p>
    <w:p>
      <w:pPr>
        <w:ind w:right="120" w:firstLine="598"/>
        <w:spacing w:after="0" w:line="279" w:lineRule="auto"/>
        <w:rPr>
          <w:sz w:val="20"/>
          <w:szCs w:val="20"/>
          <w:color w:val="auto"/>
        </w:rPr>
      </w:pPr>
      <w:r>
        <w:rPr>
          <w:rFonts w:ascii="Arial" w:cs="Arial" w:eastAsia="Arial" w:hAnsi="Arial"/>
          <w:sz w:val="17"/>
          <w:szCs w:val="17"/>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the Company records incentive fees earned on our private equity funds when a significant reversal in the amount of the cumulative revenue to be recognized is not probable, which is typically at the end of the relevant performance period.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Receivables relating to asset management and incentive fees are reported in “fees receivable” on the consolidated statements of financial condition.</w:t>
      </w:r>
    </w:p>
    <w:p>
      <w:pPr>
        <w:spacing w:after="0" w:line="248" w:lineRule="exact"/>
        <w:rPr>
          <w:sz w:val="20"/>
          <w:szCs w:val="20"/>
          <w:color w:val="auto"/>
        </w:rPr>
      </w:pPr>
    </w:p>
    <w:p>
      <w:pPr>
        <w:ind w:right="680" w:firstLine="598"/>
        <w:spacing w:after="0" w:line="308" w:lineRule="auto"/>
        <w:rPr>
          <w:sz w:val="20"/>
          <w:szCs w:val="20"/>
          <w:color w:val="auto"/>
        </w:rPr>
      </w:pPr>
      <w:r>
        <w:rPr>
          <w:rFonts w:ascii="Arial" w:cs="Arial" w:eastAsia="Arial" w:hAnsi="Arial"/>
          <w:sz w:val="17"/>
          <w:szCs w:val="17"/>
          <w:color w:val="auto"/>
        </w:rPr>
        <w:t>The Company disaggregates revenue based on its business segment results and believes that the following information provides a reasonable representation of how performance obligations relate to the nature, amount, timing and uncertainty of revenue and cash flows: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7"/>
              </w:rPr>
              <w:t>Year Ended December 31,</w:t>
            </w:r>
          </w:p>
        </w:tc>
        <w:tc>
          <w:tcPr>
            <w:tcW w:w="1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17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5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0" w:type="dxa"/>
            <w:vAlign w:val="bottom"/>
          </w:tcPr>
          <w:p>
            <w:pPr>
              <w:jc w:val="right"/>
              <w:ind w:right="75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r>
      <w:tr>
        <w:trPr>
          <w:trHeight w:val="237"/>
        </w:trPr>
        <w:tc>
          <w:tcPr>
            <w:tcW w:w="48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Net Revenue:</w:t>
            </w:r>
          </w:p>
        </w:tc>
        <w:tc>
          <w:tcPr>
            <w:tcW w:w="2380" w:type="dxa"/>
            <w:vAlign w:val="bottom"/>
            <w:tcBorders>
              <w:top w:val="single" w:sz="8" w:color="CFF0FC"/>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CFF0FC"/>
            </w:tcBorders>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r>
      <w:tr>
        <w:trPr>
          <w:trHeight w:val="283"/>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Financial Advisory (a)</w:t>
            </w:r>
          </w:p>
        </w:tc>
        <w:tc>
          <w:tcPr>
            <w:tcW w:w="352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1,352,168</w:t>
            </w: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1,548,918</w:t>
            </w:r>
          </w:p>
        </w:tc>
        <w:tc>
          <w:tcPr>
            <w:tcW w:w="100" w:type="dxa"/>
            <w:vAlign w:val="bottom"/>
          </w:tcPr>
          <w:p>
            <w:pPr>
              <w:spacing w:after="0"/>
              <w:rPr>
                <w:sz w:val="24"/>
                <w:szCs w:val="24"/>
                <w:color w:val="auto"/>
              </w:rPr>
            </w:pPr>
          </w:p>
        </w:tc>
      </w:tr>
      <w:tr>
        <w:trPr>
          <w:trHeight w:val="224"/>
        </w:trPr>
        <w:tc>
          <w:tcPr>
            <w:tcW w:w="1760" w:type="dxa"/>
            <w:vAlign w:val="bottom"/>
            <w:tcBorders>
              <w:top w:val="single" w:sz="8" w:color="CFF0FC"/>
            </w:tcBorders>
            <w:shd w:val="clear" w:color="auto" w:fill="CFF0FC"/>
          </w:tcPr>
          <w:p>
            <w:pPr>
              <w:spacing w:after="0"/>
              <w:rPr>
                <w:sz w:val="19"/>
                <w:szCs w:val="19"/>
                <w:color w:val="auto"/>
              </w:rPr>
            </w:pPr>
          </w:p>
        </w:tc>
        <w:tc>
          <w:tcPr>
            <w:tcW w:w="3060" w:type="dxa"/>
            <w:vAlign w:val="bottom"/>
            <w:tcBorders>
              <w:top w:val="single" w:sz="8" w:color="CFF0FC"/>
            </w:tcBorders>
            <w:shd w:val="clear" w:color="auto" w:fill="CFF0FC"/>
          </w:tcPr>
          <w:p>
            <w:pPr>
              <w:spacing w:after="0"/>
              <w:rPr>
                <w:sz w:val="19"/>
                <w:szCs w:val="19"/>
                <w:color w:val="auto"/>
              </w:rPr>
            </w:pPr>
          </w:p>
        </w:tc>
        <w:tc>
          <w:tcPr>
            <w:tcW w:w="238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43"/>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Asset Management:</w:t>
            </w:r>
          </w:p>
        </w:tc>
        <w:tc>
          <w:tcPr>
            <w:tcW w:w="2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8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Management Fees and Other (b)</w:t>
            </w:r>
          </w:p>
        </w:tc>
        <w:tc>
          <w:tcPr>
            <w:tcW w:w="3520" w:type="dxa"/>
            <w:vAlign w:val="bottom"/>
            <w:gridSpan w:val="2"/>
            <w:shd w:val="clear" w:color="auto" w:fill="CFF0FC"/>
          </w:tcPr>
          <w:p>
            <w:pPr>
              <w:jc w:val="right"/>
              <w:ind w:right="10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1,216,115</w:t>
            </w:r>
          </w:p>
        </w:tc>
        <w:tc>
          <w:tcPr>
            <w:tcW w:w="1000" w:type="dxa"/>
            <w:vAlign w:val="bottom"/>
            <w:gridSpan w:val="2"/>
            <w:shd w:val="clear" w:color="auto" w:fill="CFF0FC"/>
          </w:tcPr>
          <w:p>
            <w:pPr>
              <w:jc w:val="right"/>
              <w:ind w:right="6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1,311,286</w:t>
            </w:r>
          </w:p>
        </w:tc>
        <w:tc>
          <w:tcPr>
            <w:tcW w:w="100" w:type="dxa"/>
            <w:vAlign w:val="bottom"/>
            <w:shd w:val="clear" w:color="auto" w:fill="CFF0FC"/>
          </w:tcPr>
          <w:p>
            <w:pPr>
              <w:spacing w:after="0"/>
              <w:rPr>
                <w:sz w:val="21"/>
                <w:szCs w:val="21"/>
                <w:color w:val="auto"/>
              </w:rPr>
            </w:pPr>
          </w:p>
        </w:tc>
      </w:tr>
      <w:tr>
        <w:trPr>
          <w:trHeight w:val="243"/>
        </w:trPr>
        <w:tc>
          <w:tcPr>
            <w:tcW w:w="482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Incentive Fees (c)</w:t>
            </w:r>
          </w:p>
        </w:tc>
        <w:tc>
          <w:tcPr>
            <w:tcW w:w="2380" w:type="dxa"/>
            <w:vAlign w:val="bottom"/>
            <w:tcBorders>
              <w:bottom w:val="single" w:sz="8" w:color="CFF0FC"/>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21,275</w:t>
            </w:r>
          </w:p>
        </w:tc>
        <w:tc>
          <w:tcPr>
            <w:tcW w:w="260" w:type="dxa"/>
            <w:vAlign w:val="bottom"/>
            <w:tcBorders>
              <w:bottom w:val="single" w:sz="8" w:color="CFF0FC"/>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20,515</w:t>
            </w:r>
          </w:p>
        </w:tc>
        <w:tc>
          <w:tcPr>
            <w:tcW w:w="100" w:type="dxa"/>
            <w:vAlign w:val="bottom"/>
            <w:tcBorders>
              <w:bottom w:val="single" w:sz="8" w:color="CFF0FC"/>
            </w:tcBorders>
          </w:tcPr>
          <w:p>
            <w:pPr>
              <w:spacing w:after="0"/>
              <w:rPr>
                <w:sz w:val="21"/>
                <w:szCs w:val="21"/>
                <w:color w:val="auto"/>
              </w:rPr>
            </w:pPr>
          </w:p>
        </w:tc>
      </w:tr>
      <w:tr>
        <w:trPr>
          <w:trHeight w:val="237"/>
        </w:trPr>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Asset Management</w:t>
            </w:r>
          </w:p>
        </w:tc>
        <w:tc>
          <w:tcPr>
            <w:tcW w:w="3520" w:type="dxa"/>
            <w:vAlign w:val="bottom"/>
            <w:gridSpan w:val="2"/>
            <w:shd w:val="clear" w:color="auto" w:fill="CFF0FC"/>
          </w:tcPr>
          <w:p>
            <w:pPr>
              <w:jc w:val="right"/>
              <w:ind w:right="10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1,237,390</w:t>
            </w:r>
          </w:p>
        </w:tc>
        <w:tc>
          <w:tcPr>
            <w:tcW w:w="1000" w:type="dxa"/>
            <w:vAlign w:val="bottom"/>
            <w:gridSpan w:val="2"/>
            <w:shd w:val="clear" w:color="auto" w:fill="CFF0FC"/>
          </w:tcPr>
          <w:p>
            <w:pPr>
              <w:jc w:val="right"/>
              <w:ind w:right="6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1,331,801</w:t>
            </w:r>
          </w:p>
        </w:tc>
        <w:tc>
          <w:tcPr>
            <w:tcW w:w="100" w:type="dxa"/>
            <w:vAlign w:val="bottom"/>
            <w:shd w:val="clear" w:color="auto" w:fill="CFF0FC"/>
          </w:tcPr>
          <w:p>
            <w:pPr>
              <w:spacing w:after="0"/>
              <w:rPr>
                <w:sz w:val="20"/>
                <w:szCs w:val="20"/>
                <w:color w:val="auto"/>
              </w:rPr>
            </w:pPr>
          </w:p>
        </w:tc>
      </w:tr>
      <w:tr>
        <w:trPr>
          <w:trHeight w:val="20"/>
        </w:trPr>
        <w:tc>
          <w:tcPr>
            <w:tcW w:w="1760" w:type="dxa"/>
            <w:vAlign w:val="bottom"/>
            <w:tcBorders>
              <w:top w:val="single" w:sz="8" w:color="CFF0FC"/>
            </w:tcBorders>
          </w:tcPr>
          <w:p>
            <w:pPr>
              <w:spacing w:after="0" w:line="20" w:lineRule="exact"/>
              <w:rPr>
                <w:sz w:val="1"/>
                <w:szCs w:val="1"/>
                <w:color w:val="auto"/>
              </w:rPr>
            </w:pPr>
          </w:p>
        </w:tc>
        <w:tc>
          <w:tcPr>
            <w:tcW w:w="3060" w:type="dxa"/>
            <w:vAlign w:val="bottom"/>
            <w:tcBorders>
              <w:top w:val="single" w:sz="8" w:color="CFF0FC"/>
            </w:tcBorders>
          </w:tcPr>
          <w:p>
            <w:pPr>
              <w:spacing w:after="0" w:line="20" w:lineRule="exact"/>
              <w:rPr>
                <w:sz w:val="1"/>
                <w:szCs w:val="1"/>
                <w:color w:val="auto"/>
              </w:rPr>
            </w:pPr>
          </w:p>
        </w:tc>
        <w:tc>
          <w:tcPr>
            <w:tcW w:w="238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30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6" w:lineRule="exact"/>
        <w:rPr>
          <w:sz w:val="20"/>
          <w:szCs w:val="20"/>
          <w:color w:val="auto"/>
        </w:rPr>
      </w:pPr>
    </w:p>
    <w:p>
      <w:pPr>
        <w:ind w:left="600" w:right="40" w:hanging="592"/>
        <w:spacing w:after="0" w:line="270" w:lineRule="auto"/>
        <w:tabs>
          <w:tab w:leader="none" w:pos="6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Financial Advisory is comprised of M&amp;A Advisory, Capital Advisory, Capital Raising, Restructuring, Shareholder Advisory, Sovereign Advisory, and other strategic advisory work for clients. The benefits of these advisory services are generally transferred to the Company’s clients over time, and consideration for these advisory services typically includes transaction completion, transaction announcement and retainer fees. Retainer fees are generally fixed and recognized over the period in which the advisory services are performed. However, transaction announcement and transaction completion fees are variable and subject to constraints, and they are typically not recognized until there is an announcement date or a completion date, respectively, due to the uncertainty associated with those events. Therefore, in any given period, advisory fees recognized for certain transactions will relate to services performed in prior periods. The advisory fees that may be unrecognized as of the end of a reporting period, primarily comprised of fees associated with transaction announcements and transaction completions, generally remain unrecognized due to the uncertainty associated with those events.</w:t>
      </w:r>
    </w:p>
    <w:p>
      <w:pPr>
        <w:spacing w:after="0" w:line="6" w:lineRule="exact"/>
        <w:rPr>
          <w:rFonts w:ascii="Arial" w:cs="Arial" w:eastAsia="Arial" w:hAnsi="Arial"/>
          <w:sz w:val="17"/>
          <w:szCs w:val="17"/>
          <w:color w:val="auto"/>
        </w:rPr>
      </w:pPr>
    </w:p>
    <w:p>
      <w:pPr>
        <w:ind w:left="600" w:right="200" w:hanging="592"/>
        <w:spacing w:after="0" w:line="257" w:lineRule="auto"/>
        <w:tabs>
          <w:tab w:leader="none" w:pos="6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Management fees and other is primarily comprised of management services. The benefits of these management services are transferred to the Company’s clients over time. Consideration for these management services generally includes management fees, which are based on assets under management and recognized over the period in which the management services are performed. The selling or distribution of fund interests is a separate performance obligation within management fees and other, and the benefits of such services are transferred to the Company’s clients at the point in time that such fund interests are sold or distributed.</w:t>
      </w:r>
    </w:p>
    <w:p>
      <w:pPr>
        <w:spacing w:after="0" w:line="12" w:lineRule="exact"/>
        <w:rPr>
          <w:rFonts w:ascii="Arial" w:cs="Arial" w:eastAsia="Arial" w:hAnsi="Arial"/>
          <w:sz w:val="18"/>
          <w:szCs w:val="18"/>
          <w:color w:val="auto"/>
        </w:rPr>
      </w:pPr>
    </w:p>
    <w:p>
      <w:pPr>
        <w:ind w:left="600" w:right="140" w:hanging="592"/>
        <w:spacing w:after="0" w:line="259" w:lineRule="auto"/>
        <w:tabs>
          <w:tab w:leader="none" w:pos="6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Incentive fees is primarily comprised of management services. The benefits of these management services are transferred to the Company’s clients over time. Consideration for these management services is generally variable and includes performance or incentive fees. The fees allocated to these management services that are unrecognized as of the end of the reporting period are generally amounts that are subject to constraints due to the uncertainty associated with performance targets and clawbacks.</w:t>
      </w:r>
    </w:p>
    <w:p>
      <w:pPr>
        <w:spacing w:after="0" w:line="227" w:lineRule="exact"/>
        <w:rPr>
          <w:sz w:val="20"/>
          <w:szCs w:val="20"/>
          <w:color w:val="auto"/>
        </w:rPr>
      </w:pPr>
    </w:p>
    <w:p>
      <w:pPr>
        <w:ind w:right="360" w:firstLine="598"/>
        <w:spacing w:after="0" w:line="264" w:lineRule="auto"/>
        <w:rPr>
          <w:sz w:val="20"/>
          <w:szCs w:val="20"/>
          <w:color w:val="auto"/>
        </w:rPr>
      </w:pPr>
      <w:r>
        <w:rPr>
          <w:rFonts w:ascii="Arial" w:cs="Arial" w:eastAsia="Arial" w:hAnsi="Arial"/>
          <w:sz w:val="18"/>
          <w:szCs w:val="18"/>
          <w:color w:val="auto"/>
        </w:rPr>
        <w:t>In addition to the above, contracts with clients include trade-based commission income, which is recognized at the point in time of execution and presented within other revenue. Such income may be earned by providing trade facilitation, execution, clearance and settlement, custody, and trade administration services to clients.</w:t>
      </w:r>
    </w:p>
    <w:p>
      <w:pPr>
        <w:spacing w:after="0" w:line="181" w:lineRule="exact"/>
        <w:rPr>
          <w:sz w:val="20"/>
          <w:szCs w:val="20"/>
          <w:color w:val="auto"/>
        </w:rPr>
      </w:pPr>
    </w:p>
    <w:p>
      <w:pPr>
        <w:ind w:right="260" w:firstLine="598"/>
        <w:spacing w:after="0" w:line="279" w:lineRule="auto"/>
        <w:rPr>
          <w:sz w:val="20"/>
          <w:szCs w:val="20"/>
          <w:color w:val="auto"/>
        </w:rPr>
      </w:pPr>
      <w:r>
        <w:rPr>
          <w:rFonts w:ascii="Arial" w:cs="Arial" w:eastAsia="Arial" w:hAnsi="Arial"/>
          <w:sz w:val="17"/>
          <w:szCs w:val="17"/>
          <w:color w:val="auto"/>
        </w:rPr>
        <w:t>With regard to the disclosure requirement for remaining performance obligations, the Company elected the practical expedients permitted in the guidance to (i) exclude contracts with a duration of one year or less; and (ii) exclude variable consideration, such as transaction completion and transaction announcement fees, that is allocated entirely to unsatisfied performance obligations. Excluded variable consideration typically relates to contracts with a duration of one year or less, and is generally constrained due to uncertainties. Therefore, when applying the practical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9" w:name="page90"/>
    <w:bookmarkEnd w:id="89"/>
    <w:p>
      <w:pPr>
        <w:jc w:val="center"/>
        <w:ind w:right="-79"/>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expedients, amounts related to remaining performance obligations are not material to the Company’s financial statements.</w:t>
      </w:r>
    </w:p>
    <w:p>
      <w:pPr>
        <w:spacing w:after="0" w:line="374" w:lineRule="exact"/>
        <w:rPr>
          <w:sz w:val="20"/>
          <w:szCs w:val="20"/>
          <w:color w:val="auto"/>
        </w:rPr>
      </w:pPr>
    </w:p>
    <w:p>
      <w:pPr>
        <w:ind w:left="600" w:hanging="592"/>
        <w:spacing w:after="0"/>
        <w:tabs>
          <w:tab w:leader="none" w:pos="600" w:val="left"/>
        </w:tabs>
        <w:numPr>
          <w:ilvl w:val="0"/>
          <w:numId w:val="6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w:t>
      </w:r>
    </w:p>
    <w:p>
      <w:pPr>
        <w:spacing w:after="0" w:line="117" w:lineRule="exact"/>
        <w:rPr>
          <w:sz w:val="20"/>
          <w:szCs w:val="20"/>
          <w:color w:val="auto"/>
        </w:rPr>
      </w:pPr>
    </w:p>
    <w:p>
      <w:pPr>
        <w:ind w:right="640" w:firstLine="598"/>
        <w:spacing w:after="0" w:line="277" w:lineRule="auto"/>
        <w:rPr>
          <w:sz w:val="20"/>
          <w:szCs w:val="20"/>
          <w:color w:val="auto"/>
        </w:rPr>
      </w:pPr>
      <w:r>
        <w:rPr>
          <w:rFonts w:ascii="Arial" w:cs="Arial" w:eastAsia="Arial" w:hAnsi="Arial"/>
          <w:sz w:val="18"/>
          <w:szCs w:val="18"/>
          <w:color w:val="auto"/>
        </w:rPr>
        <w:t>The Company’s receivables represent fee receivables, amounts due from customers and other receivables, and amounts due from Lazard Ltd subsidiaries.</w:t>
      </w:r>
    </w:p>
    <w:p>
      <w:pPr>
        <w:spacing w:after="0" w:line="170" w:lineRule="exact"/>
        <w:rPr>
          <w:sz w:val="20"/>
          <w:szCs w:val="20"/>
          <w:color w:val="auto"/>
        </w:rPr>
      </w:pPr>
    </w:p>
    <w:p>
      <w:pPr>
        <w:ind w:right="320" w:firstLine="598"/>
        <w:spacing w:after="0" w:line="277" w:lineRule="auto"/>
        <w:rPr>
          <w:sz w:val="20"/>
          <w:szCs w:val="20"/>
          <w:color w:val="auto"/>
        </w:rPr>
      </w:pPr>
      <w:r>
        <w:rPr>
          <w:rFonts w:ascii="Arial" w:cs="Arial" w:eastAsia="Arial" w:hAnsi="Arial"/>
          <w:sz w:val="18"/>
          <w:szCs w:val="18"/>
          <w:color w:val="auto"/>
        </w:rPr>
        <w:t>Receivables are stated net of an estimated allowance for doubtful accounts, for past due amounts and for specific accounts deemed uncollectible, which may include situations where a fee is in dispute.</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Activity in the allowance for doubtful accounts for the years ended December 31, 2019, 2018 and 2017 was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w w:val="94"/>
              </w:rPr>
              <w:t>Year Ended December 31,</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0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40,115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23,692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16,386</w:t>
            </w:r>
          </w:p>
        </w:tc>
        <w:tc>
          <w:tcPr>
            <w:tcW w:w="100" w:type="dxa"/>
            <w:vAlign w:val="bottom"/>
            <w:shd w:val="clear" w:color="auto" w:fill="CFF0FC"/>
          </w:tcPr>
          <w:p>
            <w:pPr>
              <w:spacing w:after="0"/>
              <w:rPr>
                <w:sz w:val="19"/>
                <w:szCs w:val="19"/>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Bad debt expense, net of recoveries</w:t>
            </w:r>
          </w:p>
        </w:tc>
        <w:tc>
          <w:tcPr>
            <w:tcW w:w="260" w:type="dxa"/>
            <w:vAlign w:val="bottom"/>
          </w:tcPr>
          <w:p>
            <w:pPr>
              <w:spacing w:after="0"/>
              <w:rPr>
                <w:sz w:val="19"/>
                <w:szCs w:val="19"/>
                <w:color w:val="auto"/>
              </w:rPr>
            </w:pPr>
          </w:p>
        </w:tc>
        <w:tc>
          <w:tcPr>
            <w:tcW w:w="1080" w:type="dxa"/>
            <w:vAlign w:val="bottom"/>
            <w:gridSpan w:val="2"/>
          </w:tcPr>
          <w:p>
            <w:pPr>
              <w:jc w:val="right"/>
              <w:ind w:right="8"/>
              <w:spacing w:after="0"/>
              <w:rPr>
                <w:sz w:val="20"/>
                <w:szCs w:val="20"/>
                <w:color w:val="auto"/>
              </w:rPr>
            </w:pPr>
            <w:r>
              <w:rPr>
                <w:rFonts w:ascii="Arial" w:cs="Arial" w:eastAsia="Arial" w:hAnsi="Arial"/>
                <w:sz w:val="18"/>
                <w:szCs w:val="18"/>
                <w:color w:val="auto"/>
              </w:rPr>
              <w:t>(5,080)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27,164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15,419</w:t>
            </w:r>
          </w:p>
        </w:tc>
        <w:tc>
          <w:tcPr>
            <w:tcW w:w="100" w:type="dxa"/>
            <w:vAlign w:val="bottom"/>
          </w:tcPr>
          <w:p>
            <w:pPr>
              <w:spacing w:after="0"/>
              <w:rPr>
                <w:sz w:val="19"/>
                <w:szCs w:val="19"/>
                <w:color w:val="auto"/>
              </w:rPr>
            </w:pPr>
          </w:p>
        </w:tc>
      </w:tr>
      <w:tr>
        <w:trPr>
          <w:trHeight w:val="215"/>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Charge-offs, foreign currency translation and other</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adjustments</w:t>
            </w:r>
          </w:p>
        </w:tc>
        <w:tc>
          <w:tcPr>
            <w:tcW w:w="2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(7,905)</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(10,741)</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(8,113)</w:t>
            </w: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Ending Balance</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27,130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40,115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23,692</w:t>
            </w:r>
          </w:p>
        </w:tc>
        <w:tc>
          <w:tcPr>
            <w:tcW w:w="10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Bad debt expense, net of recoveries is included in “operating expenses - other” on the consolidated statements of operations.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At December 31, 2019 and 2018, the Company had receivables past due or deemed uncollectible of $43,339 and $42,260, respectively.</w:t>
      </w:r>
    </w:p>
    <w:p>
      <w:pPr>
        <w:spacing w:after="0" w:line="237"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Of the Company’s fee receivables at December 31, 2019 and 2018, $77,052 and $90,966, respectively, represented interest-bearing financing receivables. Based upon our historical loss experience, the credit quality of the counterparties, and the lack of past due or uncollectible amounts, there was no allowance for doubtful accounts required at those dates related to such receivables.</w:t>
      </w:r>
    </w:p>
    <w:p>
      <w:pPr>
        <w:spacing w:after="0" w:line="181" w:lineRule="exact"/>
        <w:rPr>
          <w:sz w:val="20"/>
          <w:szCs w:val="20"/>
          <w:color w:val="auto"/>
        </w:rPr>
      </w:pPr>
    </w:p>
    <w:p>
      <w:pPr>
        <w:ind w:right="400" w:firstLine="598"/>
        <w:spacing w:after="0" w:line="277" w:lineRule="auto"/>
        <w:rPr>
          <w:sz w:val="20"/>
          <w:szCs w:val="20"/>
          <w:color w:val="auto"/>
        </w:rPr>
      </w:pPr>
      <w:r>
        <w:rPr>
          <w:rFonts w:ascii="Arial" w:cs="Arial" w:eastAsia="Arial" w:hAnsi="Arial"/>
          <w:sz w:val="18"/>
          <w:szCs w:val="18"/>
          <w:color w:val="auto"/>
        </w:rPr>
        <w:t>The aggregate carrying amount of our non-interest bearing receivables of $620,599 and $613,342 at December 31, 2019 and 2018, respectively, approximates fair value.</w:t>
      </w:r>
    </w:p>
    <w:p>
      <w:pPr>
        <w:spacing w:after="0" w:line="200" w:lineRule="exact"/>
        <w:rPr>
          <w:sz w:val="20"/>
          <w:szCs w:val="20"/>
          <w:color w:val="auto"/>
        </w:rPr>
      </w:pPr>
    </w:p>
    <w:p>
      <w:pPr>
        <w:spacing w:after="0" w:line="3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32" w:lineRule="exact"/>
        <w:rPr>
          <w:sz w:val="20"/>
          <w:szCs w:val="20"/>
          <w:color w:val="auto"/>
        </w:rPr>
      </w:pPr>
    </w:p>
    <w:p>
      <w:pPr>
        <w:ind w:left="600" w:hanging="592"/>
        <w:spacing w:after="0"/>
        <w:tabs>
          <w:tab w:leader="none" w:pos="600" w:val="left"/>
        </w:tabs>
        <w:numPr>
          <w:ilvl w:val="0"/>
          <w:numId w:val="6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117" w:lineRule="exact"/>
        <w:rPr>
          <w:rFonts w:ascii="Arial" w:cs="Arial" w:eastAsia="Arial" w:hAnsi="Arial"/>
          <w:sz w:val="18"/>
          <w:szCs w:val="18"/>
          <w:b w:val="1"/>
          <w:bCs w:val="1"/>
          <w:i w:val="1"/>
          <w:iCs w:val="1"/>
          <w:color w:val="auto"/>
        </w:rPr>
      </w:pPr>
    </w:p>
    <w:p>
      <w:pPr>
        <w:ind w:left="60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investments and securities sold, not yet purchased, consist of the following at December 31, 2019 and 2018:</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60" w:type="dxa"/>
            <w:vAlign w:val="bottom"/>
            <w:tcBorders>
              <w:bottom w:val="single" w:sz="8" w:color="CFF0FC"/>
            </w:tcBorders>
          </w:tcPr>
          <w:p>
            <w:pPr>
              <w:spacing w:after="0"/>
              <w:rPr>
                <w:sz w:val="13"/>
                <w:szCs w:val="13"/>
                <w:color w:val="auto"/>
              </w:rPr>
            </w:pPr>
          </w:p>
        </w:tc>
        <w:tc>
          <w:tcPr>
            <w:tcW w:w="3860" w:type="dxa"/>
            <w:vAlign w:val="bottom"/>
            <w:tcBorders>
              <w:bottom w:val="single" w:sz="8" w:color="CFF0FC"/>
            </w:tcBorders>
          </w:tcPr>
          <w:p>
            <w:pPr>
              <w:spacing w:after="0"/>
              <w:rPr>
                <w:sz w:val="13"/>
                <w:szCs w:val="13"/>
                <w:color w:val="auto"/>
              </w:rPr>
            </w:pPr>
          </w:p>
        </w:tc>
        <w:tc>
          <w:tcPr>
            <w:tcW w:w="2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Interest-bearing deposits</w:t>
            </w:r>
          </w:p>
        </w:tc>
        <w:tc>
          <w:tcPr>
            <w:tcW w:w="2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Debt</w:t>
            </w:r>
          </w:p>
        </w:tc>
        <w:tc>
          <w:tcPr>
            <w:tcW w:w="2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202,874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Equities</w:t>
            </w:r>
          </w:p>
        </w:tc>
        <w:tc>
          <w:tcPr>
            <w:tcW w:w="2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48,521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Funds:</w:t>
            </w:r>
          </w:p>
        </w:tc>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Alternative investments (a)</w:t>
            </w:r>
          </w:p>
        </w:tc>
        <w:tc>
          <w:tcPr>
            <w:tcW w:w="2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16,581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260"/>
              <w:spacing w:after="0"/>
              <w:rPr>
                <w:sz w:val="20"/>
                <w:szCs w:val="20"/>
                <w:color w:val="auto"/>
              </w:rPr>
            </w:pPr>
            <w:r>
              <w:rPr>
                <w:rFonts w:ascii="Arial" w:cs="Arial" w:eastAsia="Arial" w:hAnsi="Arial"/>
                <w:sz w:val="18"/>
                <w:szCs w:val="18"/>
                <w:color w:val="auto"/>
              </w:rPr>
              <w:t>Debt (a)</w:t>
            </w:r>
          </w:p>
        </w:tc>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113,579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90,320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Equity (a)</w:t>
            </w:r>
          </w:p>
        </w:tc>
        <w:tc>
          <w:tcPr>
            <w:tcW w:w="2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218,435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Private equity</w:t>
            </w:r>
          </w:p>
        </w:tc>
        <w:tc>
          <w:tcPr>
            <w:tcW w:w="2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34,362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56,343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60" w:type="dxa"/>
            <w:vAlign w:val="bottom"/>
            <w:shd w:val="clear" w:color="auto" w:fill="CFF0FC"/>
          </w:tcPr>
          <w:p>
            <w:pPr>
              <w:spacing w:after="0"/>
              <w:rPr>
                <w:sz w:val="19"/>
                <w:szCs w:val="19"/>
                <w:color w:val="auto"/>
              </w:rPr>
            </w:pPr>
          </w:p>
        </w:tc>
        <w:tc>
          <w:tcPr>
            <w:tcW w:w="3860" w:type="dxa"/>
            <w:vAlign w:val="bottom"/>
            <w:shd w:val="clear" w:color="auto" w:fill="CFF0FC"/>
          </w:tcPr>
          <w:p>
            <w:pPr>
              <w:spacing w:after="0"/>
              <w:rPr>
                <w:sz w:val="19"/>
                <w:szCs w:val="19"/>
                <w:color w:val="auto"/>
              </w:rPr>
            </w:pPr>
          </w:p>
        </w:tc>
        <w:tc>
          <w:tcPr>
            <w:tcW w:w="2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382,957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339,503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531,995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575,148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w:t>
            </w:r>
          </w:p>
        </w:tc>
        <w:tc>
          <w:tcPr>
            <w:tcW w:w="2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Interest-bearing deposits</w:t>
            </w:r>
          </w:p>
        </w:tc>
        <w:tc>
          <w:tcPr>
            <w:tcW w:w="2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Investments, at fair value</w:t>
            </w:r>
          </w:p>
        </w:tc>
        <w:tc>
          <w:tcPr>
            <w:tcW w:w="2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531,478</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574,638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Securities sold, not yet purchased, at fair value</w:t>
            </w:r>
          </w:p>
        </w:tc>
        <w:tc>
          <w:tcPr>
            <w:tcW w:w="2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20" w:type="dxa"/>
            <w:vAlign w:val="bottom"/>
            <w:gridSpan w:val="2"/>
            <w:vMerge w:val="continue"/>
          </w:tcPr>
          <w:p>
            <w:pPr>
              <w:spacing w:after="0"/>
              <w:rPr>
                <w:sz w:val="17"/>
                <w:szCs w:val="17"/>
                <w:color w:val="auto"/>
              </w:rPr>
            </w:pPr>
          </w:p>
        </w:tc>
        <w:tc>
          <w:tcPr>
            <w:tcW w:w="2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140"/>
              <w:spacing w:after="0"/>
              <w:rPr>
                <w:sz w:val="20"/>
                <w:szCs w:val="20"/>
                <w:color w:val="auto"/>
              </w:rPr>
            </w:pPr>
            <w:r>
              <w:rPr>
                <w:rFonts w:ascii="Arial" w:cs="Arial" w:eastAsia="Arial" w:hAnsi="Arial"/>
                <w:sz w:val="18"/>
                <w:szCs w:val="18"/>
                <w:color w:val="auto"/>
              </w:rPr>
              <w:t>(included in “other liabilities”)</w:t>
            </w:r>
          </w:p>
        </w:tc>
        <w:tc>
          <w:tcPr>
            <w:tcW w:w="26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12,894</w:t>
            </w:r>
          </w:p>
        </w:tc>
        <w:tc>
          <w:tcPr>
            <w:tcW w:w="280" w:type="dxa"/>
            <w:vAlign w:val="bottom"/>
          </w:tcPr>
          <w:p>
            <w:pPr>
              <w:spacing w:after="0"/>
              <w:rPr>
                <w:sz w:val="20"/>
                <w:szCs w:val="20"/>
                <w:color w:val="auto"/>
              </w:rPr>
            </w:pPr>
          </w:p>
        </w:tc>
        <w:tc>
          <w:tcPr>
            <w:tcW w:w="460" w:type="dxa"/>
            <w:vAlign w:val="bottom"/>
            <w:gridSpan w:val="2"/>
          </w:tcPr>
          <w:p>
            <w:pPr>
              <w:jc w:val="right"/>
              <w:ind w:right="330"/>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3,929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386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right="120" w:hanging="592"/>
        <w:spacing w:after="0" w:line="257" w:lineRule="auto"/>
        <w:tabs>
          <w:tab w:leader="none" w:pos="6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Interests in alternative investment funds, debt funds and equity funds include investments with fair values of $9,881, $78,360 and $170,897, respectively, at December 31, 2019 and $9,741, $60,081 and $132,038, respectively, at December 31, 2018, held in order to satisfy the Company’s liability upon vesting of previously granted LFI and other similar deferred compensation arrangements. LFI represent grants by the Company to eligible employees of actual or notional interests in a number of Lazard-managed funds, subject to service-based vesting conditions (see Notes 8 and 16).</w:t>
      </w:r>
    </w:p>
    <w:p>
      <w:pPr>
        <w:spacing w:after="0" w:line="188" w:lineRule="exact"/>
        <w:rPr>
          <w:sz w:val="20"/>
          <w:szCs w:val="20"/>
          <w:color w:val="auto"/>
        </w:rPr>
      </w:pPr>
    </w:p>
    <w:p>
      <w:pPr>
        <w:ind w:right="860" w:firstLine="598"/>
        <w:spacing w:after="0" w:line="277" w:lineRule="auto"/>
        <w:rPr>
          <w:sz w:val="20"/>
          <w:szCs w:val="20"/>
          <w:color w:val="auto"/>
        </w:rPr>
      </w:pPr>
      <w:r>
        <w:rPr>
          <w:rFonts w:ascii="Arial" w:cs="Arial" w:eastAsia="Arial" w:hAnsi="Arial"/>
          <w:sz w:val="18"/>
          <w:szCs w:val="18"/>
          <w:color w:val="auto"/>
        </w:rPr>
        <w:t>Interest-bearing deposits have original maturities of greater than three months but equal to or less than one year and are carried at cost that approximates fair value due to their short-term maturities.</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Debt primarily consists of U.S. Treasury securities with original maturities of greater than three months and less than one year.</w:t>
      </w:r>
    </w:p>
    <w:p>
      <w:pPr>
        <w:spacing w:after="0" w:line="225" w:lineRule="exact"/>
        <w:rPr>
          <w:sz w:val="20"/>
          <w:szCs w:val="20"/>
          <w:color w:val="auto"/>
        </w:rPr>
      </w:pPr>
    </w:p>
    <w:p>
      <w:pPr>
        <w:ind w:right="480" w:firstLine="598"/>
        <w:spacing w:after="0" w:line="277" w:lineRule="auto"/>
        <w:rPr>
          <w:sz w:val="20"/>
          <w:szCs w:val="20"/>
          <w:color w:val="auto"/>
        </w:rPr>
      </w:pPr>
      <w:r>
        <w:rPr>
          <w:rFonts w:ascii="Arial" w:cs="Arial" w:eastAsia="Arial" w:hAnsi="Arial"/>
          <w:sz w:val="18"/>
          <w:szCs w:val="18"/>
          <w:color w:val="auto"/>
        </w:rPr>
        <w:t>Equities primarily consist of seed investments invested in marketable equity securities of large-, mid- and small-cap domestic, international and global companies held within separately managed accounts related to our Asset Management business.</w:t>
      </w:r>
    </w:p>
    <w:p>
      <w:pPr>
        <w:spacing w:after="0" w:line="170" w:lineRule="exact"/>
        <w:rPr>
          <w:sz w:val="20"/>
          <w:szCs w:val="20"/>
          <w:color w:val="auto"/>
        </w:rPr>
      </w:pPr>
    </w:p>
    <w:p>
      <w:pPr>
        <w:ind w:right="160" w:firstLine="598"/>
        <w:spacing w:after="0" w:line="308" w:lineRule="auto"/>
        <w:rPr>
          <w:sz w:val="20"/>
          <w:szCs w:val="20"/>
          <w:color w:val="auto"/>
        </w:rPr>
      </w:pPr>
      <w:r>
        <w:rPr>
          <w:rFonts w:ascii="Arial" w:cs="Arial" w:eastAsia="Arial" w:hAnsi="Arial"/>
          <w:sz w:val="17"/>
          <w:szCs w:val="17"/>
          <w:color w:val="auto"/>
        </w:rPr>
        <w:t>Alternative investment funds primarily consist of interests in various Lazard-managed hedge funds, funds of funds and mutual funds. Such amounts primarily consist of seed investments in funds related to our Asset Management business and amounts related to LFI discussed above.</w:t>
      </w:r>
    </w:p>
    <w:p>
      <w:pPr>
        <w:spacing w:after="0" w:line="147"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Debt funds primarily consist of seed investments in funds related to our Asset Management business that invest in debt securities, amounts related to LFI discussed above and an investment in a Lazard-managed debt fund.</w:t>
      </w:r>
    </w:p>
    <w:p>
      <w:pPr>
        <w:spacing w:after="0" w:line="170" w:lineRule="exact"/>
        <w:rPr>
          <w:sz w:val="20"/>
          <w:szCs w:val="20"/>
          <w:color w:val="auto"/>
        </w:rPr>
      </w:pPr>
    </w:p>
    <w:p>
      <w:pPr>
        <w:ind w:right="240" w:firstLine="598"/>
        <w:spacing w:after="0" w:line="277" w:lineRule="auto"/>
        <w:rPr>
          <w:sz w:val="20"/>
          <w:szCs w:val="20"/>
          <w:color w:val="auto"/>
        </w:rPr>
      </w:pPr>
      <w:r>
        <w:rPr>
          <w:rFonts w:ascii="Arial" w:cs="Arial" w:eastAsia="Arial" w:hAnsi="Arial"/>
          <w:sz w:val="18"/>
          <w:szCs w:val="18"/>
          <w:color w:val="auto"/>
        </w:rPr>
        <w:t>Equity funds primarily consist of seed investments in funds related to our Asset Management business that invest in equity securities, and amounts related to LFI discussed above.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right="180" w:firstLine="598"/>
        <w:spacing w:after="0" w:line="259" w:lineRule="auto"/>
        <w:rPr>
          <w:sz w:val="20"/>
          <w:szCs w:val="20"/>
          <w:color w:val="auto"/>
        </w:rPr>
      </w:pPr>
      <w:r>
        <w:rPr>
          <w:rFonts w:ascii="Arial" w:cs="Arial" w:eastAsia="Arial" w:hAnsi="Arial"/>
          <w:sz w:val="18"/>
          <w:szCs w:val="18"/>
          <w:color w:val="auto"/>
        </w:rPr>
        <w:t>Private equity investments include those owned by Lazard and those consolidated but not owned by Lazard. Private equity investments owned by Lazard are primarily comprised of investments in private equity funds. Such investments primarily include (i) Edgewater Growth Capital Partners III, L.P. (“EGCP III”), a fund primarily making equity and buyout investments in middle market companies and (ii) a fund targeting significant noncontrolling-stake investments in established private companies.</w:t>
      </w:r>
    </w:p>
    <w:p>
      <w:pPr>
        <w:spacing w:after="0" w:line="187" w:lineRule="exact"/>
        <w:rPr>
          <w:sz w:val="20"/>
          <w:szCs w:val="20"/>
          <w:color w:val="auto"/>
        </w:rPr>
      </w:pPr>
    </w:p>
    <w:p>
      <w:pPr>
        <w:ind w:right="140" w:firstLine="598"/>
        <w:spacing w:after="0" w:line="277" w:lineRule="auto"/>
        <w:rPr>
          <w:sz w:val="20"/>
          <w:szCs w:val="20"/>
          <w:color w:val="auto"/>
        </w:rPr>
      </w:pPr>
      <w:r>
        <w:rPr>
          <w:rFonts w:ascii="Arial" w:cs="Arial" w:eastAsia="Arial" w:hAnsi="Arial"/>
          <w:sz w:val="18"/>
          <w:szCs w:val="18"/>
          <w:color w:val="auto"/>
        </w:rPr>
        <w:t>Private equity investments consolidated but not owned by Lazard relate to the economic interests that are owned by the management team and other investors in the Edgewater Funds (“Edgewater”).</w:t>
      </w:r>
    </w:p>
    <w:p>
      <w:pPr>
        <w:spacing w:after="0" w:line="170" w:lineRule="exact"/>
        <w:rPr>
          <w:sz w:val="20"/>
          <w:szCs w:val="20"/>
          <w:color w:val="auto"/>
        </w:rPr>
      </w:pPr>
    </w:p>
    <w:p>
      <w:pPr>
        <w:ind w:right="240" w:firstLine="598"/>
        <w:spacing w:after="0" w:line="342" w:lineRule="auto"/>
        <w:rPr>
          <w:sz w:val="20"/>
          <w:szCs w:val="20"/>
          <w:color w:val="auto"/>
        </w:rPr>
      </w:pPr>
      <w:r>
        <w:rPr>
          <w:rFonts w:ascii="Arial" w:cs="Arial" w:eastAsia="Arial" w:hAnsi="Arial"/>
          <w:sz w:val="16"/>
          <w:szCs w:val="16"/>
          <w:color w:val="auto"/>
        </w:rPr>
        <w:t>During the years ended December 31, 2019, 2018 and 2017, the Company reported in “revenue-other” on its consolidated statements of operations net unrealized investment gains and losses pertaining to “equity securities and trading debt securities” still held as of the reporting date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860" w:type="dxa"/>
            <w:vAlign w:val="bottom"/>
            <w:tcBorders>
              <w:bottom w:val="single" w:sz="8" w:color="CFF0FC"/>
            </w:tcBorders>
          </w:tcPr>
          <w:p>
            <w:pPr>
              <w:spacing w:after="0"/>
              <w:rPr>
                <w:sz w:val="13"/>
                <w:szCs w:val="13"/>
                <w:color w:val="auto"/>
              </w:rPr>
            </w:pPr>
          </w:p>
        </w:tc>
        <w:tc>
          <w:tcPr>
            <w:tcW w:w="192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4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unrealized investment gains (losses)</w:t>
            </w:r>
          </w:p>
        </w:tc>
        <w:tc>
          <w:tcPr>
            <w:tcW w:w="19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0"/>
              </w:rPr>
              <w:t>36,610</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(43,009)</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27,192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ind w:left="600" w:hanging="592"/>
        <w:spacing w:after="0"/>
        <w:tabs>
          <w:tab w:leader="none" w:pos="600" w:val="left"/>
        </w:tabs>
        <w:numPr>
          <w:ilvl w:val="0"/>
          <w:numId w:val="6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b w:val="1"/>
          <w:bCs w:val="1"/>
          <w:i w:val="1"/>
          <w:iCs w:val="1"/>
          <w:color w:val="auto"/>
        </w:rPr>
        <w:t>Fair Value Hierarchy of Investments and Certain Other Assets and Liabilities</w:t>
      </w:r>
      <w:r>
        <w:rPr>
          <w:rFonts w:ascii="Arial" w:cs="Arial" w:eastAsia="Arial" w:hAnsi="Arial"/>
          <w:sz w:val="18"/>
          <w:szCs w:val="18"/>
          <w:color w:val="auto"/>
        </w:rPr>
        <w:t>—Lazard categorizes its investments and certain other assets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recorded at fair value into a three-level fair value hierarchy as follows:</w:t>
      </w:r>
    </w:p>
    <w:p>
      <w:pPr>
        <w:spacing w:after="0" w:line="62" w:lineRule="exact"/>
        <w:rPr>
          <w:sz w:val="20"/>
          <w:szCs w:val="20"/>
          <w:color w:val="auto"/>
        </w:rPr>
      </w:pPr>
    </w:p>
    <w:p>
      <w:pPr>
        <w:ind w:left="600" w:right="420" w:hanging="593"/>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Assets and liabilities whose values are based on unadjusted quoted prices for identical assets or liabilities in an active market that Lazard has the</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access.</w:t>
      </w:r>
    </w:p>
    <w:p>
      <w:pPr>
        <w:spacing w:after="0" w:line="62" w:lineRule="exact"/>
        <w:rPr>
          <w:sz w:val="20"/>
          <w:szCs w:val="20"/>
          <w:color w:val="auto"/>
        </w:rPr>
      </w:pPr>
    </w:p>
    <w:p>
      <w:pPr>
        <w:ind w:left="600" w:right="200" w:hanging="593"/>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Assets and liabilities whose values are based on (i) quoted prices for similar assets or liabilities in an active market, or quoted prices for identical or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assets or liabilities in non-active markets, or (ii) inputs other than quoted prices that are directly observable or derived principally from, or corroborated by, market data.</w:t>
      </w:r>
    </w:p>
    <w:p>
      <w:pPr>
        <w:spacing w:after="0" w:line="73" w:lineRule="exact"/>
        <w:rPr>
          <w:sz w:val="20"/>
          <w:szCs w:val="20"/>
          <w:color w:val="auto"/>
        </w:rPr>
      </w:pPr>
    </w:p>
    <w:p>
      <w:pPr>
        <w:ind w:left="600" w:right="200" w:hanging="593"/>
        <w:spacing w:after="0" w:line="25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Assets and liabilities whose values are based on prices or valuation techniques that require inputs that are both unobservable and significant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overall fair value measurement. These inputs reflect our own assumptions about the assumptions a market participant would use in pricing the asset or liability. Items included in Level 3 include securities or other financial assets whose trading volume and level of activity have significantly decreased when compared with normal market activity and there is no longer sufficient frequency or volume to provide pricing information on an ongoing basis.</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fair value of debt is classified as Level 1 when the fair values are based on unadjusted quoted prices in active markets.</w:t>
      </w:r>
    </w:p>
    <w:p>
      <w:pPr>
        <w:spacing w:after="0" w:line="225"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The fair value of equities is classified as Level 1 or Level 3 as follows: marketable equity securities are classified as Level 1 and are valued based on the last trade price on the primary exchange for that security as provided by external pricing services; equity securities in private companies are generally classified as Level 3.</w:t>
      </w:r>
    </w:p>
    <w:p>
      <w:pPr>
        <w:spacing w:after="0" w:line="181" w:lineRule="exact"/>
        <w:rPr>
          <w:sz w:val="20"/>
          <w:szCs w:val="20"/>
          <w:color w:val="auto"/>
        </w:rPr>
      </w:pPr>
    </w:p>
    <w:p>
      <w:pPr>
        <w:ind w:right="200" w:firstLine="598"/>
        <w:spacing w:after="0" w:line="277" w:lineRule="auto"/>
        <w:rPr>
          <w:sz w:val="20"/>
          <w:szCs w:val="20"/>
          <w:color w:val="auto"/>
        </w:rPr>
      </w:pPr>
      <w:r>
        <w:rPr>
          <w:rFonts w:ascii="Arial" w:cs="Arial" w:eastAsia="Arial" w:hAnsi="Arial"/>
          <w:sz w:val="18"/>
          <w:szCs w:val="18"/>
          <w:color w:val="auto"/>
        </w:rPr>
        <w:t>The fair value of investments in alternative investment funds, debt funds and equity funds is classified as Level 1 when the fair values are primarily based on the publicly reported closing price for the fund.</w:t>
      </w:r>
    </w:p>
    <w:p>
      <w:pPr>
        <w:spacing w:after="0" w:line="170"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The fair value of investments in private equity funds is classified as Level 3 for certain investments that are valued based on the potential transaction value as of December 31, 2019.</w:t>
      </w:r>
    </w:p>
    <w:p>
      <w:pPr>
        <w:spacing w:after="0" w:line="170" w:lineRule="exact"/>
        <w:rPr>
          <w:sz w:val="20"/>
          <w:szCs w:val="20"/>
          <w:color w:val="auto"/>
        </w:rPr>
      </w:pPr>
    </w:p>
    <w:p>
      <w:pPr>
        <w:ind w:right="520" w:firstLine="598"/>
        <w:spacing w:after="0" w:line="277" w:lineRule="auto"/>
        <w:rPr>
          <w:sz w:val="20"/>
          <w:szCs w:val="20"/>
          <w:color w:val="auto"/>
        </w:rPr>
      </w:pPr>
      <w:r>
        <w:rPr>
          <w:rFonts w:ascii="Arial" w:cs="Arial" w:eastAsia="Arial" w:hAnsi="Arial"/>
          <w:sz w:val="18"/>
          <w:szCs w:val="18"/>
          <w:color w:val="auto"/>
        </w:rPr>
        <w:t>The fair value of securities sold, not yet purchased, is classified as Level 1 when the fair values are based on unadjusted quoted prices in active markets.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right="40" w:firstLine="598"/>
        <w:spacing w:after="0" w:line="273" w:lineRule="auto"/>
        <w:rPr>
          <w:sz w:val="20"/>
          <w:szCs w:val="20"/>
          <w:color w:val="auto"/>
        </w:rPr>
      </w:pPr>
      <w:r>
        <w:rPr>
          <w:rFonts w:ascii="Arial" w:cs="Arial" w:eastAsia="Arial" w:hAnsi="Arial"/>
          <w:sz w:val="17"/>
          <w:szCs w:val="17"/>
          <w:color w:val="auto"/>
        </w:rPr>
        <w:t>The fair value of the contingent consideration liability is classified as Level 3 and the fair value of the liability is remeasured at each reporting period. The inputs used to derive the fair value of the contingent consideration include the application of probabilities when assessing certain performance thresholds for the relevant periods. Any change in the fair value is recognized in “amortization and other acquisition-related (benefits) costs” in the consolidated statement of operations. Our business acquisitions may involve the potential payment of contingent consideration upon the achievement of certain performance thresholds. The contingent consideration liability is initially recorded at fair value of the contingent payments on the acquisition date and is included in “other liabilities” on the consolidated statements of financial condition. See Note 14.</w:t>
      </w:r>
    </w:p>
    <w:p>
      <w:pPr>
        <w:spacing w:after="0" w:line="178"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The fair value of derivatives entered into by the Company is classified as Level 2 and is based on the values of the related underlying assets, indices or reference rates as follows: the fair value of forward foreign currency exchange rate contracts is a function of the spot rate and the interest rate differential of the two currencies from the trade date to settlement date; the fair value of total return swaps is based on the change in fair value of the related underlying equity security, financial instrument or index and a specified notional holding; the fair value of interest rate swaps is based on the interest rate yield curve; and the fair value of derivative liabilities related to LFI and other similar deferred compensation arrangements is based on the value of the underlying investments, adjusted for forfeitures. See Note 8.</w:t>
      </w:r>
    </w:p>
    <w:p>
      <w:pPr>
        <w:spacing w:after="0" w:line="193"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b w:val="1"/>
          <w:bCs w:val="1"/>
          <w:i w:val="1"/>
          <w:iCs w:val="1"/>
          <w:color w:val="auto"/>
        </w:rPr>
        <w:t>Investments Measured at Net Asset Value (“NAV”)</w:t>
      </w:r>
      <w:r>
        <w:rPr>
          <w:rFonts w:ascii="Arial" w:cs="Arial" w:eastAsia="Arial" w:hAnsi="Arial"/>
          <w:sz w:val="18"/>
          <w:szCs w:val="18"/>
          <w:color w:val="auto"/>
        </w:rPr>
        <w:t>—As a practical expedient, the Company uses NAV or its equivalent to measure the fair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investments. NAV is primarily determined based on information provided by external fund administrators. The Company’s investments valued at NAV as a practical expedient in (i) alternative investment funds, debt funds and equity funds are redeemable in the near term, and (ii) private equity funds are not redeemable in the near term as a result of redemption restrictions.</w:t>
      </w:r>
    </w:p>
    <w:p>
      <w:pPr>
        <w:spacing w:after="0" w:line="187" w:lineRule="exact"/>
        <w:rPr>
          <w:sz w:val="20"/>
          <w:szCs w:val="20"/>
          <w:color w:val="auto"/>
        </w:rPr>
      </w:pPr>
    </w:p>
    <w:p>
      <w:pPr>
        <w:ind w:right="60" w:firstLine="598"/>
        <w:spacing w:after="0" w:line="342" w:lineRule="auto"/>
        <w:rPr>
          <w:sz w:val="20"/>
          <w:szCs w:val="20"/>
          <w:color w:val="auto"/>
        </w:rPr>
      </w:pPr>
      <w:r>
        <w:rPr>
          <w:rFonts w:ascii="Arial" w:cs="Arial" w:eastAsia="Arial" w:hAnsi="Arial"/>
          <w:sz w:val="16"/>
          <w:szCs w:val="16"/>
          <w:color w:val="auto"/>
        </w:rPr>
        <w:t>The following tables present, as of December 31, 2019 and 2018, the classification of (i) investments and certain other assets and liabilities measured at fair value on a recurring basis within the fair value hierarchy and (ii) investments measured at NAV or its equivalent as a practical expedient: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2"/>
              </w:rPr>
              <w:t>Level 3</w:t>
            </w:r>
          </w:p>
        </w:tc>
        <w:tc>
          <w:tcPr>
            <w:tcW w:w="240" w:type="dxa"/>
            <w:vAlign w:val="bottom"/>
          </w:tcPr>
          <w:p>
            <w:pPr>
              <w:spacing w:after="0"/>
              <w:rPr>
                <w:sz w:val="13"/>
                <w:szCs w:val="13"/>
                <w:color w:val="auto"/>
              </w:rPr>
            </w:pPr>
          </w:p>
        </w:tc>
        <w:tc>
          <w:tcPr>
            <w:tcW w:w="102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NAV</w:t>
            </w:r>
          </w:p>
        </w:tc>
        <w:tc>
          <w:tcPr>
            <w:tcW w:w="220" w:type="dxa"/>
            <w:vAlign w:val="bottom"/>
          </w:tcPr>
          <w:p>
            <w:pPr>
              <w:spacing w:after="0"/>
              <w:rPr>
                <w:sz w:val="13"/>
                <w:szCs w:val="13"/>
                <w:color w:val="auto"/>
              </w:rPr>
            </w:pPr>
          </w:p>
        </w:tc>
        <w:tc>
          <w:tcPr>
            <w:tcW w:w="82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Equities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46,921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48,521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Alternative investments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15,731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16,581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113,574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218,393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218,435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Private equity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32,991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494,619</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1,395</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2,971</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33,888</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532,873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Securities sold, not yet purchased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12,894</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236,273</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236,273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12,894</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236,273</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249,167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411"/>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2"/>
              </w:rPr>
              <w:t>Level 3</w:t>
            </w:r>
          </w:p>
        </w:tc>
        <w:tc>
          <w:tcPr>
            <w:tcW w:w="240" w:type="dxa"/>
            <w:vAlign w:val="bottom"/>
          </w:tcPr>
          <w:p>
            <w:pPr>
              <w:spacing w:after="0"/>
              <w:rPr>
                <w:sz w:val="13"/>
                <w:szCs w:val="13"/>
                <w:color w:val="auto"/>
              </w:rPr>
            </w:pPr>
          </w:p>
        </w:tc>
        <w:tc>
          <w:tcPr>
            <w:tcW w:w="102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NAV</w:t>
            </w:r>
          </w:p>
        </w:tc>
        <w:tc>
          <w:tcPr>
            <w:tcW w:w="220" w:type="dxa"/>
            <w:vAlign w:val="bottom"/>
          </w:tcPr>
          <w:p>
            <w:pPr>
              <w:spacing w:after="0"/>
              <w:rPr>
                <w:sz w:val="13"/>
                <w:szCs w:val="13"/>
                <w:color w:val="auto"/>
              </w:rPr>
            </w:pPr>
          </w:p>
        </w:tc>
        <w:tc>
          <w:tcPr>
            <w:tcW w:w="82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202,874</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202,874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Equities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30,639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1,622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32,261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Alternative investments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16,863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90,313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175,054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175,088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Private equity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56,343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11,967</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515,743</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11,967</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1,622</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57,273</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586,605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Securities sold, not yet purchased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3,929</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Contingent consideration liability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188,962</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188,962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3,929</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188,962</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80" w:firstLine="598"/>
        <w:spacing w:after="0" w:line="277" w:lineRule="auto"/>
        <w:rPr>
          <w:sz w:val="20"/>
          <w:szCs w:val="20"/>
          <w:color w:val="auto"/>
        </w:rPr>
      </w:pPr>
      <w:r>
        <w:rPr>
          <w:rFonts w:ascii="Arial" w:cs="Arial" w:eastAsia="Arial" w:hAnsi="Arial"/>
          <w:sz w:val="18"/>
          <w:szCs w:val="18"/>
          <w:color w:val="auto"/>
        </w:rPr>
        <w:t>The following tables provide a summary of changes in fair value of the Company’s Level 3 assets and liabilities for the years ended December 31, 2019, 2018 and 2017:</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Year Ended December 31, 2019</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Net Unrealized/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Realized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ind w:right="13"/>
              <w:spacing w:after="0"/>
              <w:rPr>
                <w:sz w:val="20"/>
                <w:szCs w:val="20"/>
                <w:color w:val="auto"/>
              </w:rPr>
            </w:pPr>
            <w:r>
              <w:rPr>
                <w:rFonts w:ascii="Arial" w:cs="Arial" w:eastAsia="Arial" w:hAnsi="Arial"/>
                <w:sz w:val="14"/>
                <w:szCs w:val="14"/>
                <w:b w:val="1"/>
                <w:bCs w:val="1"/>
                <w:color w:val="auto"/>
                <w:w w:val="88"/>
              </w:rPr>
              <w:t>Purchases/</w:t>
            </w:r>
          </w:p>
        </w:tc>
        <w:tc>
          <w:tcPr>
            <w:tcW w:w="22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Sales/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Beginning</w:t>
            </w: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Gains/Losses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Currency</w:t>
            </w:r>
          </w:p>
        </w:tc>
        <w:tc>
          <w:tcPr>
            <w:tcW w:w="14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Included In</w:t>
            </w:r>
          </w:p>
        </w:tc>
        <w:tc>
          <w:tcPr>
            <w:tcW w:w="8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Acquisitions/</w:t>
            </w:r>
          </w:p>
        </w:tc>
        <w:tc>
          <w:tcPr>
            <w:tcW w:w="22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Dispositions/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Balance</w:t>
            </w:r>
          </w:p>
        </w:tc>
        <w:tc>
          <w:tcPr>
            <w:tcW w:w="8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Earnings (a)</w:t>
            </w:r>
          </w:p>
        </w:tc>
        <w:tc>
          <w:tcPr>
            <w:tcW w:w="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Transfers (b)</w:t>
            </w: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Settlements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Adjustments</w:t>
            </w:r>
          </w:p>
        </w:tc>
        <w:tc>
          <w:tcPr>
            <w:tcW w:w="1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right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1,622</w:t>
            </w:r>
          </w:p>
        </w:tc>
        <w:tc>
          <w:tcPr>
            <w:tcW w:w="22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w:t>
            </w: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667"/>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Private equity funds</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(760)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2,131</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 Level 3 Assets</w:t>
            </w: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1,622</w:t>
            </w:r>
          </w:p>
        </w:tc>
        <w:tc>
          <w:tcPr>
            <w:tcW w:w="22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w:t>
            </w:r>
          </w:p>
        </w:tc>
        <w:tc>
          <w:tcPr>
            <w:tcW w:w="140" w:type="dxa"/>
            <w:vAlign w:val="bottom"/>
            <w:vMerge w:val="continue"/>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2,131</w:t>
            </w:r>
          </w:p>
        </w:tc>
        <w:tc>
          <w:tcPr>
            <w:tcW w:w="220" w:type="dxa"/>
            <w:vAlign w:val="bottom"/>
            <w:vMerge w:val="continue"/>
            <w:shd w:val="clear" w:color="auto" w:fill="CFF0FC"/>
          </w:tcPr>
          <w:p>
            <w:pPr>
              <w:spacing w:after="0"/>
              <w:rPr>
                <w:sz w:val="19"/>
                <w:szCs w:val="19"/>
                <w:color w:val="auto"/>
              </w:rPr>
            </w:pPr>
          </w:p>
        </w:tc>
        <w:tc>
          <w:tcPr>
            <w:tcW w:w="820" w:type="dxa"/>
            <w:vAlign w:val="bottom"/>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Contingent consideration liability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1,309</w:t>
            </w:r>
          </w:p>
        </w:tc>
        <w:tc>
          <w:tcPr>
            <w:tcW w:w="2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(1,309)</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67"/>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Level 3 Liabilities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1,309</w:t>
            </w:r>
          </w:p>
        </w:tc>
        <w:tc>
          <w:tcPr>
            <w:tcW w:w="22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10"/>
          </w:tcPr>
          <w:p>
            <w:pPr>
              <w:ind w:left="20"/>
              <w:spacing w:after="0"/>
              <w:rPr>
                <w:sz w:val="20"/>
                <w:szCs w:val="20"/>
                <w:color w:val="auto"/>
              </w:rPr>
            </w:pPr>
            <w:r>
              <w:rPr>
                <w:rFonts w:ascii="Arial" w:cs="Arial" w:eastAsia="Arial" w:hAnsi="Arial"/>
                <w:sz w:val="14"/>
                <w:szCs w:val="14"/>
                <w:b w:val="1"/>
                <w:bCs w:val="1"/>
                <w:color w:val="auto"/>
              </w:rPr>
              <w:t>Year Ended December 31, 2018</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6"/>
          </w:tcPr>
          <w:p>
            <w:pPr>
              <w:ind w:left="200"/>
              <w:spacing w:after="0" w:line="133" w:lineRule="exact"/>
              <w:rPr>
                <w:sz w:val="20"/>
                <w:szCs w:val="20"/>
                <w:color w:val="auto"/>
              </w:rPr>
            </w:pPr>
            <w:r>
              <w:rPr>
                <w:rFonts w:ascii="Arial" w:cs="Arial" w:eastAsia="Arial" w:hAnsi="Arial"/>
                <w:sz w:val="14"/>
                <w:szCs w:val="14"/>
                <w:b w:val="1"/>
                <w:bCs w:val="1"/>
                <w:color w:val="auto"/>
              </w:rPr>
              <w:t>Net Unrealized/</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3"/>
              </w:rPr>
              <w:t>Foreign</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Realized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w w:val="98"/>
              </w:rPr>
              <w:t>Sales/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Beginning</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Gains/Losses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Purchases/</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Currency</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Included In</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5"/>
          </w:tcPr>
          <w:p>
            <w:pPr>
              <w:ind w:left="40"/>
              <w:spacing w:after="0" w:line="149" w:lineRule="exact"/>
              <w:rPr>
                <w:sz w:val="20"/>
                <w:szCs w:val="20"/>
                <w:color w:val="auto"/>
              </w:rPr>
            </w:pPr>
            <w:r>
              <w:rPr>
                <w:rFonts w:ascii="Arial" w:cs="Arial" w:eastAsia="Arial" w:hAnsi="Arial"/>
                <w:sz w:val="14"/>
                <w:szCs w:val="14"/>
                <w:b w:val="1"/>
                <w:bCs w:val="1"/>
                <w:color w:val="auto"/>
              </w:rPr>
              <w:t>Dispositions/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Balance</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Earnings (a)</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Acquisitions</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4"/>
          </w:tcPr>
          <w:p>
            <w:pPr>
              <w:ind w:left="40"/>
              <w:spacing w:after="0"/>
              <w:rPr>
                <w:sz w:val="20"/>
                <w:szCs w:val="20"/>
                <w:color w:val="auto"/>
              </w:rPr>
            </w:pPr>
            <w:r>
              <w:rPr>
                <w:rFonts w:ascii="Arial" w:cs="Arial" w:eastAsia="Arial" w:hAnsi="Arial"/>
                <w:sz w:val="14"/>
                <w:szCs w:val="14"/>
                <w:b w:val="1"/>
                <w:bCs w:val="1"/>
                <w:color w:val="auto"/>
              </w:rPr>
              <w:t>Settlements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4"/>
              </w:rPr>
              <w:t>Adjustments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Assets:</w:t>
            </w:r>
          </w:p>
        </w:tc>
        <w:tc>
          <w:tcPr>
            <w:tcW w:w="10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1,592</w:t>
            </w:r>
          </w:p>
        </w:tc>
        <w:tc>
          <w:tcPr>
            <w:tcW w:w="20" w:type="dxa"/>
            <w:vAlign w:val="bottom"/>
            <w:shd w:val="clear" w:color="auto" w:fill="CFF0FC"/>
          </w:tcPr>
          <w:p>
            <w:pPr>
              <w:spacing w:after="0"/>
              <w:rPr>
                <w:sz w:val="19"/>
                <w:szCs w:val="19"/>
                <w:color w:val="auto"/>
              </w:rPr>
            </w:pPr>
          </w:p>
        </w:tc>
        <w:tc>
          <w:tcPr>
            <w:tcW w:w="34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FF0FC"/>
          </w:tcPr>
          <w:p>
            <w:pPr>
              <w:spacing w:after="0"/>
              <w:rPr>
                <w:sz w:val="19"/>
                <w:szCs w:val="19"/>
                <w:color w:val="auto"/>
              </w:rPr>
            </w:pPr>
          </w:p>
        </w:tc>
        <w:tc>
          <w:tcPr>
            <w:tcW w:w="380" w:type="dxa"/>
            <w:vAlign w:val="bottom"/>
            <w:gridSpan w:val="3"/>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(32)</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8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Total Level 3 Assets</w:t>
            </w:r>
          </w:p>
        </w:tc>
        <w:tc>
          <w:tcPr>
            <w:tcW w:w="10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1,592</w:t>
            </w:r>
          </w:p>
        </w:tc>
        <w:tc>
          <w:tcPr>
            <w:tcW w:w="2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gridSpan w:val="2"/>
          </w:tcPr>
          <w:p>
            <w:pPr>
              <w:jc w:val="right"/>
              <w:ind w:right="41"/>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Contingent consideration liability</w:t>
            </w: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4,656</w:t>
            </w:r>
          </w:p>
        </w:tc>
        <w:tc>
          <w:tcPr>
            <w:tcW w:w="20" w:type="dxa"/>
            <w:vAlign w:val="bottom"/>
            <w:shd w:val="clear" w:color="auto" w:fill="CFF0FC"/>
          </w:tcPr>
          <w:p>
            <w:pPr>
              <w:spacing w:after="0"/>
              <w:rPr>
                <w:sz w:val="19"/>
                <w:szCs w:val="19"/>
                <w:color w:val="auto"/>
              </w:rPr>
            </w:pPr>
          </w:p>
        </w:tc>
        <w:tc>
          <w:tcPr>
            <w:tcW w:w="34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(3,347)</w:t>
            </w:r>
          </w:p>
        </w:tc>
        <w:tc>
          <w:tcPr>
            <w:tcW w:w="24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380" w:type="dxa"/>
            <w:vAlign w:val="bottom"/>
            <w:gridSpan w:val="3"/>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gridSpan w:val="2"/>
          </w:tcPr>
          <w:p>
            <w:pPr>
              <w:ind w:left="240"/>
              <w:spacing w:after="0"/>
              <w:rPr>
                <w:sz w:val="20"/>
                <w:szCs w:val="20"/>
                <w:color w:val="auto"/>
              </w:rPr>
            </w:pPr>
            <w:r>
              <w:rPr>
                <w:rFonts w:ascii="Arial" w:cs="Arial" w:eastAsia="Arial" w:hAnsi="Arial"/>
                <w:sz w:val="18"/>
                <w:szCs w:val="18"/>
                <w:color w:val="auto"/>
              </w:rPr>
              <w:t>Total Level 3 Liabilities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41"/>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10"/>
          </w:tcPr>
          <w:p>
            <w:pPr>
              <w:ind w:left="20"/>
              <w:spacing w:after="0"/>
              <w:rPr>
                <w:sz w:val="20"/>
                <w:szCs w:val="20"/>
                <w:color w:val="auto"/>
              </w:rPr>
            </w:pPr>
            <w:r>
              <w:rPr>
                <w:rFonts w:ascii="Arial" w:cs="Arial" w:eastAsia="Arial" w:hAnsi="Arial"/>
                <w:sz w:val="14"/>
                <w:szCs w:val="14"/>
                <w:b w:val="1"/>
                <w:bCs w:val="1"/>
                <w:color w:val="auto"/>
              </w:rPr>
              <w:t>Year Ended December 31, 2017</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gridSpan w:val="4"/>
          </w:tcPr>
          <w:p>
            <w:pPr>
              <w:spacing w:after="0" w:line="133" w:lineRule="exact"/>
              <w:rPr>
                <w:sz w:val="20"/>
                <w:szCs w:val="20"/>
                <w:color w:val="auto"/>
              </w:rPr>
            </w:pPr>
            <w:r>
              <w:rPr>
                <w:rFonts w:ascii="Arial" w:cs="Arial" w:eastAsia="Arial" w:hAnsi="Arial"/>
                <w:sz w:val="14"/>
                <w:szCs w:val="14"/>
                <w:b w:val="1"/>
                <w:bCs w:val="1"/>
                <w:color w:val="auto"/>
              </w:rPr>
              <w:t>Net Unrealized/</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3"/>
              </w:rPr>
              <w:t>Foreign</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Realized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Sales/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Beginning</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Gains/Losses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85"/>
              </w:rPr>
              <w:t>Purchases/</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Currency</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Included In</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4"/>
          </w:tcPr>
          <w:p>
            <w:pPr>
              <w:jc w:val="right"/>
              <w:ind w:right="180"/>
              <w:spacing w:after="0" w:line="149" w:lineRule="exact"/>
              <w:rPr>
                <w:sz w:val="20"/>
                <w:szCs w:val="20"/>
                <w:color w:val="auto"/>
              </w:rPr>
            </w:pPr>
            <w:r>
              <w:rPr>
                <w:rFonts w:ascii="Arial" w:cs="Arial" w:eastAsia="Arial" w:hAnsi="Arial"/>
                <w:sz w:val="14"/>
                <w:szCs w:val="14"/>
                <w:b w:val="1"/>
                <w:bCs w:val="1"/>
                <w:color w:val="auto"/>
                <w:w w:val="93"/>
              </w:rPr>
              <w:t>Dispositions/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Balance</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Earnings (a)</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w w:val="95"/>
              </w:rPr>
              <w:t>Acquisitions</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4"/>
          </w:tcPr>
          <w:p>
            <w:pPr>
              <w:ind w:left="80"/>
              <w:spacing w:after="0"/>
              <w:rPr>
                <w:sz w:val="20"/>
                <w:szCs w:val="20"/>
                <w:color w:val="auto"/>
              </w:rPr>
            </w:pPr>
            <w:r>
              <w:rPr>
                <w:rFonts w:ascii="Arial" w:cs="Arial" w:eastAsia="Arial" w:hAnsi="Arial"/>
                <w:sz w:val="14"/>
                <w:szCs w:val="14"/>
                <w:b w:val="1"/>
                <w:bCs w:val="1"/>
                <w:color w:val="auto"/>
              </w:rPr>
              <w:t>Settlements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Adjustments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Assets:</w:t>
            </w:r>
          </w:p>
        </w:tc>
        <w:tc>
          <w:tcPr>
            <w:tcW w:w="10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1,508</w:t>
            </w:r>
          </w:p>
        </w:tc>
        <w:tc>
          <w:tcPr>
            <w:tcW w:w="3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19"/>
                <w:szCs w:val="19"/>
                <w:color w:val="auto"/>
              </w:rPr>
            </w:pPr>
          </w:p>
        </w:tc>
        <w:tc>
          <w:tcPr>
            <w:tcW w:w="24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1,661</w:t>
            </w:r>
          </w:p>
        </w:tc>
        <w:tc>
          <w:tcPr>
            <w:tcW w:w="380" w:type="dxa"/>
            <w:vAlign w:val="bottom"/>
            <w:gridSpan w:val="3"/>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(1,669)</w:t>
            </w:r>
          </w:p>
        </w:tc>
        <w:tc>
          <w:tcPr>
            <w:tcW w:w="2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8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Total Level 3 Assets</w:t>
            </w:r>
          </w:p>
        </w:tc>
        <w:tc>
          <w:tcPr>
            <w:tcW w:w="10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1,508</w:t>
            </w:r>
          </w:p>
        </w:tc>
        <w:tc>
          <w:tcPr>
            <w:tcW w:w="240" w:type="dxa"/>
            <w:vAlign w:val="bottom"/>
            <w:tcBorders>
              <w:bottom w:val="single" w:sz="8" w:color="CFF0FC"/>
            </w:tcBorders>
            <w:gridSpan w:val="2"/>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gridSpan w:val="2"/>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1,661</w:t>
            </w:r>
          </w:p>
        </w:tc>
        <w:tc>
          <w:tcPr>
            <w:tcW w:w="220" w:type="dxa"/>
            <w:vAlign w:val="bottom"/>
            <w:tcBorders>
              <w:bottom w:val="single" w:sz="8" w:color="CFF0FC"/>
            </w:tcBorders>
            <w:gridSpan w:val="2"/>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(1,669)</w:t>
            </w:r>
          </w:p>
        </w:tc>
        <w:tc>
          <w:tcPr>
            <w:tcW w:w="12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gridSpan w:val="2"/>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78</w:t>
            </w:r>
          </w:p>
        </w:tc>
        <w:tc>
          <w:tcPr>
            <w:tcW w:w="2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Contingent consideration liability</w:t>
            </w: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3,364</w:t>
            </w:r>
          </w:p>
        </w:tc>
        <w:tc>
          <w:tcPr>
            <w:tcW w:w="3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1,292</w:t>
            </w:r>
          </w:p>
        </w:tc>
        <w:tc>
          <w:tcPr>
            <w:tcW w:w="80" w:type="dxa"/>
            <w:vAlign w:val="bottom"/>
            <w:shd w:val="clear" w:color="auto" w:fill="CFF0FC"/>
          </w:tcPr>
          <w:p>
            <w:pPr>
              <w:spacing w:after="0"/>
              <w:rPr>
                <w:sz w:val="19"/>
                <w:szCs w:val="19"/>
                <w:color w:val="auto"/>
              </w:rPr>
            </w:pPr>
          </w:p>
        </w:tc>
        <w:tc>
          <w:tcPr>
            <w:tcW w:w="24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gridSpan w:val="2"/>
          </w:tcPr>
          <w:p>
            <w:pPr>
              <w:ind w:left="240"/>
              <w:spacing w:after="0"/>
              <w:rPr>
                <w:sz w:val="20"/>
                <w:szCs w:val="20"/>
                <w:color w:val="auto"/>
              </w:rPr>
            </w:pPr>
            <w:r>
              <w:rPr>
                <w:rFonts w:ascii="Arial" w:cs="Arial" w:eastAsia="Arial" w:hAnsi="Arial"/>
                <w:sz w:val="18"/>
                <w:szCs w:val="18"/>
                <w:color w:val="auto"/>
              </w:rPr>
              <w:t>Total Level 3 Liabilities</w:t>
            </w:r>
          </w:p>
        </w:tc>
        <w:tc>
          <w:tcPr>
            <w:tcW w:w="104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3,364</w:t>
            </w:r>
          </w:p>
        </w:tc>
        <w:tc>
          <w:tcPr>
            <w:tcW w:w="24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1,292</w:t>
            </w:r>
          </w:p>
        </w:tc>
        <w:tc>
          <w:tcPr>
            <w:tcW w:w="8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19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right="80" w:hanging="592"/>
        <w:spacing w:after="0" w:line="259" w:lineRule="auto"/>
        <w:tabs>
          <w:tab w:leader="none" w:pos="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Earnings recorded in “other revenue” for investments in equities for the years ended December 31, 2019, 2018 and 2017 include net unrealized gains (losses) of $(781), $61 and $12, respectively. Earnings recorded in “amortization and other acquisition-related (benefits) costs” for the contingent consideration liability for the years ended December 31, 2019, 2018 and 2017 include unrealized (gains) losses of $(1,309), $(3,347) and $1,292, respectively.</w:t>
      </w:r>
    </w:p>
    <w:p>
      <w:pPr>
        <w:spacing w:after="0" w:line="11" w:lineRule="exact"/>
        <w:rPr>
          <w:rFonts w:ascii="Arial" w:cs="Arial" w:eastAsia="Arial" w:hAnsi="Arial"/>
          <w:sz w:val="18"/>
          <w:szCs w:val="18"/>
          <w:color w:val="auto"/>
        </w:rPr>
      </w:pPr>
    </w:p>
    <w:p>
      <w:pPr>
        <w:ind w:left="600" w:right="40" w:hanging="592"/>
        <w:spacing w:after="0" w:line="277" w:lineRule="auto"/>
        <w:tabs>
          <w:tab w:leader="none" w:pos="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Certain investments that were valued at NAV as of December 31, 2018 were transferred to Level 3 during the year ended December 31, 2019 as these investments are valued based on a potential transaction value that differs from NAV.</w:t>
      </w:r>
    </w:p>
    <w:p>
      <w:pPr>
        <w:spacing w:after="0" w:line="170" w:lineRule="exact"/>
        <w:rPr>
          <w:sz w:val="20"/>
          <w:szCs w:val="20"/>
          <w:color w:val="auto"/>
        </w:rPr>
      </w:pPr>
    </w:p>
    <w:p>
      <w:pPr>
        <w:ind w:right="80" w:firstLine="598"/>
        <w:spacing w:after="0" w:line="277" w:lineRule="auto"/>
        <w:rPr>
          <w:sz w:val="20"/>
          <w:szCs w:val="20"/>
          <w:color w:val="auto"/>
        </w:rPr>
      </w:pPr>
      <w:r>
        <w:rPr>
          <w:rFonts w:ascii="Arial" w:cs="Arial" w:eastAsia="Arial" w:hAnsi="Arial"/>
          <w:sz w:val="18"/>
          <w:szCs w:val="18"/>
          <w:color w:val="auto"/>
        </w:rPr>
        <w:t>There were no transfers between any of the Level 1, 2 and 3 categories in the fair value measurement hierarchy during the years ended December 31, 2019 and 2018.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right="300" w:firstLine="598"/>
        <w:spacing w:after="0" w:line="264" w:lineRule="auto"/>
        <w:rPr>
          <w:sz w:val="20"/>
          <w:szCs w:val="20"/>
          <w:color w:val="auto"/>
        </w:rPr>
      </w:pPr>
      <w:r>
        <w:rPr>
          <w:rFonts w:ascii="Arial" w:cs="Arial" w:eastAsia="Arial" w:hAnsi="Arial"/>
          <w:sz w:val="18"/>
          <w:szCs w:val="18"/>
          <w:b w:val="1"/>
          <w:bCs w:val="1"/>
          <w:i w:val="1"/>
          <w:iCs w:val="1"/>
          <w:color w:val="auto"/>
        </w:rPr>
        <w:t>Financial Instruments Not Measured at Fair Value—</w:t>
      </w:r>
      <w:r>
        <w:rPr>
          <w:rFonts w:ascii="Arial" w:cs="Arial" w:eastAsia="Arial" w:hAnsi="Arial"/>
          <w:sz w:val="18"/>
          <w:szCs w:val="18"/>
          <w:color w:val="auto"/>
        </w:rPr>
        <w:t>The tables below present the carrying value, fair value and fair value hierarchy category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financial instruments as of December 31, 2019 and 2018 that are not measured at fair value in the Company’s consolidated statement of financial condition.</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December 31, 2019</w:t>
            </w: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5"/>
          </w:tcPr>
          <w:p>
            <w:pPr>
              <w:ind w:left="180"/>
              <w:spacing w:after="0" w:line="155" w:lineRule="exact"/>
              <w:rPr>
                <w:sz w:val="20"/>
                <w:szCs w:val="20"/>
                <w:color w:val="auto"/>
              </w:rPr>
            </w:pPr>
            <w:r>
              <w:rPr>
                <w:rFonts w:ascii="Arial" w:cs="Arial" w:eastAsia="Arial" w:hAnsi="Arial"/>
                <w:sz w:val="14"/>
                <w:szCs w:val="14"/>
                <w:b w:val="1"/>
                <w:bCs w:val="1"/>
                <w:color w:val="auto"/>
              </w:rPr>
              <w:t>Fair Value Measurements Using:</w:t>
            </w: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59"/>
              <w:spacing w:after="0" w:line="133" w:lineRule="exact"/>
              <w:rPr>
                <w:sz w:val="20"/>
                <w:szCs w:val="20"/>
                <w:color w:val="auto"/>
              </w:rPr>
            </w:pPr>
            <w:r>
              <w:rPr>
                <w:rFonts w:ascii="Arial" w:cs="Arial" w:eastAsia="Arial" w:hAnsi="Arial"/>
                <w:sz w:val="14"/>
                <w:szCs w:val="14"/>
                <w:b w:val="1"/>
                <w:bCs w:val="1"/>
                <w:color w:val="auto"/>
                <w:w w:val="92"/>
              </w:rPr>
              <w:t>Quoted Prices</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5"/>
              </w:rPr>
              <w:t>in Active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8"/>
              </w:rPr>
              <w:t>Identical</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Carrying Value</w:t>
            </w:r>
          </w:p>
        </w:tc>
        <w:tc>
          <w:tcPr>
            <w:tcW w:w="180" w:type="dxa"/>
            <w:vAlign w:val="bottom"/>
          </w:tcPr>
          <w:p>
            <w:pPr>
              <w:spacing w:after="0"/>
              <w:rPr>
                <w:sz w:val="12"/>
                <w:szCs w:val="12"/>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2"/>
                <w:szCs w:val="12"/>
                <w:color w:val="auto"/>
              </w:rPr>
            </w:pPr>
          </w:p>
        </w:tc>
        <w:tc>
          <w:tcPr>
            <w:tcW w:w="10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7"/>
              </w:rPr>
              <w:t>Assets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39"/>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6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1,164,135</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1,164,135</w:t>
            </w:r>
          </w:p>
        </w:tc>
        <w:tc>
          <w:tcPr>
            <w:tcW w:w="2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1,164,135</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Deposits with banks and short-term</w:t>
            </w: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investments</w:t>
            </w:r>
          </w:p>
        </w:tc>
        <w:tc>
          <w:tcPr>
            <w:tcW w:w="6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1,180,686</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1,180,686</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1,180,686</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700" w:type="dxa"/>
            <w:vAlign w:val="bottom"/>
          </w:tcPr>
          <w:p>
            <w:pPr>
              <w:spacing w:after="0"/>
              <w:rPr>
                <w:sz w:val="20"/>
                <w:szCs w:val="20"/>
                <w:color w:val="auto"/>
              </w:rPr>
            </w:pPr>
            <w:r>
              <w:rPr>
                <w:rFonts w:ascii="Arial" w:cs="Arial" w:eastAsia="Arial" w:hAnsi="Arial"/>
                <w:sz w:val="18"/>
                <w:szCs w:val="18"/>
                <w:color w:val="auto"/>
              </w:rPr>
              <w:t>Cash deposited with clearing</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40"/>
              <w:spacing w:after="0"/>
              <w:rPr>
                <w:sz w:val="20"/>
                <w:szCs w:val="20"/>
                <w:color w:val="auto"/>
              </w:rPr>
            </w:pPr>
            <w:r>
              <w:rPr>
                <w:rFonts w:ascii="Arial" w:cs="Arial" w:eastAsia="Arial" w:hAnsi="Arial"/>
                <w:sz w:val="18"/>
                <w:szCs w:val="18"/>
                <w:color w:val="auto"/>
              </w:rPr>
              <w:t>organizations and other segregated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140"/>
              <w:spacing w:after="0"/>
              <w:rPr>
                <w:sz w:val="20"/>
                <w:szCs w:val="20"/>
                <w:color w:val="auto"/>
              </w:rPr>
            </w:pPr>
            <w:r>
              <w:rPr>
                <w:rFonts w:ascii="Arial" w:cs="Arial" w:eastAsia="Arial" w:hAnsi="Arial"/>
                <w:sz w:val="18"/>
                <w:szCs w:val="18"/>
                <w:color w:val="auto"/>
              </w:rPr>
              <w:t>cash</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43,280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43,280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43,280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Interest-bearing financing receivables</w:t>
            </w: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77,052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78,940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700" w:type="dxa"/>
            <w:vAlign w:val="bottom"/>
          </w:tcPr>
          <w:p>
            <w:pPr>
              <w:spacing w:after="0"/>
              <w:rPr>
                <w:sz w:val="20"/>
                <w:szCs w:val="20"/>
                <w:color w:val="auto"/>
              </w:rPr>
            </w:pPr>
            <w:r>
              <w:rPr>
                <w:rFonts w:ascii="Arial" w:cs="Arial" w:eastAsia="Arial" w:hAnsi="Arial"/>
                <w:sz w:val="18"/>
                <w:szCs w:val="18"/>
                <w:color w:val="auto"/>
              </w:rPr>
              <w:t>Interest-bearing deposits (included within</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140"/>
              <w:spacing w:after="0"/>
              <w:rPr>
                <w:sz w:val="20"/>
                <w:szCs w:val="20"/>
                <w:color w:val="auto"/>
              </w:rPr>
            </w:pPr>
            <w:r>
              <w:rPr>
                <w:rFonts w:ascii="Arial" w:cs="Arial" w:eastAsia="Arial" w:hAnsi="Arial"/>
                <w:sz w:val="18"/>
                <w:szCs w:val="18"/>
                <w:color w:val="auto"/>
              </w:rPr>
              <w:t>investments)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517</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Liabilities:</w:t>
            </w: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Deposits and other customer payables</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1,246,200</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1,246,200</w:t>
            </w:r>
          </w:p>
        </w:tc>
        <w:tc>
          <w:tcPr>
            <w:tcW w:w="2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1,246,200</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Senior debt</w:t>
            </w: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1,679,562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1,838,716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1,838,716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3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December 31, 2018</w:t>
            </w: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5"/>
          </w:tcPr>
          <w:p>
            <w:pPr>
              <w:ind w:left="180"/>
              <w:spacing w:after="0" w:line="155" w:lineRule="exact"/>
              <w:rPr>
                <w:sz w:val="20"/>
                <w:szCs w:val="20"/>
                <w:color w:val="auto"/>
              </w:rPr>
            </w:pPr>
            <w:r>
              <w:rPr>
                <w:rFonts w:ascii="Arial" w:cs="Arial" w:eastAsia="Arial" w:hAnsi="Arial"/>
                <w:sz w:val="14"/>
                <w:szCs w:val="14"/>
                <w:b w:val="1"/>
                <w:bCs w:val="1"/>
                <w:color w:val="auto"/>
              </w:rPr>
              <w:t>Fair Value Measurements Using:</w:t>
            </w: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59"/>
              <w:spacing w:after="0" w:line="133" w:lineRule="exact"/>
              <w:rPr>
                <w:sz w:val="20"/>
                <w:szCs w:val="20"/>
                <w:color w:val="auto"/>
              </w:rPr>
            </w:pPr>
            <w:r>
              <w:rPr>
                <w:rFonts w:ascii="Arial" w:cs="Arial" w:eastAsia="Arial" w:hAnsi="Arial"/>
                <w:sz w:val="14"/>
                <w:szCs w:val="14"/>
                <w:b w:val="1"/>
                <w:bCs w:val="1"/>
                <w:color w:val="auto"/>
                <w:w w:val="92"/>
              </w:rPr>
              <w:t>Quoted Prices</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2"/>
              </w:rPr>
              <w:t>in Active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8"/>
              </w:rPr>
              <w:t>Identical</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Carrying Value</w:t>
            </w:r>
          </w:p>
        </w:tc>
        <w:tc>
          <w:tcPr>
            <w:tcW w:w="180" w:type="dxa"/>
            <w:vAlign w:val="bottom"/>
          </w:tcPr>
          <w:p>
            <w:pPr>
              <w:spacing w:after="0"/>
              <w:rPr>
                <w:sz w:val="12"/>
                <w:szCs w:val="12"/>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2"/>
                <w:szCs w:val="12"/>
                <w:color w:val="auto"/>
              </w:rPr>
            </w:pPr>
          </w:p>
        </w:tc>
        <w:tc>
          <w:tcPr>
            <w:tcW w:w="10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7"/>
              </w:rPr>
              <w:t>Assets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39"/>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6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1,185,040</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1,185,040</w:t>
            </w:r>
          </w:p>
        </w:tc>
        <w:tc>
          <w:tcPr>
            <w:tcW w:w="2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1,185,040</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Deposits with banks and short-term</w:t>
            </w: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investments</w:t>
            </w:r>
          </w:p>
        </w:tc>
        <w:tc>
          <w:tcPr>
            <w:tcW w:w="6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1,006,969</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1,006,969</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1,006,969</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700" w:type="dxa"/>
            <w:vAlign w:val="bottom"/>
          </w:tcPr>
          <w:p>
            <w:pPr>
              <w:spacing w:after="0"/>
              <w:rPr>
                <w:sz w:val="20"/>
                <w:szCs w:val="20"/>
                <w:color w:val="auto"/>
              </w:rPr>
            </w:pPr>
            <w:r>
              <w:rPr>
                <w:rFonts w:ascii="Arial" w:cs="Arial" w:eastAsia="Arial" w:hAnsi="Arial"/>
                <w:sz w:val="18"/>
                <w:szCs w:val="18"/>
                <w:color w:val="auto"/>
              </w:rPr>
              <w:t>Cash deposited with clearing</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40"/>
              <w:spacing w:after="0"/>
              <w:rPr>
                <w:sz w:val="20"/>
                <w:szCs w:val="20"/>
                <w:color w:val="auto"/>
              </w:rPr>
            </w:pPr>
            <w:r>
              <w:rPr>
                <w:rFonts w:ascii="Arial" w:cs="Arial" w:eastAsia="Arial" w:hAnsi="Arial"/>
                <w:sz w:val="18"/>
                <w:szCs w:val="18"/>
                <w:color w:val="auto"/>
              </w:rPr>
              <w:t>organizations and other segregated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140"/>
              <w:spacing w:after="0"/>
              <w:rPr>
                <w:sz w:val="20"/>
                <w:szCs w:val="20"/>
                <w:color w:val="auto"/>
              </w:rPr>
            </w:pPr>
            <w:r>
              <w:rPr>
                <w:rFonts w:ascii="Arial" w:cs="Arial" w:eastAsia="Arial" w:hAnsi="Arial"/>
                <w:sz w:val="18"/>
                <w:szCs w:val="18"/>
                <w:color w:val="auto"/>
              </w:rPr>
              <w:t>cash</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38,379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38,379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38,379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Interest-bearing financing receivables</w:t>
            </w: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90,966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91,765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700" w:type="dxa"/>
            <w:vAlign w:val="bottom"/>
          </w:tcPr>
          <w:p>
            <w:pPr>
              <w:spacing w:after="0"/>
              <w:rPr>
                <w:sz w:val="20"/>
                <w:szCs w:val="20"/>
                <w:color w:val="auto"/>
              </w:rPr>
            </w:pPr>
            <w:r>
              <w:rPr>
                <w:rFonts w:ascii="Arial" w:cs="Arial" w:eastAsia="Arial" w:hAnsi="Arial"/>
                <w:sz w:val="18"/>
                <w:szCs w:val="18"/>
                <w:color w:val="auto"/>
              </w:rPr>
              <w:t>Interest-bearing deposits (included within</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140"/>
              <w:spacing w:after="0"/>
              <w:rPr>
                <w:sz w:val="20"/>
                <w:szCs w:val="20"/>
                <w:color w:val="auto"/>
              </w:rPr>
            </w:pPr>
            <w:r>
              <w:rPr>
                <w:rFonts w:ascii="Arial" w:cs="Arial" w:eastAsia="Arial" w:hAnsi="Arial"/>
                <w:sz w:val="18"/>
                <w:szCs w:val="18"/>
                <w:color w:val="auto"/>
              </w:rPr>
              <w:t>investments)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Liabilities:</w:t>
            </w: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Deposits and other customer payables</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1,154,208</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1,154,208</w:t>
            </w:r>
          </w:p>
        </w:tc>
        <w:tc>
          <w:tcPr>
            <w:tcW w:w="2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1,154,208</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Senior debt</w:t>
            </w: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1,434,260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1,429,280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1,429,280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20" w:right="1320" w:hanging="5017"/>
        <w:spacing w:after="0" w:line="528" w:lineRule="auto"/>
        <w:rPr>
          <w:sz w:val="20"/>
          <w:szCs w:val="20"/>
          <w:color w:val="auto"/>
        </w:rPr>
      </w:pPr>
      <w:r>
        <w:rPr>
          <w:rFonts w:ascii="Arial" w:cs="Arial" w:eastAsia="Arial" w:hAnsi="Arial"/>
          <w:sz w:val="18"/>
          <w:szCs w:val="18"/>
          <w:color w:val="auto"/>
        </w:rPr>
        <w:t>Cash and cash equivalents are carried at either cost or amortized cost that approximates fair value due to their short-term maturities.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720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right="400" w:firstLine="598"/>
        <w:spacing w:after="0" w:line="277" w:lineRule="auto"/>
        <w:rPr>
          <w:sz w:val="20"/>
          <w:szCs w:val="20"/>
          <w:color w:val="auto"/>
        </w:rPr>
      </w:pPr>
      <w:r>
        <w:rPr>
          <w:rFonts w:ascii="Arial" w:cs="Arial" w:eastAsia="Arial" w:hAnsi="Arial"/>
          <w:sz w:val="18"/>
          <w:szCs w:val="18"/>
          <w:color w:val="auto"/>
        </w:rPr>
        <w:t>The carrying value of deposits with banks and short-term investments, and cash deposited with clearing organizations and other segregated cash, approximates fair value because of the relatively short period of time between their origination and expected maturity.</w:t>
      </w:r>
    </w:p>
    <w:p>
      <w:pPr>
        <w:spacing w:after="0" w:line="170" w:lineRule="exact"/>
        <w:rPr>
          <w:sz w:val="20"/>
          <w:szCs w:val="20"/>
          <w:color w:val="auto"/>
        </w:rPr>
      </w:pPr>
    </w:p>
    <w:p>
      <w:pPr>
        <w:ind w:right="180" w:firstLine="598"/>
        <w:spacing w:after="0" w:line="342" w:lineRule="auto"/>
        <w:rPr>
          <w:sz w:val="20"/>
          <w:szCs w:val="20"/>
          <w:color w:val="auto"/>
        </w:rPr>
      </w:pPr>
      <w:r>
        <w:rPr>
          <w:rFonts w:ascii="Arial" w:cs="Arial" w:eastAsia="Arial" w:hAnsi="Arial"/>
          <w:sz w:val="16"/>
          <w:szCs w:val="16"/>
          <w:color w:val="auto"/>
        </w:rPr>
        <w:t>Fair values of interest-bearing financing receivables were generally determined by discounting both principal and interest cash flows expected to be collected, using a discount rate approximating current market interest rates for comparable financial instruments and based on unobservable inputs.</w:t>
      </w:r>
    </w:p>
    <w:p>
      <w:pPr>
        <w:spacing w:after="0" w:line="124" w:lineRule="exact"/>
        <w:rPr>
          <w:sz w:val="20"/>
          <w:szCs w:val="20"/>
          <w:color w:val="auto"/>
        </w:rPr>
      </w:pPr>
    </w:p>
    <w:p>
      <w:pPr>
        <w:ind w:right="540" w:firstLine="598"/>
        <w:spacing w:after="0" w:line="277" w:lineRule="auto"/>
        <w:rPr>
          <w:sz w:val="20"/>
          <w:szCs w:val="20"/>
          <w:color w:val="auto"/>
        </w:rPr>
      </w:pPr>
      <w:r>
        <w:rPr>
          <w:rFonts w:ascii="Arial" w:cs="Arial" w:eastAsia="Arial" w:hAnsi="Arial"/>
          <w:sz w:val="18"/>
          <w:szCs w:val="18"/>
          <w:color w:val="auto"/>
        </w:rPr>
        <w:t>The carrying value of deposits and other customer payables and investments accounted for at amortized cost, such as interest-bearing deposits, approximate fair value due to their short-term nature.</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Company’s senior debt is carried at historical amounts. The fair value of the Company’s senior debt is based on market quotations.</w:t>
      </w:r>
    </w:p>
    <w:p>
      <w:pPr>
        <w:spacing w:after="0" w:line="225"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The following tables present, at December 31, 2019 and 2018, certain investments that are valued using NAV or its equivalent as a practical expedient in determining fair value: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December 31, 2019</w:t>
            </w: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r>
        <w:trPr>
          <w:trHeight w:val="143"/>
        </w:trPr>
        <w:tc>
          <w:tcPr>
            <w:tcW w:w="1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520" w:type="dxa"/>
            <w:vAlign w:val="bottom"/>
            <w:gridSpan w:val="7"/>
          </w:tcPr>
          <w:p>
            <w:pPr>
              <w:ind w:left="680"/>
              <w:spacing w:after="0" w:line="143" w:lineRule="exact"/>
              <w:rPr>
                <w:sz w:val="20"/>
                <w:szCs w:val="20"/>
                <w:color w:val="auto"/>
              </w:rPr>
            </w:pPr>
            <w:r>
              <w:rPr>
                <w:rFonts w:ascii="Arial" w:cs="Arial" w:eastAsia="Arial" w:hAnsi="Arial"/>
                <w:sz w:val="14"/>
                <w:szCs w:val="14"/>
                <w:b w:val="1"/>
                <w:bCs w:val="1"/>
                <w:color w:val="auto"/>
              </w:rPr>
              <w:t>Estimated Liquidation Period of</w:t>
            </w:r>
          </w:p>
        </w:tc>
        <w:tc>
          <w:tcPr>
            <w:tcW w:w="2180" w:type="dxa"/>
            <w:vAlign w:val="bottom"/>
            <w:gridSpan w:val="3"/>
          </w:tcPr>
          <w:p>
            <w:pPr>
              <w:jc w:val="right"/>
              <w:ind w:right="686"/>
              <w:spacing w:after="0" w:line="143" w:lineRule="exact"/>
              <w:rPr>
                <w:sz w:val="20"/>
                <w:szCs w:val="20"/>
                <w:color w:val="auto"/>
              </w:rPr>
            </w:pPr>
            <w:r>
              <w:rPr>
                <w:rFonts w:ascii="Arial" w:cs="Arial" w:eastAsia="Arial" w:hAnsi="Arial"/>
                <w:sz w:val="14"/>
                <w:szCs w:val="14"/>
                <w:b w:val="1"/>
                <w:bCs w:val="1"/>
                <w:color w:val="auto"/>
              </w:rPr>
              <w:t>Investments</w:t>
            </w:r>
          </w:p>
        </w:tc>
      </w:tr>
      <w:tr>
        <w:trPr>
          <w:trHeight w:val="161"/>
        </w:trPr>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80" w:type="dxa"/>
            <w:vAlign w:val="bottom"/>
            <w:tcBorders>
              <w:bottom w:val="single" w:sz="8" w:color="auto"/>
            </w:tcBorders>
            <w:gridSpan w:val="5"/>
          </w:tcPr>
          <w:p>
            <w:pPr>
              <w:ind w:left="780"/>
              <w:spacing w:after="0"/>
              <w:rPr>
                <w:sz w:val="20"/>
                <w:szCs w:val="20"/>
                <w:color w:val="auto"/>
              </w:rPr>
            </w:pPr>
            <w:r>
              <w:rPr>
                <w:rFonts w:ascii="Arial" w:cs="Arial" w:eastAsia="Arial" w:hAnsi="Arial"/>
                <w:sz w:val="14"/>
                <w:szCs w:val="14"/>
                <w:b w:val="1"/>
                <w:bCs w:val="1"/>
                <w:color w:val="auto"/>
                <w:w w:val="86"/>
              </w:rPr>
              <w:t>Investments Not Redeemable</w:t>
            </w:r>
          </w:p>
        </w:tc>
        <w:tc>
          <w:tcPr>
            <w:tcW w:w="7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tcBorders>
              <w:bottom w:val="single" w:sz="8" w:color="auto"/>
            </w:tcBorders>
            <w:gridSpan w:val="3"/>
          </w:tcPr>
          <w:p>
            <w:pPr>
              <w:jc w:val="right"/>
              <w:ind w:right="666"/>
              <w:spacing w:after="0"/>
              <w:rPr>
                <w:sz w:val="20"/>
                <w:szCs w:val="20"/>
                <w:color w:val="auto"/>
              </w:rPr>
            </w:pPr>
            <w:r>
              <w:rPr>
                <w:rFonts w:ascii="Arial" w:cs="Arial" w:eastAsia="Arial" w:hAnsi="Arial"/>
                <w:sz w:val="14"/>
                <w:szCs w:val="14"/>
                <w:b w:val="1"/>
                <w:bCs w:val="1"/>
                <w:color w:val="auto"/>
              </w:rPr>
              <w:t>Redeemable</w:t>
            </w:r>
          </w:p>
        </w:tc>
      </w:tr>
      <w:tr>
        <w:trPr>
          <w:trHeight w:val="143"/>
        </w:trPr>
        <w:tc>
          <w:tcPr>
            <w:tcW w:w="1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94"/>
              </w:rPr>
              <w:t>% of</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9"/>
        </w:trPr>
        <w:tc>
          <w:tcPr>
            <w:tcW w:w="1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Fair Value</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920" w:type="dxa"/>
            <w:vAlign w:val="bottom"/>
          </w:tcPr>
          <w:p>
            <w:pPr>
              <w:jc w:val="right"/>
              <w:ind w:right="327"/>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9"/>
        </w:trPr>
        <w:tc>
          <w:tcPr>
            <w:tcW w:w="1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105"/>
              <w:spacing w:after="0" w:line="149" w:lineRule="exact"/>
              <w:rPr>
                <w:sz w:val="20"/>
                <w:szCs w:val="20"/>
                <w:color w:val="auto"/>
              </w:rPr>
            </w:pPr>
            <w:r>
              <w:rPr>
                <w:rFonts w:ascii="Arial" w:cs="Arial" w:eastAsia="Arial" w:hAnsi="Arial"/>
                <w:sz w:val="14"/>
                <w:szCs w:val="14"/>
                <w:b w:val="1"/>
                <w:bCs w:val="1"/>
                <w:color w:val="auto"/>
                <w:w w:val="91"/>
              </w:rPr>
              <w:t>Unfunded</w:t>
            </w:r>
          </w:p>
        </w:tc>
        <w:tc>
          <w:tcPr>
            <w:tcW w:w="40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Not</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Next</w:t>
            </w:r>
          </w:p>
        </w:tc>
        <w:tc>
          <w:tcPr>
            <w:tcW w:w="920" w:type="dxa"/>
            <w:vAlign w:val="bottom"/>
          </w:tcPr>
          <w:p>
            <w:pPr>
              <w:jc w:val="right"/>
              <w:ind w:right="267"/>
              <w:spacing w:after="0" w:line="149" w:lineRule="exact"/>
              <w:rPr>
                <w:sz w:val="20"/>
                <w:szCs w:val="20"/>
                <w:color w:val="auto"/>
              </w:rPr>
            </w:pPr>
            <w:r>
              <w:rPr>
                <w:rFonts w:ascii="Arial" w:cs="Arial" w:eastAsia="Arial" w:hAnsi="Arial"/>
                <w:sz w:val="14"/>
                <w:szCs w:val="14"/>
                <w:b w:val="1"/>
                <w:bCs w:val="1"/>
                <w:color w:val="auto"/>
              </w:rPr>
              <w:t>5-10</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ind w:left="240"/>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Redemption</w:t>
            </w:r>
          </w:p>
        </w:tc>
        <w:tc>
          <w:tcPr>
            <w:tcW w:w="1040" w:type="dxa"/>
            <w:vAlign w:val="bottom"/>
          </w:tcPr>
          <w:p>
            <w:pPr>
              <w:jc w:val="right"/>
              <w:ind w:right="106"/>
              <w:spacing w:after="0" w:line="149" w:lineRule="exact"/>
              <w:rPr>
                <w:sz w:val="20"/>
                <w:szCs w:val="20"/>
                <w:color w:val="auto"/>
              </w:rPr>
            </w:pPr>
            <w:r>
              <w:rPr>
                <w:rFonts w:ascii="Arial" w:cs="Arial" w:eastAsia="Arial" w:hAnsi="Arial"/>
                <w:sz w:val="14"/>
                <w:szCs w:val="14"/>
                <w:b w:val="1"/>
                <w:bCs w:val="1"/>
                <w:color w:val="auto"/>
              </w:rPr>
              <w:t>Redemption</w:t>
            </w:r>
          </w:p>
        </w:tc>
      </w:tr>
      <w:tr>
        <w:trPr>
          <w:trHeight w:val="161"/>
        </w:trPr>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Commitments</w:t>
            </w:r>
          </w:p>
        </w:tc>
        <w:tc>
          <w:tcPr>
            <w:tcW w:w="40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Redeemable</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5 Years</w:t>
            </w:r>
          </w:p>
        </w:tc>
        <w:tc>
          <w:tcPr>
            <w:tcW w:w="1320" w:type="dxa"/>
            <w:vAlign w:val="bottom"/>
            <w:gridSpan w:val="3"/>
          </w:tcPr>
          <w:p>
            <w:pPr>
              <w:ind w:left="300"/>
              <w:spacing w:after="0"/>
              <w:rPr>
                <w:sz w:val="20"/>
                <w:szCs w:val="20"/>
                <w:color w:val="auto"/>
              </w:rPr>
            </w:pPr>
            <w:r>
              <w:rPr>
                <w:rFonts w:ascii="Arial" w:cs="Arial" w:eastAsia="Arial" w:hAnsi="Arial"/>
                <w:sz w:val="14"/>
                <w:szCs w:val="14"/>
                <w:b w:val="1"/>
                <w:bCs w:val="1"/>
                <w:color w:val="auto"/>
              </w:rPr>
              <w:t>Years</w:t>
            </w: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Thereafter</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Frequency</w:t>
            </w:r>
          </w:p>
        </w:tc>
        <w:tc>
          <w:tcPr>
            <w:tcW w:w="1040" w:type="dxa"/>
            <w:vAlign w:val="bottom"/>
          </w:tcPr>
          <w:p>
            <w:pPr>
              <w:jc w:val="right"/>
              <w:ind w:right="66"/>
              <w:spacing w:after="0"/>
              <w:rPr>
                <w:sz w:val="20"/>
                <w:szCs w:val="20"/>
                <w:color w:val="auto"/>
              </w:rPr>
            </w:pPr>
            <w:r>
              <w:rPr>
                <w:rFonts w:ascii="Arial" w:cs="Arial" w:eastAsia="Arial" w:hAnsi="Arial"/>
                <w:sz w:val="14"/>
                <w:szCs w:val="14"/>
                <w:b w:val="1"/>
                <w:bCs w:val="1"/>
                <w:color w:val="auto"/>
                <w:w w:val="97"/>
              </w:rPr>
              <w:t>Notice Period</w:t>
            </w:r>
          </w:p>
        </w:tc>
      </w:tr>
      <w:tr>
        <w:trPr>
          <w:trHeight w:val="169"/>
        </w:trPr>
        <w:tc>
          <w:tcPr>
            <w:tcW w:w="198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Alternative investment funds:</w:t>
            </w:r>
          </w:p>
        </w:tc>
        <w:tc>
          <w:tcPr>
            <w:tcW w:w="1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400" w:type="dxa"/>
            <w:vAlign w:val="bottom"/>
            <w:tcBorders>
              <w:top w:val="single" w:sz="8" w:color="CFF0FC"/>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r>
      <w:tr>
        <w:trPr>
          <w:trHeight w:val="176"/>
        </w:trPr>
        <w:tc>
          <w:tcPr>
            <w:tcW w:w="1980" w:type="dxa"/>
            <w:vAlign w:val="bottom"/>
          </w:tcPr>
          <w:p>
            <w:pPr>
              <w:ind w:left="260"/>
              <w:spacing w:after="0"/>
              <w:rPr>
                <w:sz w:val="20"/>
                <w:szCs w:val="20"/>
                <w:color w:val="auto"/>
              </w:rPr>
            </w:pPr>
            <w:r>
              <w:rPr>
                <w:rFonts w:ascii="Arial" w:cs="Arial" w:eastAsia="Arial" w:hAnsi="Arial"/>
                <w:sz w:val="15"/>
                <w:szCs w:val="15"/>
                <w:color w:val="auto"/>
              </w:rPr>
              <w:t>Hedge funds</w:t>
            </w:r>
          </w:p>
        </w:tc>
        <w:tc>
          <w:tcPr>
            <w:tcW w:w="2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241</w:t>
            </w: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5"/>
                <w:szCs w:val="15"/>
                <w:color w:val="auto"/>
              </w:rPr>
            </w:pPr>
          </w:p>
        </w:tc>
        <w:tc>
          <w:tcPr>
            <w:tcW w:w="1180" w:type="dxa"/>
            <w:vAlign w:val="bottom"/>
            <w:gridSpan w:val="2"/>
          </w:tcPr>
          <w:p>
            <w:pPr>
              <w:ind w:left="680"/>
              <w:spacing w:after="0"/>
              <w:rPr>
                <w:sz w:val="20"/>
                <w:szCs w:val="20"/>
                <w:color w:val="auto"/>
              </w:rPr>
            </w:pPr>
            <w:r>
              <w:rPr>
                <w:rFonts w:ascii="Arial" w:cs="Arial" w:eastAsia="Arial" w:hAnsi="Arial"/>
                <w:sz w:val="15"/>
                <w:szCs w:val="15"/>
                <w:color w:val="auto"/>
              </w:rPr>
              <w:t>NA</w:t>
            </w:r>
          </w:p>
        </w:tc>
        <w:tc>
          <w:tcPr>
            <w:tcW w:w="1160" w:type="dxa"/>
            <w:vAlign w:val="bottom"/>
            <w:gridSpan w:val="2"/>
          </w:tcPr>
          <w:p>
            <w:pPr>
              <w:ind w:left="680"/>
              <w:spacing w:after="0"/>
              <w:rPr>
                <w:sz w:val="20"/>
                <w:szCs w:val="20"/>
                <w:color w:val="auto"/>
              </w:rPr>
            </w:pPr>
            <w:r>
              <w:rPr>
                <w:rFonts w:ascii="Arial" w:cs="Arial" w:eastAsia="Arial" w:hAnsi="Arial"/>
                <w:sz w:val="15"/>
                <w:szCs w:val="15"/>
                <w:color w:val="auto"/>
              </w:rPr>
              <w:t>NA</w:t>
            </w:r>
          </w:p>
        </w:tc>
        <w:tc>
          <w:tcPr>
            <w:tcW w:w="1320" w:type="dxa"/>
            <w:vAlign w:val="bottom"/>
            <w:gridSpan w:val="3"/>
          </w:tcPr>
          <w:p>
            <w:pPr>
              <w:ind w:left="680"/>
              <w:spacing w:after="0"/>
              <w:rPr>
                <w:sz w:val="20"/>
                <w:szCs w:val="20"/>
                <w:color w:val="auto"/>
              </w:rPr>
            </w:pPr>
            <w:r>
              <w:rPr>
                <w:rFonts w:ascii="Arial" w:cs="Arial" w:eastAsia="Arial" w:hAnsi="Arial"/>
                <w:sz w:val="15"/>
                <w:szCs w:val="15"/>
                <w:color w:val="auto"/>
              </w:rPr>
              <w:t>NA</w:t>
            </w:r>
          </w:p>
        </w:tc>
        <w:tc>
          <w:tcPr>
            <w:tcW w:w="1040" w:type="dxa"/>
            <w:vAlign w:val="bottom"/>
            <w:gridSpan w:val="2"/>
          </w:tcPr>
          <w:p>
            <w:pPr>
              <w:ind w:left="540"/>
              <w:spacing w:after="0"/>
              <w:rPr>
                <w:sz w:val="20"/>
                <w:szCs w:val="20"/>
                <w:color w:val="auto"/>
              </w:rPr>
            </w:pPr>
            <w:r>
              <w:rPr>
                <w:rFonts w:ascii="Arial" w:cs="Arial" w:eastAsia="Arial" w:hAnsi="Arial"/>
                <w:sz w:val="15"/>
                <w:szCs w:val="15"/>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(a)</w:t>
            </w:r>
          </w:p>
        </w:tc>
        <w:tc>
          <w:tcPr>
            <w:tcW w:w="1040" w:type="dxa"/>
            <w:vAlign w:val="bottom"/>
          </w:tcPr>
          <w:p>
            <w:pPr>
              <w:jc w:val="right"/>
              <w:spacing w:after="0"/>
              <w:rPr>
                <w:sz w:val="20"/>
                <w:szCs w:val="20"/>
                <w:color w:val="auto"/>
              </w:rPr>
            </w:pPr>
            <w:r>
              <w:rPr>
                <w:rFonts w:ascii="Arial" w:cs="Arial" w:eastAsia="Arial" w:hAnsi="Arial"/>
                <w:sz w:val="15"/>
                <w:szCs w:val="15"/>
                <w:color w:val="auto"/>
              </w:rPr>
              <w:t>30-60 days</w:t>
            </w:r>
          </w:p>
        </w:tc>
      </w:tr>
      <w:tr>
        <w:trPr>
          <w:trHeight w:val="176"/>
        </w:trPr>
        <w:tc>
          <w:tcPr>
            <w:tcW w:w="19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609</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5"/>
                <w:szCs w:val="15"/>
                <w:color w:val="auto"/>
              </w:rPr>
              <w:t>NA</w:t>
            </w:r>
          </w:p>
        </w:tc>
        <w:tc>
          <w:tcPr>
            <w:tcW w:w="1160" w:type="dxa"/>
            <w:vAlign w:val="bottom"/>
            <w:gridSpan w:val="2"/>
            <w:shd w:val="clear" w:color="auto" w:fill="CFF0FC"/>
          </w:tcPr>
          <w:p>
            <w:pPr>
              <w:ind w:left="680"/>
              <w:spacing w:after="0"/>
              <w:rPr>
                <w:sz w:val="20"/>
                <w:szCs w:val="20"/>
                <w:color w:val="auto"/>
              </w:rPr>
            </w:pPr>
            <w:r>
              <w:rPr>
                <w:rFonts w:ascii="Arial" w:cs="Arial" w:eastAsia="Arial" w:hAnsi="Arial"/>
                <w:sz w:val="15"/>
                <w:szCs w:val="15"/>
                <w:color w:val="auto"/>
              </w:rPr>
              <w:t>NA</w:t>
            </w:r>
          </w:p>
        </w:tc>
        <w:tc>
          <w:tcPr>
            <w:tcW w:w="1320" w:type="dxa"/>
            <w:vAlign w:val="bottom"/>
            <w:gridSpan w:val="3"/>
            <w:shd w:val="clear" w:color="auto" w:fill="CFF0FC"/>
          </w:tcPr>
          <w:p>
            <w:pPr>
              <w:ind w:left="680"/>
              <w:spacing w:after="0"/>
              <w:rPr>
                <w:sz w:val="20"/>
                <w:szCs w:val="20"/>
                <w:color w:val="auto"/>
              </w:rPr>
            </w:pPr>
            <w:r>
              <w:rPr>
                <w:rFonts w:ascii="Arial" w:cs="Arial" w:eastAsia="Arial" w:hAnsi="Arial"/>
                <w:sz w:val="15"/>
                <w:szCs w:val="15"/>
                <w:color w:val="auto"/>
              </w:rPr>
              <w:t>NA</w:t>
            </w:r>
          </w:p>
        </w:tc>
        <w:tc>
          <w:tcPr>
            <w:tcW w:w="1040" w:type="dxa"/>
            <w:vAlign w:val="bottom"/>
            <w:gridSpan w:val="2"/>
            <w:shd w:val="clear" w:color="auto" w:fill="CFF0FC"/>
          </w:tcPr>
          <w:p>
            <w:pPr>
              <w:ind w:left="540"/>
              <w:spacing w:after="0"/>
              <w:rPr>
                <w:sz w:val="20"/>
                <w:szCs w:val="20"/>
                <w:color w:val="auto"/>
              </w:rPr>
            </w:pPr>
            <w:r>
              <w:rPr>
                <w:rFonts w:ascii="Arial" w:cs="Arial" w:eastAsia="Arial" w:hAnsi="Arial"/>
                <w:sz w:val="15"/>
                <w:szCs w:val="15"/>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(b)</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&lt;30-30 days</w:t>
            </w:r>
          </w:p>
        </w:tc>
      </w:tr>
      <w:tr>
        <w:trPr>
          <w:trHeight w:val="176"/>
        </w:trPr>
        <w:tc>
          <w:tcPr>
            <w:tcW w:w="1980" w:type="dxa"/>
            <w:vAlign w:val="bottom"/>
          </w:tcPr>
          <w:p>
            <w:pPr>
              <w:spacing w:after="0"/>
              <w:rPr>
                <w:sz w:val="20"/>
                <w:szCs w:val="20"/>
                <w:color w:val="auto"/>
              </w:rPr>
            </w:pPr>
            <w:r>
              <w:rPr>
                <w:rFonts w:ascii="Arial" w:cs="Arial" w:eastAsia="Arial" w:hAnsi="Arial"/>
                <w:sz w:val="15"/>
                <w:szCs w:val="15"/>
                <w:color w:val="auto"/>
              </w:rPr>
              <w:t>Debt funds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5"/>
                <w:szCs w:val="15"/>
                <w:color w:val="auto"/>
              </w:rPr>
            </w:pPr>
          </w:p>
        </w:tc>
        <w:tc>
          <w:tcPr>
            <w:tcW w:w="1180" w:type="dxa"/>
            <w:vAlign w:val="bottom"/>
            <w:gridSpan w:val="2"/>
          </w:tcPr>
          <w:p>
            <w:pPr>
              <w:ind w:left="680"/>
              <w:spacing w:after="0"/>
              <w:rPr>
                <w:sz w:val="20"/>
                <w:szCs w:val="20"/>
                <w:color w:val="auto"/>
              </w:rPr>
            </w:pPr>
            <w:r>
              <w:rPr>
                <w:rFonts w:ascii="Arial" w:cs="Arial" w:eastAsia="Arial" w:hAnsi="Arial"/>
                <w:sz w:val="15"/>
                <w:szCs w:val="15"/>
                <w:color w:val="auto"/>
              </w:rPr>
              <w:t>NA</w:t>
            </w:r>
          </w:p>
        </w:tc>
        <w:tc>
          <w:tcPr>
            <w:tcW w:w="1160" w:type="dxa"/>
            <w:vAlign w:val="bottom"/>
            <w:gridSpan w:val="2"/>
          </w:tcPr>
          <w:p>
            <w:pPr>
              <w:ind w:left="680"/>
              <w:spacing w:after="0"/>
              <w:rPr>
                <w:sz w:val="20"/>
                <w:szCs w:val="20"/>
                <w:color w:val="auto"/>
              </w:rPr>
            </w:pPr>
            <w:r>
              <w:rPr>
                <w:rFonts w:ascii="Arial" w:cs="Arial" w:eastAsia="Arial" w:hAnsi="Arial"/>
                <w:sz w:val="15"/>
                <w:szCs w:val="15"/>
                <w:color w:val="auto"/>
              </w:rPr>
              <w:t>NA</w:t>
            </w:r>
          </w:p>
        </w:tc>
        <w:tc>
          <w:tcPr>
            <w:tcW w:w="1320" w:type="dxa"/>
            <w:vAlign w:val="bottom"/>
            <w:gridSpan w:val="3"/>
          </w:tcPr>
          <w:p>
            <w:pPr>
              <w:ind w:left="680"/>
              <w:spacing w:after="0"/>
              <w:rPr>
                <w:sz w:val="20"/>
                <w:szCs w:val="20"/>
                <w:color w:val="auto"/>
              </w:rPr>
            </w:pPr>
            <w:r>
              <w:rPr>
                <w:rFonts w:ascii="Arial" w:cs="Arial" w:eastAsia="Arial" w:hAnsi="Arial"/>
                <w:sz w:val="15"/>
                <w:szCs w:val="15"/>
                <w:color w:val="auto"/>
              </w:rPr>
              <w:t>NA</w:t>
            </w:r>
          </w:p>
        </w:tc>
        <w:tc>
          <w:tcPr>
            <w:tcW w:w="1040" w:type="dxa"/>
            <w:vAlign w:val="bottom"/>
            <w:gridSpan w:val="2"/>
          </w:tcPr>
          <w:p>
            <w:pPr>
              <w:ind w:left="540"/>
              <w:spacing w:after="0"/>
              <w:rPr>
                <w:sz w:val="20"/>
                <w:szCs w:val="20"/>
                <w:color w:val="auto"/>
              </w:rPr>
            </w:pPr>
            <w:r>
              <w:rPr>
                <w:rFonts w:ascii="Arial" w:cs="Arial" w:eastAsia="Arial" w:hAnsi="Arial"/>
                <w:sz w:val="15"/>
                <w:szCs w:val="15"/>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(c)</w:t>
            </w:r>
          </w:p>
        </w:tc>
        <w:tc>
          <w:tcPr>
            <w:tcW w:w="1040" w:type="dxa"/>
            <w:vAlign w:val="bottom"/>
          </w:tcPr>
          <w:p>
            <w:pPr>
              <w:jc w:val="right"/>
              <w:spacing w:after="0"/>
              <w:rPr>
                <w:sz w:val="20"/>
                <w:szCs w:val="20"/>
                <w:color w:val="auto"/>
              </w:rPr>
            </w:pPr>
            <w:r>
              <w:rPr>
                <w:rFonts w:ascii="Arial" w:cs="Arial" w:eastAsia="Arial" w:hAnsi="Arial"/>
                <w:sz w:val="15"/>
                <w:szCs w:val="15"/>
                <w:color w:val="auto"/>
              </w:rPr>
              <w:t>&lt;30 days</w:t>
            </w:r>
          </w:p>
        </w:tc>
      </w:tr>
      <w:tr>
        <w:trPr>
          <w:trHeight w:val="176"/>
        </w:trPr>
        <w:tc>
          <w:tcPr>
            <w:tcW w:w="1980" w:type="dxa"/>
            <w:vAlign w:val="bottom"/>
            <w:shd w:val="clear" w:color="auto" w:fill="CFF0FC"/>
          </w:tcPr>
          <w:p>
            <w:pPr>
              <w:spacing w:after="0"/>
              <w:rPr>
                <w:sz w:val="20"/>
                <w:szCs w:val="20"/>
                <w:color w:val="auto"/>
              </w:rPr>
            </w:pPr>
            <w:r>
              <w:rPr>
                <w:rFonts w:ascii="Arial" w:cs="Arial" w:eastAsia="Arial" w:hAnsi="Arial"/>
                <w:sz w:val="15"/>
                <w:szCs w:val="15"/>
                <w:color w:val="auto"/>
              </w:rPr>
              <w:t>Equity funds</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5"/>
                <w:szCs w:val="15"/>
                <w:color w:val="auto"/>
              </w:rPr>
              <w:t>NA</w:t>
            </w:r>
          </w:p>
        </w:tc>
        <w:tc>
          <w:tcPr>
            <w:tcW w:w="1160" w:type="dxa"/>
            <w:vAlign w:val="bottom"/>
            <w:gridSpan w:val="2"/>
            <w:shd w:val="clear" w:color="auto" w:fill="CFF0FC"/>
          </w:tcPr>
          <w:p>
            <w:pPr>
              <w:ind w:left="680"/>
              <w:spacing w:after="0"/>
              <w:rPr>
                <w:sz w:val="20"/>
                <w:szCs w:val="20"/>
                <w:color w:val="auto"/>
              </w:rPr>
            </w:pPr>
            <w:r>
              <w:rPr>
                <w:rFonts w:ascii="Arial" w:cs="Arial" w:eastAsia="Arial" w:hAnsi="Arial"/>
                <w:sz w:val="15"/>
                <w:szCs w:val="15"/>
                <w:color w:val="auto"/>
              </w:rPr>
              <w:t>NA</w:t>
            </w:r>
          </w:p>
        </w:tc>
        <w:tc>
          <w:tcPr>
            <w:tcW w:w="1320" w:type="dxa"/>
            <w:vAlign w:val="bottom"/>
            <w:gridSpan w:val="3"/>
            <w:shd w:val="clear" w:color="auto" w:fill="CFF0FC"/>
          </w:tcPr>
          <w:p>
            <w:pPr>
              <w:ind w:left="680"/>
              <w:spacing w:after="0"/>
              <w:rPr>
                <w:sz w:val="20"/>
                <w:szCs w:val="20"/>
                <w:color w:val="auto"/>
              </w:rPr>
            </w:pPr>
            <w:r>
              <w:rPr>
                <w:rFonts w:ascii="Arial" w:cs="Arial" w:eastAsia="Arial" w:hAnsi="Arial"/>
                <w:sz w:val="15"/>
                <w:szCs w:val="15"/>
                <w:color w:val="auto"/>
              </w:rPr>
              <w:t>NA</w:t>
            </w:r>
          </w:p>
        </w:tc>
        <w:tc>
          <w:tcPr>
            <w:tcW w:w="1040" w:type="dxa"/>
            <w:vAlign w:val="bottom"/>
            <w:gridSpan w:val="2"/>
            <w:shd w:val="clear" w:color="auto" w:fill="CFF0FC"/>
          </w:tcPr>
          <w:p>
            <w:pPr>
              <w:ind w:left="540"/>
              <w:spacing w:after="0"/>
              <w:rPr>
                <w:sz w:val="20"/>
                <w:szCs w:val="20"/>
                <w:color w:val="auto"/>
              </w:rPr>
            </w:pPr>
            <w:r>
              <w:rPr>
                <w:rFonts w:ascii="Arial" w:cs="Arial" w:eastAsia="Arial" w:hAnsi="Arial"/>
                <w:sz w:val="15"/>
                <w:szCs w:val="15"/>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(d)</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&lt;30-60 days</w:t>
            </w:r>
          </w:p>
        </w:tc>
      </w:tr>
      <w:tr>
        <w:trPr>
          <w:trHeight w:val="176"/>
        </w:trPr>
        <w:tc>
          <w:tcPr>
            <w:tcW w:w="1980" w:type="dxa"/>
            <w:vAlign w:val="bottom"/>
          </w:tcPr>
          <w:p>
            <w:pPr>
              <w:spacing w:after="0"/>
              <w:rPr>
                <w:sz w:val="20"/>
                <w:szCs w:val="20"/>
                <w:color w:val="auto"/>
              </w:rPr>
            </w:pPr>
            <w:r>
              <w:rPr>
                <w:rFonts w:ascii="Arial" w:cs="Arial" w:eastAsia="Arial" w:hAnsi="Arial"/>
                <w:sz w:val="15"/>
                <w:szCs w:val="15"/>
                <w:color w:val="auto"/>
              </w:rPr>
              <w:t>Private equity funds: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19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Equity growth</w:t>
            </w:r>
          </w:p>
        </w:tc>
        <w:tc>
          <w:tcPr>
            <w:tcW w:w="14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32,991</w:t>
            </w:r>
          </w:p>
        </w:tc>
        <w:tc>
          <w:tcPr>
            <w:tcW w:w="22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6,056</w:t>
            </w:r>
          </w:p>
        </w:tc>
        <w:tc>
          <w:tcPr>
            <w:tcW w:w="400" w:type="dxa"/>
            <w:vAlign w:val="bottom"/>
            <w:shd w:val="clear" w:color="auto" w:fill="CFF0FC"/>
          </w:tcPr>
          <w:p>
            <w:pPr>
              <w:ind w:left="100"/>
              <w:spacing w:after="0"/>
              <w:rPr>
                <w:sz w:val="20"/>
                <w:szCs w:val="20"/>
                <w:color w:val="auto"/>
              </w:rPr>
            </w:pPr>
            <w:r>
              <w:rPr>
                <w:rFonts w:ascii="Arial" w:cs="Arial" w:eastAsia="Arial" w:hAnsi="Arial"/>
                <w:sz w:val="15"/>
                <w:szCs w:val="15"/>
                <w:color w:val="auto"/>
              </w:rPr>
              <w:t>(e)</w:t>
            </w: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5"/>
                <w:szCs w:val="15"/>
                <w:color w:val="auto"/>
              </w:rPr>
              <w:t>100%</w:t>
            </w:r>
          </w:p>
        </w:tc>
        <w:tc>
          <w:tcPr>
            <w:tcW w:w="1160" w:type="dxa"/>
            <w:vAlign w:val="bottom"/>
            <w:gridSpan w:val="2"/>
            <w:shd w:val="clear" w:color="auto" w:fill="CFF0FC"/>
          </w:tcPr>
          <w:p>
            <w:pPr>
              <w:ind w:left="740"/>
              <w:spacing w:after="0"/>
              <w:rPr>
                <w:sz w:val="20"/>
                <w:szCs w:val="20"/>
                <w:color w:val="auto"/>
              </w:rPr>
            </w:pPr>
            <w:r>
              <w:rPr>
                <w:rFonts w:ascii="Arial" w:cs="Arial" w:eastAsia="Arial" w:hAnsi="Arial"/>
                <w:sz w:val="15"/>
                <w:szCs w:val="15"/>
                <w:color w:val="auto"/>
              </w:rPr>
              <w:t>22%</w:t>
            </w:r>
          </w:p>
        </w:tc>
        <w:tc>
          <w:tcPr>
            <w:tcW w:w="1180" w:type="dxa"/>
            <w:vAlign w:val="bottom"/>
            <w:gridSpan w:val="2"/>
            <w:shd w:val="clear" w:color="auto" w:fill="CFF0FC"/>
          </w:tcPr>
          <w:p>
            <w:pPr>
              <w:ind w:left="760"/>
              <w:spacing w:after="0"/>
              <w:rPr>
                <w:sz w:val="20"/>
                <w:szCs w:val="20"/>
                <w:color w:val="auto"/>
              </w:rPr>
            </w:pPr>
            <w:r>
              <w:rPr>
                <w:rFonts w:ascii="Arial" w:cs="Arial" w:eastAsia="Arial" w:hAnsi="Arial"/>
                <w:sz w:val="15"/>
                <w:szCs w:val="15"/>
                <w:color w:val="auto"/>
              </w:rPr>
              <w:t>12%</w:t>
            </w:r>
          </w:p>
        </w:tc>
        <w:tc>
          <w:tcPr>
            <w:tcW w:w="1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ind w:left="600"/>
              <w:spacing w:after="0"/>
              <w:rPr>
                <w:sz w:val="20"/>
                <w:szCs w:val="20"/>
                <w:color w:val="auto"/>
              </w:rPr>
            </w:pPr>
            <w:r>
              <w:rPr>
                <w:rFonts w:ascii="Arial" w:cs="Arial" w:eastAsia="Arial" w:hAnsi="Arial"/>
                <w:sz w:val="15"/>
                <w:szCs w:val="15"/>
                <w:color w:val="auto"/>
              </w:rPr>
              <w:t>66%</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NA</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NA</w:t>
            </w:r>
          </w:p>
        </w:tc>
      </w:tr>
      <w:tr>
        <w:trPr>
          <w:trHeight w:val="169"/>
        </w:trPr>
        <w:tc>
          <w:tcPr>
            <w:tcW w:w="1980" w:type="dxa"/>
            <w:vAlign w:val="bottom"/>
          </w:tcPr>
          <w:p>
            <w:pPr>
              <w:spacing w:after="0" w:line="169" w:lineRule="exact"/>
              <w:rPr>
                <w:sz w:val="20"/>
                <w:szCs w:val="20"/>
                <w:color w:val="auto"/>
              </w:rPr>
            </w:pPr>
            <w:r>
              <w:rPr>
                <w:rFonts w:ascii="Arial" w:cs="Arial" w:eastAsia="Arial" w:hAnsi="Arial"/>
                <w:sz w:val="15"/>
                <w:szCs w:val="15"/>
                <w:color w:val="auto"/>
              </w:rPr>
              <w:t>Total</w:t>
            </w:r>
          </w:p>
        </w:tc>
        <w:tc>
          <w:tcPr>
            <w:tcW w:w="24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780" w:type="dxa"/>
            <w:vAlign w:val="bottom"/>
          </w:tcPr>
          <w:p>
            <w:pPr>
              <w:jc w:val="right"/>
              <w:spacing w:after="0" w:line="169" w:lineRule="exact"/>
              <w:rPr>
                <w:sz w:val="20"/>
                <w:szCs w:val="20"/>
                <w:color w:val="auto"/>
              </w:rPr>
            </w:pPr>
            <w:r>
              <w:rPr>
                <w:rFonts w:ascii="Arial" w:cs="Arial" w:eastAsia="Arial" w:hAnsi="Arial"/>
                <w:sz w:val="15"/>
                <w:szCs w:val="15"/>
                <w:color w:val="auto"/>
              </w:rPr>
              <w:t>33,888</w:t>
            </w:r>
          </w:p>
        </w:tc>
        <w:tc>
          <w:tcPr>
            <w:tcW w:w="220" w:type="dxa"/>
            <w:vAlign w:val="bottom"/>
          </w:tcPr>
          <w:p>
            <w:pPr>
              <w:spacing w:after="0"/>
              <w:rPr>
                <w:sz w:val="14"/>
                <w:szCs w:val="14"/>
                <w:color w:val="auto"/>
              </w:rPr>
            </w:pP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169" w:lineRule="exact"/>
              <w:rPr>
                <w:sz w:val="20"/>
                <w:szCs w:val="20"/>
                <w:color w:val="auto"/>
              </w:rPr>
            </w:pPr>
            <w:r>
              <w:rPr>
                <w:rFonts w:ascii="Arial" w:cs="Arial" w:eastAsia="Arial" w:hAnsi="Arial"/>
                <w:sz w:val="15"/>
                <w:szCs w:val="15"/>
                <w:color w:val="auto"/>
              </w:rPr>
              <w:t>6,056</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
        </w:trPr>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11506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5" w:lineRule="exact"/>
        <w:rPr>
          <w:sz w:val="20"/>
          <w:szCs w:val="20"/>
          <w:color w:val="auto"/>
        </w:rPr>
      </w:pPr>
    </w:p>
    <w:p>
      <w:pPr>
        <w:ind w:left="600" w:hanging="592"/>
        <w:spacing w:after="0"/>
        <w:tabs>
          <w:tab w:leader="none" w:pos="6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monthly (52%) and quarterly (48%)</w:t>
      </w:r>
    </w:p>
    <w:p>
      <w:pPr>
        <w:spacing w:after="0" w:line="36" w:lineRule="exact"/>
        <w:rPr>
          <w:rFonts w:ascii="Arial" w:cs="Arial" w:eastAsia="Arial" w:hAnsi="Arial"/>
          <w:sz w:val="18"/>
          <w:szCs w:val="18"/>
          <w:color w:val="auto"/>
        </w:rPr>
      </w:pPr>
    </w:p>
    <w:p>
      <w:pPr>
        <w:ind w:left="600" w:hanging="592"/>
        <w:spacing w:after="0"/>
        <w:tabs>
          <w:tab w:leader="none" w:pos="6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daily (6%) and monthly (94%)</w:t>
      </w:r>
    </w:p>
    <w:p>
      <w:pPr>
        <w:spacing w:after="0" w:line="23" w:lineRule="exact"/>
        <w:rPr>
          <w:rFonts w:ascii="Arial" w:cs="Arial" w:eastAsia="Arial" w:hAnsi="Arial"/>
          <w:sz w:val="18"/>
          <w:szCs w:val="18"/>
          <w:color w:val="auto"/>
        </w:rPr>
      </w:pPr>
    </w:p>
    <w:p>
      <w:pPr>
        <w:ind w:left="600" w:hanging="592"/>
        <w:spacing w:after="0"/>
        <w:tabs>
          <w:tab w:leader="none" w:pos="6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daily (100%)</w:t>
      </w:r>
    </w:p>
    <w:p>
      <w:pPr>
        <w:spacing w:after="0" w:line="22" w:lineRule="exact"/>
        <w:rPr>
          <w:rFonts w:ascii="Arial" w:cs="Arial" w:eastAsia="Arial" w:hAnsi="Arial"/>
          <w:sz w:val="18"/>
          <w:szCs w:val="18"/>
          <w:color w:val="auto"/>
        </w:rPr>
      </w:pPr>
    </w:p>
    <w:p>
      <w:pPr>
        <w:ind w:left="600" w:hanging="592"/>
        <w:spacing w:after="0"/>
        <w:tabs>
          <w:tab w:leader="none" w:pos="6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monthly (34%) and annually (66%)</w:t>
      </w:r>
    </w:p>
    <w:p>
      <w:pPr>
        <w:spacing w:after="0" w:line="22" w:lineRule="exact"/>
        <w:rPr>
          <w:rFonts w:ascii="Arial" w:cs="Arial" w:eastAsia="Arial" w:hAnsi="Arial"/>
          <w:sz w:val="18"/>
          <w:szCs w:val="18"/>
          <w:color w:val="auto"/>
        </w:rPr>
      </w:pPr>
    </w:p>
    <w:p>
      <w:pPr>
        <w:ind w:left="600" w:right="620" w:hanging="592"/>
        <w:spacing w:after="0" w:line="276" w:lineRule="auto"/>
        <w:tabs>
          <w:tab w:leader="none" w:pos="6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$11,155 are excluded. Such commitments are required to be funded by capital contributions from noncontrolling interest holders.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December 31, 2018</w:t>
            </w: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r>
      <w:tr>
        <w:trPr>
          <w:trHeight w:val="143"/>
        </w:trPr>
        <w:tc>
          <w:tcPr>
            <w:tcW w:w="1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500" w:type="dxa"/>
            <w:vAlign w:val="bottom"/>
            <w:gridSpan w:val="7"/>
          </w:tcPr>
          <w:p>
            <w:pPr>
              <w:ind w:left="680"/>
              <w:spacing w:after="0" w:line="143" w:lineRule="exact"/>
              <w:rPr>
                <w:sz w:val="20"/>
                <w:szCs w:val="20"/>
                <w:color w:val="auto"/>
              </w:rPr>
            </w:pPr>
            <w:r>
              <w:rPr>
                <w:rFonts w:ascii="Arial" w:cs="Arial" w:eastAsia="Arial" w:hAnsi="Arial"/>
                <w:sz w:val="14"/>
                <w:szCs w:val="14"/>
                <w:b w:val="1"/>
                <w:bCs w:val="1"/>
                <w:color w:val="auto"/>
              </w:rPr>
              <w:t>Estimated Liquidation Period of</w:t>
            </w:r>
          </w:p>
        </w:tc>
        <w:tc>
          <w:tcPr>
            <w:tcW w:w="2200" w:type="dxa"/>
            <w:vAlign w:val="bottom"/>
            <w:gridSpan w:val="3"/>
          </w:tcPr>
          <w:p>
            <w:pPr>
              <w:jc w:val="right"/>
              <w:ind w:right="686"/>
              <w:spacing w:after="0" w:line="143" w:lineRule="exact"/>
              <w:rPr>
                <w:sz w:val="20"/>
                <w:szCs w:val="20"/>
                <w:color w:val="auto"/>
              </w:rPr>
            </w:pPr>
            <w:r>
              <w:rPr>
                <w:rFonts w:ascii="Arial" w:cs="Arial" w:eastAsia="Arial" w:hAnsi="Arial"/>
                <w:sz w:val="14"/>
                <w:szCs w:val="14"/>
                <w:b w:val="1"/>
                <w:bCs w:val="1"/>
                <w:color w:val="auto"/>
              </w:rPr>
              <w:t>Investments</w:t>
            </w:r>
          </w:p>
        </w:tc>
      </w:tr>
      <w:tr>
        <w:trPr>
          <w:trHeight w:val="161"/>
        </w:trPr>
        <w:tc>
          <w:tcPr>
            <w:tcW w:w="1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tcBorders>
              <w:bottom w:val="single" w:sz="8" w:color="auto"/>
            </w:tcBorders>
            <w:gridSpan w:val="5"/>
          </w:tcPr>
          <w:p>
            <w:pPr>
              <w:ind w:left="780"/>
              <w:spacing w:after="0"/>
              <w:rPr>
                <w:sz w:val="20"/>
                <w:szCs w:val="20"/>
                <w:color w:val="auto"/>
              </w:rPr>
            </w:pPr>
            <w:r>
              <w:rPr>
                <w:rFonts w:ascii="Arial" w:cs="Arial" w:eastAsia="Arial" w:hAnsi="Arial"/>
                <w:sz w:val="14"/>
                <w:szCs w:val="14"/>
                <w:b w:val="1"/>
                <w:bCs w:val="1"/>
                <w:color w:val="auto"/>
                <w:w w:val="84"/>
              </w:rPr>
              <w:t>Investments Not Redeemable</w:t>
            </w:r>
          </w:p>
        </w:tc>
        <w:tc>
          <w:tcPr>
            <w:tcW w:w="7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tcBorders>
              <w:bottom w:val="single" w:sz="8" w:color="auto"/>
            </w:tcBorders>
            <w:gridSpan w:val="3"/>
          </w:tcPr>
          <w:p>
            <w:pPr>
              <w:jc w:val="right"/>
              <w:ind w:right="686"/>
              <w:spacing w:after="0"/>
              <w:rPr>
                <w:sz w:val="20"/>
                <w:szCs w:val="20"/>
                <w:color w:val="auto"/>
              </w:rPr>
            </w:pPr>
            <w:r>
              <w:rPr>
                <w:rFonts w:ascii="Arial" w:cs="Arial" w:eastAsia="Arial" w:hAnsi="Arial"/>
                <w:sz w:val="14"/>
                <w:szCs w:val="14"/>
                <w:b w:val="1"/>
                <w:bCs w:val="1"/>
                <w:color w:val="auto"/>
              </w:rPr>
              <w:t>Redeemable</w:t>
            </w:r>
          </w:p>
        </w:tc>
      </w:tr>
      <w:tr>
        <w:trPr>
          <w:trHeight w:val="143"/>
        </w:trPr>
        <w:tc>
          <w:tcPr>
            <w:tcW w:w="1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w w:val="94"/>
              </w:rPr>
              <w:t>% of</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9"/>
        </w:trPr>
        <w:tc>
          <w:tcPr>
            <w:tcW w:w="1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Fair Value</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900" w:type="dxa"/>
            <w:vAlign w:val="bottom"/>
          </w:tcPr>
          <w:p>
            <w:pPr>
              <w:jc w:val="right"/>
              <w:ind w:right="306"/>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9"/>
        </w:trPr>
        <w:tc>
          <w:tcPr>
            <w:tcW w:w="1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85"/>
              <w:spacing w:after="0" w:line="149" w:lineRule="exact"/>
              <w:rPr>
                <w:sz w:val="20"/>
                <w:szCs w:val="20"/>
                <w:color w:val="auto"/>
              </w:rPr>
            </w:pPr>
            <w:r>
              <w:rPr>
                <w:rFonts w:ascii="Arial" w:cs="Arial" w:eastAsia="Arial" w:hAnsi="Arial"/>
                <w:sz w:val="14"/>
                <w:szCs w:val="14"/>
                <w:b w:val="1"/>
                <w:bCs w:val="1"/>
                <w:color w:val="auto"/>
                <w:w w:val="91"/>
              </w:rPr>
              <w:t>Unfunded</w:t>
            </w: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Not</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Next</w:t>
            </w:r>
          </w:p>
        </w:tc>
        <w:tc>
          <w:tcPr>
            <w:tcW w:w="900" w:type="dxa"/>
            <w:vAlign w:val="bottom"/>
          </w:tcPr>
          <w:p>
            <w:pPr>
              <w:jc w:val="right"/>
              <w:ind w:right="246"/>
              <w:spacing w:after="0" w:line="149" w:lineRule="exact"/>
              <w:rPr>
                <w:sz w:val="20"/>
                <w:szCs w:val="20"/>
                <w:color w:val="auto"/>
              </w:rPr>
            </w:pPr>
            <w:r>
              <w:rPr>
                <w:rFonts w:ascii="Arial" w:cs="Arial" w:eastAsia="Arial" w:hAnsi="Arial"/>
                <w:sz w:val="14"/>
                <w:szCs w:val="14"/>
                <w:b w:val="1"/>
                <w:bCs w:val="1"/>
                <w:color w:val="auto"/>
              </w:rPr>
              <w:t>5-10</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ind w:left="240"/>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Redemption</w:t>
            </w:r>
          </w:p>
        </w:tc>
        <w:tc>
          <w:tcPr>
            <w:tcW w:w="1060" w:type="dxa"/>
            <w:vAlign w:val="bottom"/>
          </w:tcPr>
          <w:p>
            <w:pPr>
              <w:jc w:val="right"/>
              <w:ind w:right="106"/>
              <w:spacing w:after="0" w:line="149" w:lineRule="exact"/>
              <w:rPr>
                <w:sz w:val="20"/>
                <w:szCs w:val="20"/>
                <w:color w:val="auto"/>
              </w:rPr>
            </w:pPr>
            <w:r>
              <w:rPr>
                <w:rFonts w:ascii="Arial" w:cs="Arial" w:eastAsia="Arial" w:hAnsi="Arial"/>
                <w:sz w:val="14"/>
                <w:szCs w:val="14"/>
                <w:b w:val="1"/>
                <w:bCs w:val="1"/>
                <w:color w:val="auto"/>
              </w:rPr>
              <w:t>Redemption</w:t>
            </w:r>
          </w:p>
        </w:tc>
      </w:tr>
      <w:tr>
        <w:trPr>
          <w:trHeight w:val="161"/>
        </w:trPr>
        <w:tc>
          <w:tcPr>
            <w:tcW w:w="1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85"/>
              <w:spacing w:after="0"/>
              <w:rPr>
                <w:sz w:val="20"/>
                <w:szCs w:val="20"/>
                <w:color w:val="auto"/>
              </w:rPr>
            </w:pPr>
            <w:r>
              <w:rPr>
                <w:rFonts w:ascii="Arial" w:cs="Arial" w:eastAsia="Arial" w:hAnsi="Arial"/>
                <w:sz w:val="14"/>
                <w:szCs w:val="14"/>
                <w:b w:val="1"/>
                <w:bCs w:val="1"/>
                <w:color w:val="auto"/>
                <w:w w:val="89"/>
              </w:rPr>
              <w:t>Fair Value</w:t>
            </w:r>
          </w:p>
        </w:tc>
        <w:tc>
          <w:tcPr>
            <w:tcW w:w="2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Commitments</w:t>
            </w:r>
          </w:p>
        </w:tc>
        <w:tc>
          <w:tcPr>
            <w:tcW w:w="40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Redeemable</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5 Years</w:t>
            </w:r>
          </w:p>
        </w:tc>
        <w:tc>
          <w:tcPr>
            <w:tcW w:w="1300" w:type="dxa"/>
            <w:vAlign w:val="bottom"/>
            <w:gridSpan w:val="3"/>
          </w:tcPr>
          <w:p>
            <w:pPr>
              <w:ind w:left="280"/>
              <w:spacing w:after="0"/>
              <w:rPr>
                <w:sz w:val="20"/>
                <w:szCs w:val="20"/>
                <w:color w:val="auto"/>
              </w:rPr>
            </w:pPr>
            <w:r>
              <w:rPr>
                <w:rFonts w:ascii="Arial" w:cs="Arial" w:eastAsia="Arial" w:hAnsi="Arial"/>
                <w:sz w:val="14"/>
                <w:szCs w:val="14"/>
                <w:b w:val="1"/>
                <w:bCs w:val="1"/>
                <w:color w:val="auto"/>
              </w:rPr>
              <w:t>Years</w:t>
            </w: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Thereafter</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Frequency</w:t>
            </w:r>
          </w:p>
        </w:tc>
        <w:tc>
          <w:tcPr>
            <w:tcW w:w="1060" w:type="dxa"/>
            <w:vAlign w:val="bottom"/>
          </w:tcPr>
          <w:p>
            <w:pPr>
              <w:jc w:val="right"/>
              <w:ind w:right="66"/>
              <w:spacing w:after="0"/>
              <w:rPr>
                <w:sz w:val="20"/>
                <w:szCs w:val="20"/>
                <w:color w:val="auto"/>
              </w:rPr>
            </w:pPr>
            <w:r>
              <w:rPr>
                <w:rFonts w:ascii="Arial" w:cs="Arial" w:eastAsia="Arial" w:hAnsi="Arial"/>
                <w:sz w:val="14"/>
                <w:szCs w:val="14"/>
                <w:b w:val="1"/>
                <w:bCs w:val="1"/>
                <w:color w:val="auto"/>
                <w:w w:val="99"/>
              </w:rPr>
              <w:t>Notice Period</w:t>
            </w:r>
          </w:p>
        </w:tc>
      </w:tr>
      <w:tr>
        <w:trPr>
          <w:trHeight w:val="169"/>
        </w:trPr>
        <w:tc>
          <w:tcPr>
            <w:tcW w:w="198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Alternative investment funds:</w:t>
            </w: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400" w:type="dxa"/>
            <w:vAlign w:val="bottom"/>
            <w:tcBorders>
              <w:top w:val="single" w:sz="8" w:color="CFF0FC"/>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r>
      <w:tr>
        <w:trPr>
          <w:trHeight w:val="176"/>
        </w:trPr>
        <w:tc>
          <w:tcPr>
            <w:tcW w:w="1980" w:type="dxa"/>
            <w:vAlign w:val="bottom"/>
          </w:tcPr>
          <w:p>
            <w:pPr>
              <w:ind w:left="260"/>
              <w:spacing w:after="0"/>
              <w:rPr>
                <w:sz w:val="20"/>
                <w:szCs w:val="20"/>
                <w:color w:val="auto"/>
              </w:rPr>
            </w:pPr>
            <w:r>
              <w:rPr>
                <w:rFonts w:ascii="Arial" w:cs="Arial" w:eastAsia="Arial" w:hAnsi="Arial"/>
                <w:sz w:val="15"/>
                <w:szCs w:val="15"/>
                <w:color w:val="auto"/>
              </w:rPr>
              <w:t>Hedge funds</w:t>
            </w:r>
          </w:p>
        </w:tc>
        <w:tc>
          <w:tcPr>
            <w:tcW w:w="2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299</w:t>
            </w:r>
          </w:p>
        </w:tc>
        <w:tc>
          <w:tcPr>
            <w:tcW w:w="3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5"/>
                <w:szCs w:val="15"/>
                <w:color w:val="auto"/>
              </w:rPr>
            </w:pPr>
          </w:p>
        </w:tc>
        <w:tc>
          <w:tcPr>
            <w:tcW w:w="1160" w:type="dxa"/>
            <w:vAlign w:val="bottom"/>
            <w:gridSpan w:val="2"/>
          </w:tcPr>
          <w:p>
            <w:pPr>
              <w:ind w:left="660"/>
              <w:spacing w:after="0"/>
              <w:rPr>
                <w:sz w:val="20"/>
                <w:szCs w:val="20"/>
                <w:color w:val="auto"/>
              </w:rPr>
            </w:pPr>
            <w:r>
              <w:rPr>
                <w:rFonts w:ascii="Arial" w:cs="Arial" w:eastAsia="Arial" w:hAnsi="Arial"/>
                <w:sz w:val="15"/>
                <w:szCs w:val="15"/>
                <w:color w:val="auto"/>
              </w:rPr>
              <w:t>NA</w:t>
            </w:r>
          </w:p>
        </w:tc>
        <w:tc>
          <w:tcPr>
            <w:tcW w:w="1160" w:type="dxa"/>
            <w:vAlign w:val="bottom"/>
            <w:gridSpan w:val="2"/>
          </w:tcPr>
          <w:p>
            <w:pPr>
              <w:ind w:left="680"/>
              <w:spacing w:after="0"/>
              <w:rPr>
                <w:sz w:val="20"/>
                <w:szCs w:val="20"/>
                <w:color w:val="auto"/>
              </w:rPr>
            </w:pPr>
            <w:r>
              <w:rPr>
                <w:rFonts w:ascii="Arial" w:cs="Arial" w:eastAsia="Arial" w:hAnsi="Arial"/>
                <w:sz w:val="15"/>
                <w:szCs w:val="15"/>
                <w:color w:val="auto"/>
              </w:rPr>
              <w:t>NA</w:t>
            </w:r>
          </w:p>
        </w:tc>
        <w:tc>
          <w:tcPr>
            <w:tcW w:w="1300" w:type="dxa"/>
            <w:vAlign w:val="bottom"/>
            <w:gridSpan w:val="3"/>
          </w:tcPr>
          <w:p>
            <w:pPr>
              <w:ind w:left="680"/>
              <w:spacing w:after="0"/>
              <w:rPr>
                <w:sz w:val="20"/>
                <w:szCs w:val="20"/>
                <w:color w:val="auto"/>
              </w:rPr>
            </w:pPr>
            <w:r>
              <w:rPr>
                <w:rFonts w:ascii="Arial" w:cs="Arial" w:eastAsia="Arial" w:hAnsi="Arial"/>
                <w:sz w:val="15"/>
                <w:szCs w:val="15"/>
                <w:color w:val="auto"/>
              </w:rPr>
              <w:t>NA</w:t>
            </w:r>
          </w:p>
        </w:tc>
        <w:tc>
          <w:tcPr>
            <w:tcW w:w="1040" w:type="dxa"/>
            <w:vAlign w:val="bottom"/>
            <w:gridSpan w:val="2"/>
          </w:tcPr>
          <w:p>
            <w:pPr>
              <w:ind w:left="540"/>
              <w:spacing w:after="0"/>
              <w:rPr>
                <w:sz w:val="20"/>
                <w:szCs w:val="20"/>
                <w:color w:val="auto"/>
              </w:rPr>
            </w:pPr>
            <w:r>
              <w:rPr>
                <w:rFonts w:ascii="Arial" w:cs="Arial" w:eastAsia="Arial" w:hAnsi="Arial"/>
                <w:sz w:val="15"/>
                <w:szCs w:val="15"/>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(a)</w:t>
            </w:r>
          </w:p>
        </w:tc>
        <w:tc>
          <w:tcPr>
            <w:tcW w:w="1060" w:type="dxa"/>
            <w:vAlign w:val="bottom"/>
          </w:tcPr>
          <w:p>
            <w:pPr>
              <w:jc w:val="right"/>
              <w:spacing w:after="0"/>
              <w:rPr>
                <w:sz w:val="20"/>
                <w:szCs w:val="20"/>
                <w:color w:val="auto"/>
              </w:rPr>
            </w:pPr>
            <w:r>
              <w:rPr>
                <w:rFonts w:ascii="Arial" w:cs="Arial" w:eastAsia="Arial" w:hAnsi="Arial"/>
                <w:sz w:val="15"/>
                <w:szCs w:val="15"/>
                <w:color w:val="auto"/>
              </w:rPr>
              <w:t>30-60 days</w:t>
            </w:r>
          </w:p>
        </w:tc>
      </w:tr>
      <w:tr>
        <w:trPr>
          <w:trHeight w:val="176"/>
        </w:trPr>
        <w:tc>
          <w:tcPr>
            <w:tcW w:w="19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Funds of funds</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5"/>
                <w:szCs w:val="15"/>
                <w:color w:val="auto"/>
              </w:rPr>
              <w:t>NA</w:t>
            </w:r>
          </w:p>
        </w:tc>
        <w:tc>
          <w:tcPr>
            <w:tcW w:w="1160" w:type="dxa"/>
            <w:vAlign w:val="bottom"/>
            <w:gridSpan w:val="2"/>
            <w:shd w:val="clear" w:color="auto" w:fill="CFF0FC"/>
          </w:tcPr>
          <w:p>
            <w:pPr>
              <w:ind w:left="680"/>
              <w:spacing w:after="0"/>
              <w:rPr>
                <w:sz w:val="20"/>
                <w:szCs w:val="20"/>
                <w:color w:val="auto"/>
              </w:rPr>
            </w:pPr>
            <w:r>
              <w:rPr>
                <w:rFonts w:ascii="Arial" w:cs="Arial" w:eastAsia="Arial" w:hAnsi="Arial"/>
                <w:sz w:val="15"/>
                <w:szCs w:val="15"/>
                <w:color w:val="auto"/>
              </w:rPr>
              <w:t>NA</w:t>
            </w:r>
          </w:p>
        </w:tc>
        <w:tc>
          <w:tcPr>
            <w:tcW w:w="1300" w:type="dxa"/>
            <w:vAlign w:val="bottom"/>
            <w:gridSpan w:val="3"/>
            <w:shd w:val="clear" w:color="auto" w:fill="CFF0FC"/>
          </w:tcPr>
          <w:p>
            <w:pPr>
              <w:ind w:left="680"/>
              <w:spacing w:after="0"/>
              <w:rPr>
                <w:sz w:val="20"/>
                <w:szCs w:val="20"/>
                <w:color w:val="auto"/>
              </w:rPr>
            </w:pPr>
            <w:r>
              <w:rPr>
                <w:rFonts w:ascii="Arial" w:cs="Arial" w:eastAsia="Arial" w:hAnsi="Arial"/>
                <w:sz w:val="15"/>
                <w:szCs w:val="15"/>
                <w:color w:val="auto"/>
              </w:rPr>
              <w:t>NA</w:t>
            </w:r>
          </w:p>
        </w:tc>
        <w:tc>
          <w:tcPr>
            <w:tcW w:w="1040" w:type="dxa"/>
            <w:vAlign w:val="bottom"/>
            <w:gridSpan w:val="2"/>
            <w:shd w:val="clear" w:color="auto" w:fill="CFF0FC"/>
          </w:tcPr>
          <w:p>
            <w:pPr>
              <w:ind w:left="540"/>
              <w:spacing w:after="0"/>
              <w:rPr>
                <w:sz w:val="20"/>
                <w:szCs w:val="20"/>
                <w:color w:val="auto"/>
              </w:rPr>
            </w:pPr>
            <w:r>
              <w:rPr>
                <w:rFonts w:ascii="Arial" w:cs="Arial" w:eastAsia="Arial" w:hAnsi="Arial"/>
                <w:sz w:val="15"/>
                <w:szCs w:val="15"/>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(b)</w:t>
            </w: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&gt;90 days</w:t>
            </w:r>
          </w:p>
        </w:tc>
      </w:tr>
      <w:tr>
        <w:trPr>
          <w:trHeight w:val="176"/>
        </w:trPr>
        <w:tc>
          <w:tcPr>
            <w:tcW w:w="1980" w:type="dxa"/>
            <w:vAlign w:val="bottom"/>
          </w:tcPr>
          <w:p>
            <w:pPr>
              <w:ind w:left="260"/>
              <w:spacing w:after="0"/>
              <w:rPr>
                <w:sz w:val="20"/>
                <w:szCs w:val="20"/>
                <w:color w:val="auto"/>
              </w:rPr>
            </w:pPr>
            <w:r>
              <w:rPr>
                <w:rFonts w:ascii="Arial" w:cs="Arial" w:eastAsia="Arial" w:hAnsi="Arial"/>
                <w:sz w:val="15"/>
                <w:szCs w:val="15"/>
                <w:color w:val="auto"/>
              </w:rPr>
              <w:t>Other</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567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5"/>
                <w:szCs w:val="15"/>
                <w:color w:val="auto"/>
              </w:rPr>
            </w:pPr>
          </w:p>
        </w:tc>
        <w:tc>
          <w:tcPr>
            <w:tcW w:w="1160" w:type="dxa"/>
            <w:vAlign w:val="bottom"/>
            <w:gridSpan w:val="2"/>
          </w:tcPr>
          <w:p>
            <w:pPr>
              <w:ind w:left="660"/>
              <w:spacing w:after="0"/>
              <w:rPr>
                <w:sz w:val="20"/>
                <w:szCs w:val="20"/>
                <w:color w:val="auto"/>
              </w:rPr>
            </w:pPr>
            <w:r>
              <w:rPr>
                <w:rFonts w:ascii="Arial" w:cs="Arial" w:eastAsia="Arial" w:hAnsi="Arial"/>
                <w:sz w:val="15"/>
                <w:szCs w:val="15"/>
                <w:color w:val="auto"/>
              </w:rPr>
              <w:t>NA</w:t>
            </w:r>
          </w:p>
        </w:tc>
        <w:tc>
          <w:tcPr>
            <w:tcW w:w="1160" w:type="dxa"/>
            <w:vAlign w:val="bottom"/>
            <w:gridSpan w:val="2"/>
          </w:tcPr>
          <w:p>
            <w:pPr>
              <w:ind w:left="680"/>
              <w:spacing w:after="0"/>
              <w:rPr>
                <w:sz w:val="20"/>
                <w:szCs w:val="20"/>
                <w:color w:val="auto"/>
              </w:rPr>
            </w:pPr>
            <w:r>
              <w:rPr>
                <w:rFonts w:ascii="Arial" w:cs="Arial" w:eastAsia="Arial" w:hAnsi="Arial"/>
                <w:sz w:val="15"/>
                <w:szCs w:val="15"/>
                <w:color w:val="auto"/>
              </w:rPr>
              <w:t>NA</w:t>
            </w:r>
          </w:p>
        </w:tc>
        <w:tc>
          <w:tcPr>
            <w:tcW w:w="1300" w:type="dxa"/>
            <w:vAlign w:val="bottom"/>
            <w:gridSpan w:val="3"/>
          </w:tcPr>
          <w:p>
            <w:pPr>
              <w:ind w:left="680"/>
              <w:spacing w:after="0"/>
              <w:rPr>
                <w:sz w:val="20"/>
                <w:szCs w:val="20"/>
                <w:color w:val="auto"/>
              </w:rPr>
            </w:pPr>
            <w:r>
              <w:rPr>
                <w:rFonts w:ascii="Arial" w:cs="Arial" w:eastAsia="Arial" w:hAnsi="Arial"/>
                <w:sz w:val="15"/>
                <w:szCs w:val="15"/>
                <w:color w:val="auto"/>
              </w:rPr>
              <w:t>NA</w:t>
            </w:r>
          </w:p>
        </w:tc>
        <w:tc>
          <w:tcPr>
            <w:tcW w:w="1040" w:type="dxa"/>
            <w:vAlign w:val="bottom"/>
            <w:gridSpan w:val="2"/>
          </w:tcPr>
          <w:p>
            <w:pPr>
              <w:ind w:left="540"/>
              <w:spacing w:after="0"/>
              <w:rPr>
                <w:sz w:val="20"/>
                <w:szCs w:val="20"/>
                <w:color w:val="auto"/>
              </w:rPr>
            </w:pPr>
            <w:r>
              <w:rPr>
                <w:rFonts w:ascii="Arial" w:cs="Arial" w:eastAsia="Arial" w:hAnsi="Arial"/>
                <w:sz w:val="15"/>
                <w:szCs w:val="15"/>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(c)</w:t>
            </w:r>
          </w:p>
        </w:tc>
        <w:tc>
          <w:tcPr>
            <w:tcW w:w="1060" w:type="dxa"/>
            <w:vAlign w:val="bottom"/>
          </w:tcPr>
          <w:p>
            <w:pPr>
              <w:jc w:val="right"/>
              <w:spacing w:after="0"/>
              <w:rPr>
                <w:sz w:val="20"/>
                <w:szCs w:val="20"/>
                <w:color w:val="auto"/>
              </w:rPr>
            </w:pPr>
            <w:r>
              <w:rPr>
                <w:rFonts w:ascii="Arial" w:cs="Arial" w:eastAsia="Arial" w:hAnsi="Arial"/>
                <w:sz w:val="15"/>
                <w:szCs w:val="15"/>
                <w:color w:val="auto"/>
              </w:rPr>
              <w:t>&lt;30-30 days</w:t>
            </w:r>
          </w:p>
        </w:tc>
      </w:tr>
      <w:tr>
        <w:trPr>
          <w:trHeight w:val="176"/>
        </w:trPr>
        <w:tc>
          <w:tcPr>
            <w:tcW w:w="1980" w:type="dxa"/>
            <w:vAlign w:val="bottom"/>
            <w:shd w:val="clear" w:color="auto" w:fill="CFF0FC"/>
          </w:tcPr>
          <w:p>
            <w:pPr>
              <w:spacing w:after="0"/>
              <w:rPr>
                <w:sz w:val="20"/>
                <w:szCs w:val="20"/>
                <w:color w:val="auto"/>
              </w:rPr>
            </w:pPr>
            <w:r>
              <w:rPr>
                <w:rFonts w:ascii="Arial" w:cs="Arial" w:eastAsia="Arial" w:hAnsi="Arial"/>
                <w:sz w:val="15"/>
                <w:szCs w:val="15"/>
                <w:color w:val="auto"/>
              </w:rPr>
              <w:t>Debt funds</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5"/>
                <w:szCs w:val="15"/>
                <w:color w:val="auto"/>
              </w:rPr>
              <w:t>NA</w:t>
            </w:r>
          </w:p>
        </w:tc>
        <w:tc>
          <w:tcPr>
            <w:tcW w:w="1160" w:type="dxa"/>
            <w:vAlign w:val="bottom"/>
            <w:gridSpan w:val="2"/>
            <w:shd w:val="clear" w:color="auto" w:fill="CFF0FC"/>
          </w:tcPr>
          <w:p>
            <w:pPr>
              <w:ind w:left="680"/>
              <w:spacing w:after="0"/>
              <w:rPr>
                <w:sz w:val="20"/>
                <w:szCs w:val="20"/>
                <w:color w:val="auto"/>
              </w:rPr>
            </w:pPr>
            <w:r>
              <w:rPr>
                <w:rFonts w:ascii="Arial" w:cs="Arial" w:eastAsia="Arial" w:hAnsi="Arial"/>
                <w:sz w:val="15"/>
                <w:szCs w:val="15"/>
                <w:color w:val="auto"/>
              </w:rPr>
              <w:t>NA</w:t>
            </w:r>
          </w:p>
        </w:tc>
        <w:tc>
          <w:tcPr>
            <w:tcW w:w="1300" w:type="dxa"/>
            <w:vAlign w:val="bottom"/>
            <w:gridSpan w:val="3"/>
            <w:shd w:val="clear" w:color="auto" w:fill="CFF0FC"/>
          </w:tcPr>
          <w:p>
            <w:pPr>
              <w:ind w:left="680"/>
              <w:spacing w:after="0"/>
              <w:rPr>
                <w:sz w:val="20"/>
                <w:szCs w:val="20"/>
                <w:color w:val="auto"/>
              </w:rPr>
            </w:pPr>
            <w:r>
              <w:rPr>
                <w:rFonts w:ascii="Arial" w:cs="Arial" w:eastAsia="Arial" w:hAnsi="Arial"/>
                <w:sz w:val="15"/>
                <w:szCs w:val="15"/>
                <w:color w:val="auto"/>
              </w:rPr>
              <w:t>NA</w:t>
            </w:r>
          </w:p>
        </w:tc>
        <w:tc>
          <w:tcPr>
            <w:tcW w:w="1040" w:type="dxa"/>
            <w:vAlign w:val="bottom"/>
            <w:gridSpan w:val="2"/>
            <w:shd w:val="clear" w:color="auto" w:fill="CFF0FC"/>
          </w:tcPr>
          <w:p>
            <w:pPr>
              <w:ind w:left="540"/>
              <w:spacing w:after="0"/>
              <w:rPr>
                <w:sz w:val="20"/>
                <w:szCs w:val="20"/>
                <w:color w:val="auto"/>
              </w:rPr>
            </w:pPr>
            <w:r>
              <w:rPr>
                <w:rFonts w:ascii="Arial" w:cs="Arial" w:eastAsia="Arial" w:hAnsi="Arial"/>
                <w:sz w:val="15"/>
                <w:szCs w:val="15"/>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(d)</w:t>
            </w: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&lt;30 days</w:t>
            </w:r>
          </w:p>
        </w:tc>
      </w:tr>
      <w:tr>
        <w:trPr>
          <w:trHeight w:val="176"/>
        </w:trPr>
        <w:tc>
          <w:tcPr>
            <w:tcW w:w="1980" w:type="dxa"/>
            <w:vAlign w:val="bottom"/>
          </w:tcPr>
          <w:p>
            <w:pPr>
              <w:spacing w:after="0"/>
              <w:rPr>
                <w:sz w:val="20"/>
                <w:szCs w:val="20"/>
                <w:color w:val="auto"/>
              </w:rPr>
            </w:pPr>
            <w:r>
              <w:rPr>
                <w:rFonts w:ascii="Arial" w:cs="Arial" w:eastAsia="Arial" w:hAnsi="Arial"/>
                <w:sz w:val="15"/>
                <w:szCs w:val="15"/>
                <w:color w:val="auto"/>
              </w:rPr>
              <w:t>Equity funds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5"/>
                <w:szCs w:val="15"/>
                <w:color w:val="auto"/>
              </w:rPr>
            </w:pPr>
          </w:p>
        </w:tc>
        <w:tc>
          <w:tcPr>
            <w:tcW w:w="1160" w:type="dxa"/>
            <w:vAlign w:val="bottom"/>
            <w:gridSpan w:val="2"/>
          </w:tcPr>
          <w:p>
            <w:pPr>
              <w:ind w:left="660"/>
              <w:spacing w:after="0"/>
              <w:rPr>
                <w:sz w:val="20"/>
                <w:szCs w:val="20"/>
                <w:color w:val="auto"/>
              </w:rPr>
            </w:pPr>
            <w:r>
              <w:rPr>
                <w:rFonts w:ascii="Arial" w:cs="Arial" w:eastAsia="Arial" w:hAnsi="Arial"/>
                <w:sz w:val="15"/>
                <w:szCs w:val="15"/>
                <w:color w:val="auto"/>
              </w:rPr>
              <w:t>NA</w:t>
            </w:r>
          </w:p>
        </w:tc>
        <w:tc>
          <w:tcPr>
            <w:tcW w:w="1160" w:type="dxa"/>
            <w:vAlign w:val="bottom"/>
            <w:gridSpan w:val="2"/>
          </w:tcPr>
          <w:p>
            <w:pPr>
              <w:ind w:left="680"/>
              <w:spacing w:after="0"/>
              <w:rPr>
                <w:sz w:val="20"/>
                <w:szCs w:val="20"/>
                <w:color w:val="auto"/>
              </w:rPr>
            </w:pPr>
            <w:r>
              <w:rPr>
                <w:rFonts w:ascii="Arial" w:cs="Arial" w:eastAsia="Arial" w:hAnsi="Arial"/>
                <w:sz w:val="15"/>
                <w:szCs w:val="15"/>
                <w:color w:val="auto"/>
              </w:rPr>
              <w:t>NA</w:t>
            </w:r>
          </w:p>
        </w:tc>
        <w:tc>
          <w:tcPr>
            <w:tcW w:w="1300" w:type="dxa"/>
            <w:vAlign w:val="bottom"/>
            <w:gridSpan w:val="3"/>
          </w:tcPr>
          <w:p>
            <w:pPr>
              <w:ind w:left="680"/>
              <w:spacing w:after="0"/>
              <w:rPr>
                <w:sz w:val="20"/>
                <w:szCs w:val="20"/>
                <w:color w:val="auto"/>
              </w:rPr>
            </w:pPr>
            <w:r>
              <w:rPr>
                <w:rFonts w:ascii="Arial" w:cs="Arial" w:eastAsia="Arial" w:hAnsi="Arial"/>
                <w:sz w:val="15"/>
                <w:szCs w:val="15"/>
                <w:color w:val="auto"/>
              </w:rPr>
              <w:t>NA</w:t>
            </w:r>
          </w:p>
        </w:tc>
        <w:tc>
          <w:tcPr>
            <w:tcW w:w="1040" w:type="dxa"/>
            <w:vAlign w:val="bottom"/>
            <w:gridSpan w:val="2"/>
          </w:tcPr>
          <w:p>
            <w:pPr>
              <w:ind w:left="540"/>
              <w:spacing w:after="0"/>
              <w:rPr>
                <w:sz w:val="20"/>
                <w:szCs w:val="20"/>
                <w:color w:val="auto"/>
              </w:rPr>
            </w:pPr>
            <w:r>
              <w:rPr>
                <w:rFonts w:ascii="Arial" w:cs="Arial" w:eastAsia="Arial" w:hAnsi="Arial"/>
                <w:sz w:val="15"/>
                <w:szCs w:val="15"/>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(e)</w:t>
            </w:r>
          </w:p>
        </w:tc>
        <w:tc>
          <w:tcPr>
            <w:tcW w:w="1060" w:type="dxa"/>
            <w:vAlign w:val="bottom"/>
          </w:tcPr>
          <w:p>
            <w:pPr>
              <w:jc w:val="right"/>
              <w:spacing w:after="0"/>
              <w:rPr>
                <w:sz w:val="20"/>
                <w:szCs w:val="20"/>
                <w:color w:val="auto"/>
              </w:rPr>
            </w:pPr>
            <w:r>
              <w:rPr>
                <w:rFonts w:ascii="Arial" w:cs="Arial" w:eastAsia="Arial" w:hAnsi="Arial"/>
                <w:sz w:val="15"/>
                <w:szCs w:val="15"/>
                <w:color w:val="auto"/>
              </w:rPr>
              <w:t>&lt;30-90 days</w:t>
            </w:r>
          </w:p>
        </w:tc>
      </w:tr>
      <w:tr>
        <w:trPr>
          <w:trHeight w:val="176"/>
        </w:trPr>
        <w:tc>
          <w:tcPr>
            <w:tcW w:w="1980" w:type="dxa"/>
            <w:vAlign w:val="bottom"/>
            <w:shd w:val="clear" w:color="auto" w:fill="CFF0FC"/>
          </w:tcPr>
          <w:p>
            <w:pPr>
              <w:spacing w:after="0"/>
              <w:rPr>
                <w:sz w:val="20"/>
                <w:szCs w:val="20"/>
                <w:color w:val="auto"/>
              </w:rPr>
            </w:pPr>
            <w:r>
              <w:rPr>
                <w:rFonts w:ascii="Arial" w:cs="Arial" w:eastAsia="Arial" w:hAnsi="Arial"/>
                <w:sz w:val="15"/>
                <w:szCs w:val="15"/>
                <w:color w:val="auto"/>
              </w:rPr>
              <w:t>Private equity funds:</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r>
      <w:tr>
        <w:trPr>
          <w:trHeight w:val="176"/>
        </w:trPr>
        <w:tc>
          <w:tcPr>
            <w:tcW w:w="198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Equity growth</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56,343</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8,338</w:t>
            </w:r>
          </w:p>
        </w:tc>
        <w:tc>
          <w:tcPr>
            <w:tcW w:w="400" w:type="dxa"/>
            <w:vAlign w:val="bottom"/>
            <w:tcBorders>
              <w:bottom w:val="single" w:sz="8" w:color="CFF0FC"/>
            </w:tcBorders>
          </w:tcPr>
          <w:p>
            <w:pPr>
              <w:ind w:left="120"/>
              <w:spacing w:after="0"/>
              <w:rPr>
                <w:sz w:val="20"/>
                <w:szCs w:val="20"/>
                <w:color w:val="auto"/>
              </w:rPr>
            </w:pPr>
            <w:r>
              <w:rPr>
                <w:rFonts w:ascii="Arial" w:cs="Arial" w:eastAsia="Arial" w:hAnsi="Arial"/>
                <w:sz w:val="15"/>
                <w:szCs w:val="15"/>
                <w:color w:val="auto"/>
              </w:rPr>
              <w:t>(f)</w:t>
            </w:r>
          </w:p>
        </w:tc>
        <w:tc>
          <w:tcPr>
            <w:tcW w:w="1160" w:type="dxa"/>
            <w:vAlign w:val="bottom"/>
            <w:tcBorders>
              <w:bottom w:val="single" w:sz="8" w:color="CFF0FC"/>
            </w:tcBorders>
            <w:gridSpan w:val="2"/>
          </w:tcPr>
          <w:p>
            <w:pPr>
              <w:ind w:left="660"/>
              <w:spacing w:after="0"/>
              <w:rPr>
                <w:sz w:val="20"/>
                <w:szCs w:val="20"/>
                <w:color w:val="auto"/>
              </w:rPr>
            </w:pPr>
            <w:r>
              <w:rPr>
                <w:rFonts w:ascii="Arial" w:cs="Arial" w:eastAsia="Arial" w:hAnsi="Arial"/>
                <w:sz w:val="15"/>
                <w:szCs w:val="15"/>
                <w:color w:val="auto"/>
              </w:rPr>
              <w:t>100%</w:t>
            </w:r>
          </w:p>
        </w:tc>
        <w:tc>
          <w:tcPr>
            <w:tcW w:w="1160" w:type="dxa"/>
            <w:vAlign w:val="bottom"/>
            <w:tcBorders>
              <w:bottom w:val="single" w:sz="8" w:color="CFF0FC"/>
            </w:tcBorders>
            <w:gridSpan w:val="2"/>
          </w:tcPr>
          <w:p>
            <w:pPr>
              <w:ind w:left="740"/>
              <w:spacing w:after="0"/>
              <w:rPr>
                <w:sz w:val="20"/>
                <w:szCs w:val="20"/>
                <w:color w:val="auto"/>
              </w:rPr>
            </w:pPr>
            <w:r>
              <w:rPr>
                <w:rFonts w:ascii="Arial" w:cs="Arial" w:eastAsia="Arial" w:hAnsi="Arial"/>
                <w:sz w:val="15"/>
                <w:szCs w:val="15"/>
                <w:color w:val="auto"/>
              </w:rPr>
              <w:t>14%</w:t>
            </w:r>
          </w:p>
        </w:tc>
        <w:tc>
          <w:tcPr>
            <w:tcW w:w="1160" w:type="dxa"/>
            <w:vAlign w:val="bottom"/>
            <w:tcBorders>
              <w:bottom w:val="single" w:sz="8" w:color="CFF0FC"/>
            </w:tcBorders>
            <w:gridSpan w:val="2"/>
          </w:tcPr>
          <w:p>
            <w:pPr>
              <w:ind w:left="740"/>
              <w:spacing w:after="0"/>
              <w:rPr>
                <w:sz w:val="20"/>
                <w:szCs w:val="20"/>
                <w:color w:val="auto"/>
              </w:rPr>
            </w:pPr>
            <w:r>
              <w:rPr>
                <w:rFonts w:ascii="Arial" w:cs="Arial" w:eastAsia="Arial" w:hAnsi="Arial"/>
                <w:sz w:val="15"/>
                <w:szCs w:val="15"/>
                <w:color w:val="auto"/>
              </w:rPr>
              <w:t>34%</w:t>
            </w:r>
          </w:p>
        </w:tc>
        <w:tc>
          <w:tcPr>
            <w:tcW w:w="140" w:type="dxa"/>
            <w:vAlign w:val="bottom"/>
            <w:tcBorders>
              <w:bottom w:val="single" w:sz="8" w:color="CFF0FC"/>
            </w:tcBorders>
          </w:tcPr>
          <w:p>
            <w:pPr>
              <w:spacing w:after="0"/>
              <w:rPr>
                <w:sz w:val="15"/>
                <w:szCs w:val="15"/>
                <w:color w:val="auto"/>
              </w:rPr>
            </w:pPr>
          </w:p>
        </w:tc>
        <w:tc>
          <w:tcPr>
            <w:tcW w:w="1040" w:type="dxa"/>
            <w:vAlign w:val="bottom"/>
            <w:tcBorders>
              <w:bottom w:val="single" w:sz="8" w:color="CFF0FC"/>
            </w:tcBorders>
            <w:gridSpan w:val="2"/>
          </w:tcPr>
          <w:p>
            <w:pPr>
              <w:ind w:left="620"/>
              <w:spacing w:after="0"/>
              <w:rPr>
                <w:sz w:val="20"/>
                <w:szCs w:val="20"/>
                <w:color w:val="auto"/>
              </w:rPr>
            </w:pPr>
            <w:r>
              <w:rPr>
                <w:rFonts w:ascii="Arial" w:cs="Arial" w:eastAsia="Arial" w:hAnsi="Arial"/>
                <w:sz w:val="15"/>
                <w:szCs w:val="15"/>
                <w:color w:val="auto"/>
              </w:rPr>
              <w:t>52%</w:t>
            </w:r>
          </w:p>
        </w:tc>
        <w:tc>
          <w:tcPr>
            <w:tcW w:w="114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5"/>
                <w:szCs w:val="15"/>
                <w:color w:val="auto"/>
              </w:rPr>
              <w:t>NA</w:t>
            </w:r>
          </w:p>
        </w:tc>
        <w:tc>
          <w:tcPr>
            <w:tcW w:w="106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NA</w:t>
            </w:r>
          </w:p>
        </w:tc>
      </w:tr>
      <w:tr>
        <w:trPr>
          <w:trHeight w:val="169"/>
        </w:trPr>
        <w:tc>
          <w:tcPr>
            <w:tcW w:w="198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Total</w:t>
            </w:r>
          </w:p>
        </w:tc>
        <w:tc>
          <w:tcPr>
            <w:tcW w:w="280" w:type="dxa"/>
            <w:vAlign w:val="bottom"/>
            <w:gridSpan w:val="2"/>
            <w:shd w:val="clear" w:color="auto" w:fill="CFF0FC"/>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57,273</w:t>
            </w:r>
          </w:p>
        </w:tc>
        <w:tc>
          <w:tcPr>
            <w:tcW w:w="34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8,338</w:t>
            </w:r>
          </w:p>
        </w:tc>
        <w:tc>
          <w:tcPr>
            <w:tcW w:w="4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r>
      <w:tr>
        <w:trPr>
          <w:trHeight w:val="20"/>
        </w:trPr>
        <w:tc>
          <w:tcPr>
            <w:tcW w:w="19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7" w:name="page98"/>
    <w:bookmarkEnd w:id="97"/>
    <w:p>
      <w:pPr>
        <w:jc w:val="center"/>
        <w:ind w:right="-159"/>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111506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600" w:hanging="592"/>
        <w:spacing w:after="0"/>
        <w:tabs>
          <w:tab w:leader="none" w:pos="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monthly (100%)</w:t>
      </w:r>
    </w:p>
    <w:p>
      <w:pPr>
        <w:spacing w:after="0" w:line="49" w:lineRule="exact"/>
        <w:rPr>
          <w:rFonts w:ascii="Arial" w:cs="Arial" w:eastAsia="Arial" w:hAnsi="Arial"/>
          <w:sz w:val="18"/>
          <w:szCs w:val="18"/>
          <w:color w:val="auto"/>
        </w:rPr>
      </w:pPr>
    </w:p>
    <w:p>
      <w:pPr>
        <w:ind w:left="600" w:hanging="592"/>
        <w:spacing w:after="0"/>
        <w:tabs>
          <w:tab w:leader="none" w:pos="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quarterly (100%)</w:t>
      </w:r>
    </w:p>
    <w:p>
      <w:pPr>
        <w:spacing w:after="0" w:line="49" w:lineRule="exact"/>
        <w:rPr>
          <w:rFonts w:ascii="Arial" w:cs="Arial" w:eastAsia="Arial" w:hAnsi="Arial"/>
          <w:sz w:val="18"/>
          <w:szCs w:val="18"/>
          <w:color w:val="auto"/>
        </w:rPr>
      </w:pPr>
    </w:p>
    <w:p>
      <w:pPr>
        <w:ind w:left="600" w:hanging="592"/>
        <w:spacing w:after="0"/>
        <w:tabs>
          <w:tab w:leader="none" w:pos="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daily (6%) and monthly (94%)</w:t>
      </w:r>
    </w:p>
    <w:p>
      <w:pPr>
        <w:spacing w:after="0" w:line="49" w:lineRule="exact"/>
        <w:rPr>
          <w:rFonts w:ascii="Arial" w:cs="Arial" w:eastAsia="Arial" w:hAnsi="Arial"/>
          <w:sz w:val="18"/>
          <w:szCs w:val="18"/>
          <w:color w:val="auto"/>
        </w:rPr>
      </w:pPr>
    </w:p>
    <w:p>
      <w:pPr>
        <w:ind w:left="600" w:hanging="592"/>
        <w:spacing w:after="0"/>
        <w:tabs>
          <w:tab w:leader="none" w:pos="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daily (100%)</w:t>
      </w:r>
    </w:p>
    <w:p>
      <w:pPr>
        <w:spacing w:after="0" w:line="49" w:lineRule="exact"/>
        <w:rPr>
          <w:rFonts w:ascii="Arial" w:cs="Arial" w:eastAsia="Arial" w:hAnsi="Arial"/>
          <w:sz w:val="18"/>
          <w:szCs w:val="18"/>
          <w:color w:val="auto"/>
        </w:rPr>
      </w:pPr>
    </w:p>
    <w:p>
      <w:pPr>
        <w:ind w:left="600" w:hanging="592"/>
        <w:spacing w:after="0"/>
        <w:tabs>
          <w:tab w:leader="none" w:pos="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daily (25%), monthly (70%) and annually (5%)</w:t>
      </w:r>
    </w:p>
    <w:p>
      <w:pPr>
        <w:spacing w:after="0" w:line="49" w:lineRule="exact"/>
        <w:rPr>
          <w:rFonts w:ascii="Arial" w:cs="Arial" w:eastAsia="Arial" w:hAnsi="Arial"/>
          <w:sz w:val="18"/>
          <w:szCs w:val="18"/>
          <w:color w:val="auto"/>
        </w:rPr>
      </w:pPr>
    </w:p>
    <w:p>
      <w:pPr>
        <w:ind w:left="600" w:right="460" w:hanging="592"/>
        <w:spacing w:after="0" w:line="277" w:lineRule="auto"/>
        <w:tabs>
          <w:tab w:leader="none" w:pos="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$14,437 are excluded. Such commitments are required to be funded by capital contributions from noncontrolling interest holders.</w:t>
      </w:r>
    </w:p>
    <w:p>
      <w:pPr>
        <w:spacing w:after="0" w:line="170"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b w:val="1"/>
          <w:bCs w:val="1"/>
          <w:i w:val="1"/>
          <w:iCs w:val="1"/>
          <w:color w:val="auto"/>
        </w:rPr>
        <w:t>Investment Capital Funding Commitments—</w:t>
      </w:r>
      <w:r>
        <w:rPr>
          <w:rFonts w:ascii="Arial" w:cs="Arial" w:eastAsia="Arial" w:hAnsi="Arial"/>
          <w:sz w:val="18"/>
          <w:szCs w:val="18"/>
          <w:color w:val="auto"/>
        </w:rPr>
        <w:t>At December 31, 2019, the Company’s maximum unfunded commitments for capital contributions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funds primarily arose from commitments to EGCP III, which amounted to $5,484. The investment period for EGCP III ended on October 12, 2016, after which point the Company’s obligation to fund capital contributions for new investments in EGCP III expired. The Company remains obligated until October 12, 2023 (or any earlier liquidation of EGCP III) to make capital contributions necessary to fund follow-on investments and to pay for fund expenses.</w:t>
      </w:r>
    </w:p>
    <w:p>
      <w:pPr>
        <w:spacing w:after="0" w:line="200" w:lineRule="exact"/>
        <w:rPr>
          <w:sz w:val="20"/>
          <w:szCs w:val="20"/>
          <w:color w:val="auto"/>
        </w:rPr>
      </w:pPr>
    </w:p>
    <w:p>
      <w:pPr>
        <w:spacing w:after="0" w:line="39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60"/>
          </w:cols>
          <w:pgMar w:left="240" w:top="121" w:right="39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32" w:lineRule="exact"/>
        <w:rPr>
          <w:sz w:val="20"/>
          <w:szCs w:val="20"/>
          <w:color w:val="auto"/>
        </w:rPr>
      </w:pPr>
    </w:p>
    <w:p>
      <w:pPr>
        <w:ind w:left="600" w:hanging="592"/>
        <w:spacing w:after="0"/>
        <w:tabs>
          <w:tab w:leader="none" w:pos="600" w:val="left"/>
        </w:tabs>
        <w:numPr>
          <w:ilvl w:val="0"/>
          <w:numId w:val="67"/>
        </w:numPr>
        <w:rPr>
          <w:rFonts w:ascii="Arial" w:cs="Arial" w:eastAsia="Arial" w:hAnsi="Arial"/>
          <w:sz w:val="16"/>
          <w:szCs w:val="16"/>
          <w:b w:val="1"/>
          <w:bCs w:val="1"/>
          <w:i w:val="1"/>
          <w:iCs w:val="1"/>
          <w:color w:val="auto"/>
        </w:rPr>
      </w:pPr>
      <w:r>
        <w:rPr>
          <w:rFonts w:ascii="Arial" w:cs="Arial" w:eastAsia="Arial" w:hAnsi="Arial"/>
          <w:sz w:val="18"/>
          <w:szCs w:val="18"/>
          <w:b w:val="1"/>
          <w:bCs w:val="1"/>
          <w:i w:val="1"/>
          <w:iCs w:val="1"/>
          <w:color w:val="auto"/>
        </w:rPr>
        <w:t>DERIVATIVES</w:t>
      </w:r>
    </w:p>
    <w:p>
      <w:pPr>
        <w:spacing w:after="0" w:line="117"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color w:val="auto"/>
        </w:rPr>
        <w:t>The table below presents the fair value of the Company’s derivative instruments reported within “other assets” and “other liabilities” and the fair value of the Company’s derivative liabilities relating to its obligations pertaining to LFI and other similar deferred compensation arrangements reported within “accrued compensation and benefits” (see Note 16) on the accompanying consolidated statements of financial condition as of December 31, 2019 and 2018:</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105"/>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1760" w:type="dxa"/>
            <w:vAlign w:val="bottom"/>
            <w:tcBorders>
              <w:bottom w:val="single" w:sz="8" w:color="CFF0FC"/>
            </w:tcBorders>
          </w:tcPr>
          <w:p>
            <w:pPr>
              <w:spacing w:after="0"/>
              <w:rPr>
                <w:sz w:val="13"/>
                <w:szCs w:val="13"/>
                <w:color w:val="auto"/>
              </w:rPr>
            </w:pPr>
          </w:p>
        </w:tc>
        <w:tc>
          <w:tcPr>
            <w:tcW w:w="4420" w:type="dxa"/>
            <w:vAlign w:val="bottom"/>
            <w:tcBorders>
              <w:bottom w:val="single" w:sz="8" w:color="CFF0FC"/>
            </w:tcBorders>
          </w:tcPr>
          <w:p>
            <w:pPr>
              <w:spacing w:after="0"/>
              <w:rPr>
                <w:sz w:val="13"/>
                <w:szCs w:val="13"/>
                <w:color w:val="auto"/>
              </w:rPr>
            </w:pPr>
          </w:p>
        </w:tc>
        <w:tc>
          <w:tcPr>
            <w:tcW w:w="16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61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Derivative Assets:</w:t>
            </w:r>
          </w:p>
        </w:tc>
        <w:tc>
          <w:tcPr>
            <w:tcW w:w="1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180" w:type="dxa"/>
            <w:vAlign w:val="bottom"/>
            <w:gridSpan w:val="2"/>
          </w:tcPr>
          <w:p>
            <w:pPr>
              <w:ind w:left="260"/>
              <w:spacing w:after="0"/>
              <w:rPr>
                <w:sz w:val="20"/>
                <w:szCs w:val="20"/>
                <w:color w:val="auto"/>
              </w:rPr>
            </w:pPr>
            <w:r>
              <w:rPr>
                <w:rFonts w:ascii="Arial" w:cs="Arial" w:eastAsia="Arial" w:hAnsi="Arial"/>
                <w:sz w:val="18"/>
                <w:szCs w:val="18"/>
                <w:color w:val="auto"/>
              </w:rPr>
              <w:t>Forward foreign currency exchange rate contracts</w:t>
            </w:r>
          </w:p>
        </w:tc>
        <w:tc>
          <w:tcPr>
            <w:tcW w:w="2640" w:type="dxa"/>
            <w:vAlign w:val="bottom"/>
            <w:gridSpan w:val="2"/>
          </w:tcPr>
          <w:p>
            <w:pPr>
              <w:jc w:val="right"/>
              <w:ind w:right="776"/>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1,395</w:t>
            </w:r>
          </w:p>
        </w:tc>
        <w:tc>
          <w:tcPr>
            <w:tcW w:w="74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1,543</w:t>
            </w:r>
          </w:p>
        </w:tc>
        <w:tc>
          <w:tcPr>
            <w:tcW w:w="120" w:type="dxa"/>
            <w:vAlign w:val="bottom"/>
          </w:tcPr>
          <w:p>
            <w:pPr>
              <w:spacing w:after="0"/>
              <w:rPr>
                <w:sz w:val="19"/>
                <w:szCs w:val="19"/>
                <w:color w:val="auto"/>
              </w:rPr>
            </w:pPr>
          </w:p>
        </w:tc>
      </w:tr>
      <w:tr>
        <w:trPr>
          <w:trHeight w:val="230"/>
        </w:trPr>
        <w:tc>
          <w:tcPr>
            <w:tcW w:w="61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return swaps and other (a)</w:t>
            </w:r>
          </w:p>
        </w:tc>
        <w:tc>
          <w:tcPr>
            <w:tcW w:w="16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10,424</w:t>
            </w:r>
          </w:p>
        </w:tc>
        <w:tc>
          <w:tcPr>
            <w:tcW w:w="120" w:type="dxa"/>
            <w:vAlign w:val="bottom"/>
            <w:shd w:val="clear" w:color="auto" w:fill="CFF0FC"/>
          </w:tcPr>
          <w:p>
            <w:pPr>
              <w:spacing w:after="0"/>
              <w:rPr>
                <w:sz w:val="19"/>
                <w:szCs w:val="19"/>
                <w:color w:val="auto"/>
              </w:rPr>
            </w:pPr>
          </w:p>
        </w:tc>
      </w:tr>
      <w:tr>
        <w:trPr>
          <w:trHeight w:val="263"/>
        </w:trPr>
        <w:tc>
          <w:tcPr>
            <w:tcW w:w="1760" w:type="dxa"/>
            <w:vAlign w:val="bottom"/>
            <w:tcBorders>
              <w:bottom w:val="single" w:sz="8" w:color="CFF0FC"/>
            </w:tcBorders>
          </w:tcPr>
          <w:p>
            <w:pPr>
              <w:spacing w:after="0"/>
              <w:rPr>
                <w:sz w:val="22"/>
                <w:szCs w:val="22"/>
                <w:color w:val="auto"/>
              </w:rPr>
            </w:pPr>
          </w:p>
        </w:tc>
        <w:tc>
          <w:tcPr>
            <w:tcW w:w="4420" w:type="dxa"/>
            <w:vAlign w:val="bottom"/>
            <w:tcBorders>
              <w:bottom w:val="single" w:sz="8" w:color="CFF0FC"/>
            </w:tcBorders>
          </w:tcPr>
          <w:p>
            <w:pPr>
              <w:spacing w:after="0"/>
              <w:rPr>
                <w:sz w:val="22"/>
                <w:szCs w:val="22"/>
                <w:color w:val="auto"/>
              </w:rPr>
            </w:pPr>
          </w:p>
        </w:tc>
        <w:tc>
          <w:tcPr>
            <w:tcW w:w="1680" w:type="dxa"/>
            <w:vAlign w:val="bottom"/>
            <w:tcBorders>
              <w:bottom w:val="single" w:sz="8" w:color="CFF0FC"/>
            </w:tcBorders>
          </w:tcPr>
          <w:p>
            <w:pPr>
              <w:spacing w:after="0"/>
              <w:rPr>
                <w:sz w:val="22"/>
                <w:szCs w:val="22"/>
                <w:color w:val="auto"/>
              </w:rPr>
            </w:pP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w:t>
            </w:r>
          </w:p>
        </w:tc>
        <w:tc>
          <w:tcPr>
            <w:tcW w:w="28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11,967</w:t>
            </w:r>
          </w:p>
        </w:tc>
        <w:tc>
          <w:tcPr>
            <w:tcW w:w="120" w:type="dxa"/>
            <w:vAlign w:val="bottom"/>
            <w:tcBorders>
              <w:bottom w:val="single" w:sz="8" w:color="CFF0FC"/>
            </w:tcBorders>
          </w:tcPr>
          <w:p>
            <w:pPr>
              <w:spacing w:after="0"/>
              <w:rPr>
                <w:sz w:val="22"/>
                <w:szCs w:val="22"/>
                <w:color w:val="auto"/>
              </w:rPr>
            </w:pPr>
          </w:p>
        </w:tc>
      </w:tr>
      <w:tr>
        <w:trPr>
          <w:trHeight w:val="210"/>
        </w:trPr>
        <w:tc>
          <w:tcPr>
            <w:tcW w:w="61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Derivative Liabilities:</w:t>
            </w:r>
          </w:p>
        </w:tc>
        <w:tc>
          <w:tcPr>
            <w:tcW w:w="16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180" w:type="dxa"/>
            <w:vAlign w:val="bottom"/>
            <w:gridSpan w:val="2"/>
          </w:tcPr>
          <w:p>
            <w:pPr>
              <w:ind w:left="260"/>
              <w:spacing w:after="0"/>
              <w:rPr>
                <w:sz w:val="20"/>
                <w:szCs w:val="20"/>
                <w:color w:val="auto"/>
              </w:rPr>
            </w:pPr>
            <w:r>
              <w:rPr>
                <w:rFonts w:ascii="Arial" w:cs="Arial" w:eastAsia="Arial" w:hAnsi="Arial"/>
                <w:sz w:val="18"/>
                <w:szCs w:val="18"/>
                <w:color w:val="auto"/>
              </w:rPr>
              <w:t>Forward foreign currency exchange rate contracts</w:t>
            </w:r>
          </w:p>
        </w:tc>
        <w:tc>
          <w:tcPr>
            <w:tcW w:w="2640" w:type="dxa"/>
            <w:vAlign w:val="bottom"/>
            <w:gridSpan w:val="2"/>
          </w:tcPr>
          <w:p>
            <w:pPr>
              <w:jc w:val="right"/>
              <w:ind w:right="776"/>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1,720</w:t>
            </w:r>
          </w:p>
        </w:tc>
        <w:tc>
          <w:tcPr>
            <w:tcW w:w="74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939</w:t>
            </w:r>
          </w:p>
        </w:tc>
        <w:tc>
          <w:tcPr>
            <w:tcW w:w="120" w:type="dxa"/>
            <w:vAlign w:val="bottom"/>
          </w:tcPr>
          <w:p>
            <w:pPr>
              <w:spacing w:after="0"/>
              <w:rPr>
                <w:sz w:val="19"/>
                <w:szCs w:val="19"/>
                <w:color w:val="auto"/>
              </w:rPr>
            </w:pPr>
          </w:p>
        </w:tc>
      </w:tr>
      <w:tr>
        <w:trPr>
          <w:trHeight w:val="230"/>
        </w:trPr>
        <w:tc>
          <w:tcPr>
            <w:tcW w:w="61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return swaps and other (a)</w:t>
            </w:r>
          </w:p>
        </w:tc>
        <w:tc>
          <w:tcPr>
            <w:tcW w:w="1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8,527</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r>
      <w:tr>
        <w:trPr>
          <w:trHeight w:val="230"/>
        </w:trPr>
        <w:tc>
          <w:tcPr>
            <w:tcW w:w="61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LFI and other similar deferred compensation arrangements</w:t>
            </w:r>
          </w:p>
        </w:tc>
        <w:tc>
          <w:tcPr>
            <w:tcW w:w="16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226,026</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188,022</w:t>
            </w:r>
          </w:p>
        </w:tc>
        <w:tc>
          <w:tcPr>
            <w:tcW w:w="120" w:type="dxa"/>
            <w:vAlign w:val="bottom"/>
            <w:tcBorders>
              <w:bottom w:val="single" w:sz="8" w:color="CFF0FC"/>
            </w:tcBorders>
          </w:tcPr>
          <w:p>
            <w:pPr>
              <w:spacing w:after="0"/>
              <w:rPr>
                <w:sz w:val="19"/>
                <w:szCs w:val="19"/>
                <w:color w:val="auto"/>
              </w:rPr>
            </w:pPr>
          </w:p>
        </w:tc>
      </w:tr>
      <w:tr>
        <w:trPr>
          <w:trHeight w:val="223"/>
        </w:trPr>
        <w:tc>
          <w:tcPr>
            <w:tcW w:w="1760" w:type="dxa"/>
            <w:vAlign w:val="bottom"/>
            <w:tcBorders>
              <w:bottom w:val="single" w:sz="8" w:color="CFF0FC"/>
            </w:tcBorders>
            <w:shd w:val="clear" w:color="auto" w:fill="CFF0FC"/>
          </w:tcPr>
          <w:p>
            <w:pPr>
              <w:spacing w:after="0"/>
              <w:rPr>
                <w:sz w:val="19"/>
                <w:szCs w:val="19"/>
                <w:color w:val="auto"/>
              </w:rPr>
            </w:pPr>
          </w:p>
        </w:tc>
        <w:tc>
          <w:tcPr>
            <w:tcW w:w="442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236,273</w:t>
            </w:r>
          </w:p>
        </w:tc>
        <w:tc>
          <w:tcPr>
            <w:tcW w:w="2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188,962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17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44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r>
    </w:tbl>
    <w:p>
      <w:pPr>
        <w:spacing w:after="0" w:line="26" w:lineRule="exact"/>
        <w:rPr>
          <w:sz w:val="20"/>
          <w:szCs w:val="20"/>
          <w:color w:val="auto"/>
        </w:rPr>
      </w:pPr>
    </w:p>
    <w:p>
      <w:pPr>
        <w:ind w:left="600" w:right="80" w:hanging="592"/>
        <w:spacing w:after="0" w:line="312" w:lineRule="auto"/>
        <w:tabs>
          <w:tab w:leader="none" w:pos="6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For total return swaps, amounts represent the netting of gross derivative assets and liabilities of $152 and $8,679 as of December 31, 2019, respectively, and $10,792 and $369 as of December 31, 2018, respectively, for contracts with the same counterparty under legally enforceable master netting agreements. Such amounts are recorded “net” in “other liabilities” and “other assets” as of December 31, 2019 and 2018, respectively.</w:t>
      </w:r>
    </w:p>
    <w:p>
      <w:pPr>
        <w:spacing w:after="0" w:line="147" w:lineRule="exact"/>
        <w:rPr>
          <w:sz w:val="20"/>
          <w:szCs w:val="20"/>
          <w:color w:val="auto"/>
        </w:rPr>
      </w:pPr>
    </w:p>
    <w:p>
      <w:pPr>
        <w:ind w:right="460" w:firstLine="598"/>
        <w:spacing w:after="0" w:line="312" w:lineRule="auto"/>
        <w:rPr>
          <w:sz w:val="20"/>
          <w:szCs w:val="20"/>
          <w:color w:val="auto"/>
        </w:rPr>
      </w:pPr>
      <w:r>
        <w:rPr>
          <w:rFonts w:ascii="Arial" w:cs="Arial" w:eastAsia="Arial" w:hAnsi="Arial"/>
          <w:sz w:val="16"/>
          <w:szCs w:val="16"/>
          <w:color w:val="auto"/>
        </w:rPr>
        <w:t>Net gains (losses) with respect to derivative instruments (predominantly reflected in “revenue-other”) and the Company’s derivative liabilities relating to its obligations pertaining to LFI and other similar deferred compensation arrangements (included in “compensation and benefits” expense) as reflected on the accompanying consolidated statements of operations for the years ended December 31, 2019, 2018 and 2017,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9"/>
              </w:rPr>
              <w:t>Year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7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Forward foreign currency exchange rate contracts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(9,144)</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LFI and other similar deferred compensation arrangements</w:t>
            </w: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(31,657)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14,086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(23,526)</w:t>
            </w: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Total return swaps and other</w:t>
            </w: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(14,294)</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(15,709)</w:t>
            </w: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30,483</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(48,379)</w:t>
            </w:r>
          </w:p>
        </w:tc>
        <w:tc>
          <w:tcPr>
            <w:tcW w:w="10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600" w:hanging="592"/>
        <w:spacing w:after="0"/>
        <w:tabs>
          <w:tab w:leader="none" w:pos="600" w:val="left"/>
        </w:tabs>
        <w:numPr>
          <w:ilvl w:val="0"/>
          <w:numId w:val="6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w:t>
      </w:r>
    </w:p>
    <w:p>
      <w:pPr>
        <w:spacing w:after="0" w:line="117" w:lineRule="exact"/>
        <w:rPr>
          <w:rFonts w:ascii="Arial" w:cs="Arial" w:eastAsia="Arial" w:hAnsi="Arial"/>
          <w:sz w:val="18"/>
          <w:szCs w:val="18"/>
          <w:b w:val="1"/>
          <w:bCs w:val="1"/>
          <w:i w:val="1"/>
          <w:iCs w:val="1"/>
          <w:color w:val="auto"/>
        </w:rPr>
      </w:pPr>
    </w:p>
    <w:p>
      <w:pPr>
        <w:ind w:left="60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At December 31, 2019 and 2018, property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Depreciable</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040" w:type="dxa"/>
            <w:vAlign w:val="bottom"/>
            <w:tcBorders>
              <w:bottom w:val="single" w:sz="8" w:color="CFF0FC"/>
            </w:tcBorders>
          </w:tcPr>
          <w:p>
            <w:pPr>
              <w:spacing w:after="0"/>
              <w:rPr>
                <w:sz w:val="13"/>
                <w:szCs w:val="13"/>
                <w:color w:val="auto"/>
              </w:rPr>
            </w:pPr>
          </w:p>
        </w:tc>
        <w:tc>
          <w:tcPr>
            <w:tcW w:w="136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Life in Years</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w w:val="96"/>
              </w:rPr>
              <w:t>2018</w:t>
            </w:r>
          </w:p>
        </w:tc>
        <w:tc>
          <w:tcPr>
            <w:tcW w:w="80" w:type="dxa"/>
            <w:vAlign w:val="bottom"/>
            <w:tcBorders>
              <w:bottom w:val="single" w:sz="8" w:color="CFF0FC"/>
            </w:tcBorders>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Buildings</w:t>
            </w:r>
          </w:p>
        </w:tc>
        <w:tc>
          <w:tcPr>
            <w:tcW w:w="1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142,298</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145,034</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3-20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196,277</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187,930</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Furniture and equipment</w:t>
            </w:r>
          </w:p>
        </w:tc>
        <w:tc>
          <w:tcPr>
            <w:tcW w:w="2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214,700</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204,057</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w:t>
            </w:r>
          </w:p>
        </w:tc>
        <w:tc>
          <w:tcPr>
            <w:tcW w:w="136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32,476</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14,140</w:t>
            </w:r>
          </w:p>
        </w:tc>
        <w:tc>
          <w:tcPr>
            <w:tcW w:w="8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3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585,751</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551,161</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 Accumulated depreciation and amortization</w:t>
            </w:r>
          </w:p>
        </w:tc>
        <w:tc>
          <w:tcPr>
            <w:tcW w:w="136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366,880</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339,448</w:t>
            </w:r>
          </w:p>
        </w:tc>
        <w:tc>
          <w:tcPr>
            <w:tcW w:w="8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w:t>
            </w:r>
          </w:p>
        </w:tc>
        <w:tc>
          <w:tcPr>
            <w:tcW w:w="136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218,871</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211,713</w:t>
            </w:r>
          </w:p>
        </w:tc>
        <w:tc>
          <w:tcPr>
            <w:tcW w:w="80" w:type="dxa"/>
            <w:vAlign w:val="bottom"/>
            <w:tcBorders>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360" w:type="dxa"/>
            <w:vAlign w:val="bottom"/>
            <w:vMerge w:val="restart"/>
          </w:tcPr>
          <w:p>
            <w:pPr>
              <w:jc w:val="right"/>
              <w:ind w:right="670"/>
              <w:spacing w:after="0"/>
              <w:rPr>
                <w:sz w:val="20"/>
                <w:szCs w:val="20"/>
                <w:color w:val="auto"/>
              </w:rPr>
            </w:pPr>
            <w:r>
              <w:rPr>
                <w:rFonts w:ascii="Arial" w:cs="Arial" w:eastAsia="Arial" w:hAnsi="Arial"/>
                <w:sz w:val="18"/>
                <w:szCs w:val="18"/>
                <w:color w:val="auto"/>
              </w:rPr>
              <w:t>97</w:t>
            </w: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1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35" w:lineRule="exact"/>
        <w:rPr>
          <w:sz w:val="20"/>
          <w:szCs w:val="20"/>
          <w:color w:val="auto"/>
        </w:rPr>
      </w:pPr>
    </w:p>
    <w:p>
      <w:pPr>
        <w:ind w:left="600" w:hanging="592"/>
        <w:spacing w:after="0"/>
        <w:tabs>
          <w:tab w:leader="none" w:pos="600" w:val="left"/>
        </w:tabs>
        <w:numPr>
          <w:ilvl w:val="0"/>
          <w:numId w:val="7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20" w:firstLine="598"/>
        <w:spacing w:after="0" w:line="272" w:lineRule="auto"/>
        <w:rPr>
          <w:sz w:val="20"/>
          <w:szCs w:val="20"/>
          <w:color w:val="auto"/>
        </w:rPr>
      </w:pPr>
      <w:r>
        <w:rPr>
          <w:rFonts w:ascii="Arial" w:cs="Arial" w:eastAsia="Arial" w:hAnsi="Arial"/>
          <w:sz w:val="17"/>
          <w:szCs w:val="17"/>
          <w:color w:val="auto"/>
        </w:rPr>
        <w:t>The Company adopted the new lease accounting guidance as of January 1, 2019, which resulted in recognition of ROU assets and lease liabilities related to operating leases on the consolidated statements of financial condition. The Company determines if an arrangement is, or contains, a lease at its inception and reevaluates the arrangement if the terms are modified. Operating lease ROU assets represent the right to use an underlying asset for the lease term and operating lease liabilities reflect the obligation to make lease payments arising from the lease. At any given time during the lease term, the operating lease liability represents the present value of the remaining lease payments and the operating lease ROU asset is measured at the amount of the lease liability, adjusted for rent prepayments, unamortized initial direct costs and the remaining balance of lease incentives received. Both the operating lease ROU asset and the operating lease liability are reduced to zero at the end of the lease.</w:t>
      </w:r>
    </w:p>
    <w:p>
      <w:pPr>
        <w:spacing w:after="0" w:line="178" w:lineRule="exact"/>
        <w:rPr>
          <w:sz w:val="20"/>
          <w:szCs w:val="20"/>
          <w:color w:val="auto"/>
        </w:rPr>
      </w:pPr>
    </w:p>
    <w:p>
      <w:pPr>
        <w:ind w:right="100" w:firstLine="598"/>
        <w:spacing w:after="0" w:line="257" w:lineRule="auto"/>
        <w:rPr>
          <w:sz w:val="20"/>
          <w:szCs w:val="20"/>
          <w:color w:val="auto"/>
        </w:rPr>
      </w:pPr>
      <w:r>
        <w:rPr>
          <w:rFonts w:ascii="Arial" w:cs="Arial" w:eastAsia="Arial" w:hAnsi="Arial"/>
          <w:sz w:val="18"/>
          <w:szCs w:val="18"/>
          <w:color w:val="auto"/>
        </w:rPr>
        <w:t>The Company leases office space and equipment under non-cancelable lease agreements, which expire on various dates through 2033. Substantially all of these arrangements are operating leases relating to office space. Certain leases have renewal options that can be exercised at the discretion of the Company. The Company only includes renewal options in the lease term when it is reasonably certain to exercise the option. The Company does not record leases with a lease term of 12 months or less on the consolidated statements of financial condition; lease expense for these leases is recognized over the lease term on a straight-line basis.</w:t>
      </w:r>
    </w:p>
    <w:p>
      <w:pPr>
        <w:spacing w:after="0" w:line="188" w:lineRule="exact"/>
        <w:rPr>
          <w:sz w:val="20"/>
          <w:szCs w:val="20"/>
          <w:color w:val="auto"/>
        </w:rPr>
      </w:pPr>
    </w:p>
    <w:p>
      <w:pPr>
        <w:ind w:right="80" w:firstLine="598"/>
        <w:spacing w:after="0" w:line="312" w:lineRule="auto"/>
        <w:rPr>
          <w:sz w:val="20"/>
          <w:szCs w:val="20"/>
          <w:color w:val="auto"/>
        </w:rPr>
      </w:pPr>
      <w:r>
        <w:rPr>
          <w:rFonts w:ascii="Arial" w:cs="Arial" w:eastAsia="Arial" w:hAnsi="Arial"/>
          <w:sz w:val="16"/>
          <w:szCs w:val="16"/>
          <w:color w:val="auto"/>
        </w:rPr>
        <w:t>For leases commencing on January 1, 2019 or thereafter that are recognized on the consolidated statements of financial condition, the Company applies its estimated Discount. The Company bases this Discount on the information available at the lease commencement date. The Company determines its Discount with consideration of the Company’s public debt issuances as well as publicly available data for instruments with similar characteristics.</w:t>
      </w:r>
    </w:p>
    <w:p>
      <w:pPr>
        <w:spacing w:after="0" w:line="147"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For leases commencing on January 1, 2019 or thereafter that relate to office space and equipment, the Company accounts for the lease and non-lease components as a single lease component.</w:t>
      </w:r>
    </w:p>
    <w:p>
      <w:pPr>
        <w:spacing w:after="0" w:line="170" w:lineRule="exact"/>
        <w:rPr>
          <w:sz w:val="20"/>
          <w:szCs w:val="20"/>
          <w:color w:val="auto"/>
        </w:rPr>
      </w:pPr>
    </w:p>
    <w:p>
      <w:pPr>
        <w:ind w:right="180" w:firstLine="598"/>
        <w:spacing w:after="0" w:line="259" w:lineRule="auto"/>
        <w:rPr>
          <w:sz w:val="20"/>
          <w:szCs w:val="20"/>
          <w:color w:val="auto"/>
        </w:rPr>
      </w:pPr>
      <w:r>
        <w:rPr>
          <w:rFonts w:ascii="Arial" w:cs="Arial" w:eastAsia="Arial" w:hAnsi="Arial"/>
          <w:sz w:val="18"/>
          <w:szCs w:val="18"/>
          <w:color w:val="auto"/>
        </w:rPr>
        <w:t>In addition to rent payments, operating leases for office space generally contain payments for real estate taxes, insurance costs, common area maintenance, and utilities that are not fixed. The Company accounts for these costs as variable payments and does not include them in the lease component. There are certain office leases outside of the U.S. that have annual rent increases based on a year-over-year change in an index that are also accounted for as variable payments and are excluded from the lease component.</w:t>
      </w:r>
    </w:p>
    <w:p>
      <w:pPr>
        <w:spacing w:after="0" w:line="187"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The following table summarizes the components of operating lease expense reflected on the accompanying consolidated statements of operations for the year ended December 31, 2019:</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80" w:type="dxa"/>
            <w:vAlign w:val="bottom"/>
            <w:gridSpan w:val="2"/>
          </w:tcPr>
          <w:p>
            <w:pPr>
              <w:ind w:left="4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228"/>
        </w:trPr>
        <w:tc>
          <w:tcPr>
            <w:tcW w:w="3640" w:type="dxa"/>
            <w:vAlign w:val="bottom"/>
            <w:tcBorders>
              <w:bottom w:val="single" w:sz="8" w:color="CFF0FC"/>
            </w:tcBorders>
          </w:tcPr>
          <w:p>
            <w:pPr>
              <w:spacing w:after="0"/>
              <w:rPr>
                <w:sz w:val="19"/>
                <w:szCs w:val="19"/>
                <w:color w:val="auto"/>
              </w:rPr>
            </w:pPr>
          </w:p>
        </w:tc>
        <w:tc>
          <w:tcPr>
            <w:tcW w:w="53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57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40" w:type="dxa"/>
            <w:vAlign w:val="bottom"/>
          </w:tcPr>
          <w:p>
            <w:pPr>
              <w:spacing w:after="0"/>
              <w:rPr>
                <w:sz w:val="20"/>
                <w:szCs w:val="20"/>
                <w:color w:val="auto"/>
              </w:rPr>
            </w:pPr>
            <w:r>
              <w:rPr>
                <w:rFonts w:ascii="Arial" w:cs="Arial" w:eastAsia="Arial" w:hAnsi="Arial"/>
                <w:sz w:val="18"/>
                <w:szCs w:val="18"/>
                <w:color w:val="auto"/>
              </w:rPr>
              <w:t>Variable lease cost</w:t>
            </w:r>
          </w:p>
        </w:tc>
        <w:tc>
          <w:tcPr>
            <w:tcW w:w="5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19,347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Less - sublease income</w:t>
            </w:r>
          </w:p>
        </w:tc>
        <w:tc>
          <w:tcPr>
            <w:tcW w:w="538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40" w:type="dxa"/>
            <w:vAlign w:val="bottom"/>
          </w:tcPr>
          <w:p>
            <w:pPr>
              <w:spacing w:after="0"/>
              <w:rPr>
                <w:sz w:val="20"/>
                <w:szCs w:val="20"/>
                <w:color w:val="auto"/>
              </w:rPr>
            </w:pPr>
            <w:r>
              <w:rPr>
                <w:rFonts w:ascii="Arial" w:cs="Arial" w:eastAsia="Arial" w:hAnsi="Arial"/>
                <w:sz w:val="18"/>
                <w:szCs w:val="18"/>
                <w:color w:val="auto"/>
              </w:rPr>
              <w:t>Total</w:t>
            </w:r>
          </w:p>
        </w:tc>
        <w:tc>
          <w:tcPr>
            <w:tcW w:w="5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92,939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5380" w:type="dxa"/>
            <w:vAlign w:val="bottom"/>
            <w:vMerge w:val="restart"/>
          </w:tcPr>
          <w:p>
            <w:pPr>
              <w:jc w:val="right"/>
              <w:ind w:right="3130"/>
              <w:spacing w:after="0"/>
              <w:rPr>
                <w:sz w:val="20"/>
                <w:szCs w:val="20"/>
                <w:color w:val="auto"/>
              </w:rPr>
            </w:pPr>
            <w:r>
              <w:rPr>
                <w:rFonts w:ascii="Arial" w:cs="Arial" w:eastAsia="Arial" w:hAnsi="Arial"/>
                <w:sz w:val="18"/>
                <w:szCs w:val="18"/>
                <w:color w:val="auto"/>
              </w:rPr>
              <w:t>98</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640" w:type="dxa"/>
            <w:vAlign w:val="bottom"/>
          </w:tcPr>
          <w:p>
            <w:pPr>
              <w:spacing w:after="0"/>
              <w:rPr>
                <w:sz w:val="24"/>
                <w:szCs w:val="24"/>
                <w:color w:val="auto"/>
              </w:rPr>
            </w:pPr>
          </w:p>
        </w:tc>
        <w:tc>
          <w:tcPr>
            <w:tcW w:w="53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40" w:type="dxa"/>
            <w:vAlign w:val="bottom"/>
            <w:tcBorders>
              <w:bottom w:val="single" w:sz="8" w:color="9A9A9A"/>
            </w:tcBorders>
          </w:tcPr>
          <w:p>
            <w:pPr>
              <w:spacing w:after="0"/>
              <w:rPr>
                <w:sz w:val="10"/>
                <w:szCs w:val="10"/>
                <w:color w:val="auto"/>
              </w:rPr>
            </w:pPr>
          </w:p>
        </w:tc>
        <w:tc>
          <w:tcPr>
            <w:tcW w:w="53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3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 summarizes the supplemental cash flow information and certain other information related to operating leases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4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Year Ended</w:t>
            </w:r>
          </w:p>
        </w:tc>
      </w:tr>
      <w:tr>
        <w:trPr>
          <w:trHeight w:val="228"/>
        </w:trPr>
        <w:tc>
          <w:tcPr>
            <w:tcW w:w="8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December 31, 2019</w:t>
            </w:r>
          </w:p>
        </w:tc>
      </w:tr>
      <w:tr>
        <w:trPr>
          <w:trHeight w:val="237"/>
        </w:trPr>
        <w:tc>
          <w:tcPr>
            <w:tcW w:w="8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40" w:type="dxa"/>
            <w:vAlign w:val="bottom"/>
            <w:tcBorders>
              <w:top w:val="single" w:sz="8" w:color="auto"/>
            </w:tcBorders>
            <w:shd w:val="clear" w:color="auto" w:fill="CFF0FC"/>
          </w:tcPr>
          <w:p>
            <w:pPr>
              <w:spacing w:after="0"/>
              <w:rPr>
                <w:sz w:val="20"/>
                <w:szCs w:val="20"/>
                <w:color w:val="auto"/>
              </w:rPr>
            </w:pPr>
          </w:p>
        </w:tc>
        <w:tc>
          <w:tcPr>
            <w:tcW w:w="196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CFF0FC"/>
            </w:tcBorders>
            <w:shd w:val="clear" w:color="auto" w:fill="CFF0FC"/>
          </w:tcPr>
          <w:p>
            <w:pPr>
              <w:spacing w:after="0"/>
              <w:rPr>
                <w:sz w:val="20"/>
                <w:szCs w:val="20"/>
                <w:color w:val="auto"/>
              </w:rPr>
            </w:pPr>
          </w:p>
        </w:tc>
      </w:tr>
      <w:tr>
        <w:trPr>
          <w:trHeight w:val="243"/>
        </w:trPr>
        <w:tc>
          <w:tcPr>
            <w:tcW w:w="8940" w:type="dxa"/>
            <w:vAlign w:val="bottom"/>
          </w:tcPr>
          <w:p>
            <w:pPr>
              <w:spacing w:after="0"/>
              <w:rPr>
                <w:sz w:val="20"/>
                <w:szCs w:val="20"/>
                <w:color w:val="auto"/>
              </w:rPr>
            </w:pPr>
            <w:r>
              <w:rPr>
                <w:rFonts w:ascii="Arial" w:cs="Arial" w:eastAsia="Arial" w:hAnsi="Arial"/>
                <w:sz w:val="18"/>
                <w:szCs w:val="18"/>
                <w:color w:val="auto"/>
              </w:rPr>
              <w:t>Operating cash flows from operating leases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84,764</w:t>
            </w:r>
          </w:p>
        </w:tc>
        <w:tc>
          <w:tcPr>
            <w:tcW w:w="180" w:type="dxa"/>
            <w:vAlign w:val="bottom"/>
          </w:tcPr>
          <w:p>
            <w:pPr>
              <w:spacing w:after="0"/>
              <w:rPr>
                <w:sz w:val="21"/>
                <w:szCs w:val="21"/>
                <w:color w:val="auto"/>
              </w:rPr>
            </w:pPr>
          </w:p>
        </w:tc>
      </w:tr>
      <w:tr>
        <w:trPr>
          <w:trHeight w:val="243"/>
        </w:trPr>
        <w:tc>
          <w:tcPr>
            <w:tcW w:w="89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9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r>
      <w:tr>
        <w:trPr>
          <w:trHeight w:val="243"/>
        </w:trPr>
        <w:tc>
          <w:tcPr>
            <w:tcW w:w="8940" w:type="dxa"/>
            <w:vAlign w:val="bottom"/>
          </w:tcPr>
          <w:p>
            <w:pPr>
              <w:spacing w:after="0"/>
              <w:rPr>
                <w:sz w:val="20"/>
                <w:szCs w:val="20"/>
                <w:color w:val="auto"/>
              </w:rPr>
            </w:pPr>
            <w:r>
              <w:rPr>
                <w:rFonts w:ascii="Arial" w:cs="Arial" w:eastAsia="Arial" w:hAnsi="Arial"/>
                <w:sz w:val="18"/>
                <w:szCs w:val="18"/>
                <w:color w:val="auto"/>
              </w:rPr>
              <w:t>Operating lease right-of-use assets obtained in exchange for operating lease liabilities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607,770</w:t>
            </w:r>
          </w:p>
        </w:tc>
        <w:tc>
          <w:tcPr>
            <w:tcW w:w="180" w:type="dxa"/>
            <w:vAlign w:val="bottom"/>
          </w:tcPr>
          <w:p>
            <w:pPr>
              <w:spacing w:after="0"/>
              <w:rPr>
                <w:sz w:val="21"/>
                <w:szCs w:val="21"/>
                <w:color w:val="auto"/>
              </w:rPr>
            </w:pPr>
          </w:p>
        </w:tc>
      </w:tr>
      <w:tr>
        <w:trPr>
          <w:trHeight w:val="243"/>
        </w:trPr>
        <w:tc>
          <w:tcPr>
            <w:tcW w:w="89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9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r>
      <w:tr>
        <w:trPr>
          <w:trHeight w:val="243"/>
        </w:trPr>
        <w:tc>
          <w:tcPr>
            <w:tcW w:w="8940" w:type="dxa"/>
            <w:vAlign w:val="bottom"/>
          </w:tcPr>
          <w:p>
            <w:pPr>
              <w:spacing w:after="0"/>
              <w:rPr>
                <w:sz w:val="20"/>
                <w:szCs w:val="20"/>
                <w:color w:val="auto"/>
              </w:rPr>
            </w:pPr>
            <w:r>
              <w:rPr>
                <w:rFonts w:ascii="Arial" w:cs="Arial" w:eastAsia="Arial" w:hAnsi="Arial"/>
                <w:sz w:val="18"/>
                <w:szCs w:val="18"/>
                <w:color w:val="auto"/>
              </w:rPr>
              <w:t>Weighted average remaining lease term</w:t>
            </w:r>
          </w:p>
        </w:tc>
        <w:tc>
          <w:tcPr>
            <w:tcW w:w="340" w:type="dxa"/>
            <w:vAlign w:val="bottom"/>
          </w:tcPr>
          <w:p>
            <w:pPr>
              <w:spacing w:after="0"/>
              <w:rPr>
                <w:sz w:val="21"/>
                <w:szCs w:val="21"/>
                <w:color w:val="auto"/>
              </w:rPr>
            </w:pPr>
          </w:p>
        </w:tc>
        <w:tc>
          <w:tcPr>
            <w:tcW w:w="2140" w:type="dxa"/>
            <w:vAlign w:val="bottom"/>
            <w:gridSpan w:val="2"/>
          </w:tcPr>
          <w:p>
            <w:pPr>
              <w:jc w:val="right"/>
              <w:ind w:right="180"/>
              <w:spacing w:after="0"/>
              <w:rPr>
                <w:sz w:val="20"/>
                <w:szCs w:val="20"/>
                <w:color w:val="auto"/>
              </w:rPr>
            </w:pPr>
            <w:r>
              <w:rPr>
                <w:rFonts w:ascii="Arial" w:cs="Arial" w:eastAsia="Arial" w:hAnsi="Arial"/>
                <w:sz w:val="18"/>
                <w:szCs w:val="18"/>
                <w:color w:val="auto"/>
              </w:rPr>
              <w:t>12 years</w:t>
            </w:r>
          </w:p>
        </w:tc>
      </w:tr>
      <w:tr>
        <w:trPr>
          <w:trHeight w:val="243"/>
        </w:trPr>
        <w:tc>
          <w:tcPr>
            <w:tcW w:w="89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9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r>
      <w:tr>
        <w:trPr>
          <w:trHeight w:val="243"/>
        </w:trPr>
        <w:tc>
          <w:tcPr>
            <w:tcW w:w="894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340" w:type="dxa"/>
            <w:vAlign w:val="bottom"/>
          </w:tcPr>
          <w:p>
            <w:pPr>
              <w:spacing w:after="0"/>
              <w:rPr>
                <w:sz w:val="21"/>
                <w:szCs w:val="21"/>
                <w:color w:val="auto"/>
              </w:rPr>
            </w:pPr>
          </w:p>
        </w:tc>
        <w:tc>
          <w:tcPr>
            <w:tcW w:w="214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r>
    </w:tbl>
    <w:p>
      <w:pPr>
        <w:spacing w:after="0" w:line="229" w:lineRule="exact"/>
        <w:rPr>
          <w:sz w:val="20"/>
          <w:szCs w:val="20"/>
          <w:color w:val="auto"/>
        </w:rPr>
      </w:pPr>
    </w:p>
    <w:p>
      <w:pPr>
        <w:ind w:right="480" w:firstLine="598"/>
        <w:spacing w:after="0" w:line="277" w:lineRule="auto"/>
        <w:rPr>
          <w:sz w:val="20"/>
          <w:szCs w:val="20"/>
          <w:color w:val="auto"/>
        </w:rPr>
      </w:pPr>
      <w:r>
        <w:rPr>
          <w:rFonts w:ascii="Arial" w:cs="Arial" w:eastAsia="Arial" w:hAnsi="Arial"/>
          <w:sz w:val="18"/>
          <w:szCs w:val="18"/>
          <w:color w:val="auto"/>
        </w:rPr>
        <w:t>Maturities of the operating lease liabilities outstanding at December 31, 2019 for each of the years in the period ending December 31, 2024 and thereafter are set forth in the table below.</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3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1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3780" w:type="dxa"/>
            <w:vAlign w:val="bottom"/>
            <w:shd w:val="clear" w:color="auto" w:fill="CFF0FC"/>
          </w:tcPr>
          <w:p>
            <w:pPr>
              <w:spacing w:after="0"/>
              <w:rPr>
                <w:sz w:val="20"/>
                <w:szCs w:val="20"/>
                <w:color w:val="auto"/>
              </w:rPr>
            </w:pPr>
          </w:p>
        </w:tc>
        <w:tc>
          <w:tcPr>
            <w:tcW w:w="4460" w:type="dxa"/>
            <w:vAlign w:val="bottom"/>
            <w:gridSpan w:val="2"/>
            <w:shd w:val="clear" w:color="auto" w:fill="CFF0FC"/>
          </w:tcPr>
          <w:p>
            <w:pPr>
              <w:jc w:val="right"/>
              <w:ind w:right="8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88,933</w:t>
            </w:r>
          </w:p>
        </w:tc>
        <w:tc>
          <w:tcPr>
            <w:tcW w:w="100" w:type="dxa"/>
            <w:vAlign w:val="bottom"/>
            <w:shd w:val="clear" w:color="auto" w:fill="CFF0FC"/>
          </w:tcPr>
          <w:p>
            <w:pPr>
              <w:spacing w:after="0"/>
              <w:rPr>
                <w:sz w:val="20"/>
                <w:szCs w:val="20"/>
                <w:color w:val="auto"/>
              </w:rPr>
            </w:pPr>
          </w:p>
        </w:tc>
      </w:tr>
      <w:tr>
        <w:trPr>
          <w:trHeight w:val="243"/>
        </w:trPr>
        <w:tc>
          <w:tcPr>
            <w:tcW w:w="1660" w:type="dxa"/>
            <w:vAlign w:val="bottom"/>
          </w:tcPr>
          <w:p>
            <w:pPr>
              <w:spacing w:after="0"/>
              <w:rPr>
                <w:sz w:val="20"/>
                <w:szCs w:val="20"/>
                <w:color w:val="auto"/>
              </w:rPr>
            </w:pPr>
            <w:r>
              <w:rPr>
                <w:rFonts w:ascii="Arial" w:cs="Arial" w:eastAsia="Arial" w:hAnsi="Arial"/>
                <w:sz w:val="18"/>
                <w:szCs w:val="18"/>
                <w:color w:val="auto"/>
              </w:rPr>
              <w:t>2021</w:t>
            </w:r>
          </w:p>
        </w:tc>
        <w:tc>
          <w:tcPr>
            <w:tcW w:w="378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84,485</w:t>
            </w:r>
          </w:p>
        </w:tc>
        <w:tc>
          <w:tcPr>
            <w:tcW w:w="100" w:type="dxa"/>
            <w:vAlign w:val="bottom"/>
          </w:tcPr>
          <w:p>
            <w:pPr>
              <w:spacing w:after="0"/>
              <w:rPr>
                <w:sz w:val="21"/>
                <w:szCs w:val="21"/>
                <w:color w:val="auto"/>
              </w:rPr>
            </w:pPr>
          </w:p>
        </w:tc>
      </w:tr>
      <w:tr>
        <w:trPr>
          <w:trHeight w:val="243"/>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780" w:type="dxa"/>
            <w:vAlign w:val="bottom"/>
            <w:shd w:val="clear" w:color="auto" w:fill="CFF0FC"/>
          </w:tcPr>
          <w:p>
            <w:pPr>
              <w:spacing w:after="0"/>
              <w:rPr>
                <w:sz w:val="21"/>
                <w:szCs w:val="21"/>
                <w:color w:val="auto"/>
              </w:rPr>
            </w:pPr>
          </w:p>
        </w:tc>
        <w:tc>
          <w:tcPr>
            <w:tcW w:w="35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67,618</w:t>
            </w:r>
          </w:p>
        </w:tc>
        <w:tc>
          <w:tcPr>
            <w:tcW w:w="100" w:type="dxa"/>
            <w:vAlign w:val="bottom"/>
            <w:shd w:val="clear" w:color="auto" w:fill="CFF0FC"/>
          </w:tcPr>
          <w:p>
            <w:pPr>
              <w:spacing w:after="0"/>
              <w:rPr>
                <w:sz w:val="21"/>
                <w:szCs w:val="21"/>
                <w:color w:val="auto"/>
              </w:rPr>
            </w:pPr>
          </w:p>
        </w:tc>
      </w:tr>
      <w:tr>
        <w:trPr>
          <w:trHeight w:val="243"/>
        </w:trPr>
        <w:tc>
          <w:tcPr>
            <w:tcW w:w="1660" w:type="dxa"/>
            <w:vAlign w:val="bottom"/>
          </w:tcPr>
          <w:p>
            <w:pPr>
              <w:spacing w:after="0"/>
              <w:rPr>
                <w:sz w:val="20"/>
                <w:szCs w:val="20"/>
                <w:color w:val="auto"/>
              </w:rPr>
            </w:pPr>
            <w:r>
              <w:rPr>
                <w:rFonts w:ascii="Arial" w:cs="Arial" w:eastAsia="Arial" w:hAnsi="Arial"/>
                <w:sz w:val="18"/>
                <w:szCs w:val="18"/>
                <w:color w:val="auto"/>
              </w:rPr>
              <w:t>2023</w:t>
            </w:r>
          </w:p>
        </w:tc>
        <w:tc>
          <w:tcPr>
            <w:tcW w:w="378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62,647</w:t>
            </w:r>
          </w:p>
        </w:tc>
        <w:tc>
          <w:tcPr>
            <w:tcW w:w="100" w:type="dxa"/>
            <w:vAlign w:val="bottom"/>
          </w:tcPr>
          <w:p>
            <w:pPr>
              <w:spacing w:after="0"/>
              <w:rPr>
                <w:sz w:val="21"/>
                <w:szCs w:val="21"/>
                <w:color w:val="auto"/>
              </w:rPr>
            </w:pPr>
          </w:p>
        </w:tc>
      </w:tr>
      <w:tr>
        <w:trPr>
          <w:trHeight w:val="243"/>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3780" w:type="dxa"/>
            <w:vAlign w:val="bottom"/>
            <w:shd w:val="clear" w:color="auto" w:fill="CFF0FC"/>
          </w:tcPr>
          <w:p>
            <w:pPr>
              <w:spacing w:after="0"/>
              <w:rPr>
                <w:sz w:val="21"/>
                <w:szCs w:val="21"/>
                <w:color w:val="auto"/>
              </w:rPr>
            </w:pPr>
          </w:p>
        </w:tc>
        <w:tc>
          <w:tcPr>
            <w:tcW w:w="35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61,417</w:t>
            </w:r>
          </w:p>
        </w:tc>
        <w:tc>
          <w:tcPr>
            <w:tcW w:w="100" w:type="dxa"/>
            <w:vAlign w:val="bottom"/>
            <w:shd w:val="clear" w:color="auto" w:fill="CFF0FC"/>
          </w:tcPr>
          <w:p>
            <w:pPr>
              <w:spacing w:after="0"/>
              <w:rPr>
                <w:sz w:val="21"/>
                <w:szCs w:val="21"/>
                <w:color w:val="auto"/>
              </w:rPr>
            </w:pPr>
          </w:p>
        </w:tc>
      </w:tr>
      <w:tr>
        <w:trPr>
          <w:trHeight w:val="243"/>
        </w:trPr>
        <w:tc>
          <w:tcPr>
            <w:tcW w:w="54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3580" w:type="dxa"/>
            <w:vAlign w:val="bottom"/>
            <w:tcBorders>
              <w:bottom w:val="single" w:sz="8" w:color="CFF0FC"/>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428,409</w:t>
            </w:r>
          </w:p>
        </w:tc>
        <w:tc>
          <w:tcPr>
            <w:tcW w:w="100" w:type="dxa"/>
            <w:vAlign w:val="bottom"/>
            <w:tcBorders>
              <w:bottom w:val="single" w:sz="8" w:color="CFF0FC"/>
            </w:tcBorders>
          </w:tcPr>
          <w:p>
            <w:pPr>
              <w:spacing w:after="0"/>
              <w:rPr>
                <w:sz w:val="21"/>
                <w:szCs w:val="21"/>
                <w:color w:val="auto"/>
              </w:rPr>
            </w:pPr>
          </w:p>
        </w:tc>
      </w:tr>
      <w:tr>
        <w:trPr>
          <w:trHeight w:val="237"/>
        </w:trPr>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35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793,509</w:t>
            </w:r>
          </w:p>
        </w:tc>
        <w:tc>
          <w:tcPr>
            <w:tcW w:w="100" w:type="dxa"/>
            <w:vAlign w:val="bottom"/>
            <w:shd w:val="clear" w:color="auto" w:fill="CFF0FC"/>
          </w:tcPr>
          <w:p>
            <w:pPr>
              <w:spacing w:after="0"/>
              <w:rPr>
                <w:sz w:val="20"/>
                <w:szCs w:val="20"/>
                <w:color w:val="auto"/>
              </w:rPr>
            </w:pPr>
          </w:p>
        </w:tc>
      </w:tr>
      <w:tr>
        <w:trPr>
          <w:trHeight w:val="243"/>
        </w:trPr>
        <w:tc>
          <w:tcPr>
            <w:tcW w:w="54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Less - Discount</w:t>
            </w:r>
          </w:p>
        </w:tc>
        <w:tc>
          <w:tcPr>
            <w:tcW w:w="3580" w:type="dxa"/>
            <w:vAlign w:val="bottom"/>
            <w:tcBorders>
              <w:bottom w:val="single" w:sz="8" w:color="CFF0FC"/>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149,701</w:t>
            </w:r>
          </w:p>
        </w:tc>
        <w:tc>
          <w:tcPr>
            <w:tcW w:w="100" w:type="dxa"/>
            <w:vAlign w:val="bottom"/>
            <w:tcBorders>
              <w:bottom w:val="single" w:sz="8" w:color="CFF0FC"/>
            </w:tcBorders>
          </w:tcPr>
          <w:p>
            <w:pPr>
              <w:spacing w:after="0"/>
              <w:rPr>
                <w:sz w:val="21"/>
                <w:szCs w:val="21"/>
                <w:color w:val="auto"/>
              </w:rPr>
            </w:pPr>
          </w:p>
        </w:tc>
      </w:tr>
      <w:tr>
        <w:trPr>
          <w:trHeight w:val="237"/>
        </w:trPr>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 liabilities</w:t>
            </w:r>
          </w:p>
        </w:tc>
        <w:tc>
          <w:tcPr>
            <w:tcW w:w="4460" w:type="dxa"/>
            <w:vAlign w:val="bottom"/>
            <w:gridSpan w:val="2"/>
            <w:shd w:val="clear" w:color="auto" w:fill="CFF0FC"/>
          </w:tcPr>
          <w:p>
            <w:pPr>
              <w:jc w:val="right"/>
              <w:ind w:right="8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643,808</w:t>
            </w:r>
          </w:p>
        </w:tc>
        <w:tc>
          <w:tcPr>
            <w:tcW w:w="100" w:type="dxa"/>
            <w:vAlign w:val="bottom"/>
            <w:shd w:val="clear" w:color="auto" w:fill="CFF0FC"/>
          </w:tcPr>
          <w:p>
            <w:pPr>
              <w:spacing w:after="0"/>
              <w:rPr>
                <w:sz w:val="20"/>
                <w:szCs w:val="20"/>
                <w:color w:val="auto"/>
              </w:rPr>
            </w:pPr>
          </w:p>
        </w:tc>
      </w:tr>
      <w:tr>
        <w:trPr>
          <w:trHeight w:val="20"/>
        </w:trPr>
        <w:tc>
          <w:tcPr>
            <w:tcW w:w="1660" w:type="dxa"/>
            <w:vAlign w:val="bottom"/>
            <w:tcBorders>
              <w:top w:val="single" w:sz="8" w:color="CFF0FC"/>
            </w:tcBorders>
          </w:tcPr>
          <w:p>
            <w:pPr>
              <w:spacing w:after="0" w:line="20" w:lineRule="exact"/>
              <w:rPr>
                <w:sz w:val="1"/>
                <w:szCs w:val="1"/>
                <w:color w:val="auto"/>
              </w:rPr>
            </w:pPr>
          </w:p>
        </w:tc>
        <w:tc>
          <w:tcPr>
            <w:tcW w:w="3780" w:type="dxa"/>
            <w:vAlign w:val="bottom"/>
            <w:tcBorders>
              <w:top w:val="single" w:sz="8" w:color="CFF0FC"/>
            </w:tcBorders>
          </w:tcPr>
          <w:p>
            <w:pPr>
              <w:spacing w:after="0" w:line="20" w:lineRule="exact"/>
              <w:rPr>
                <w:sz w:val="1"/>
                <w:szCs w:val="1"/>
                <w:color w:val="auto"/>
              </w:rPr>
            </w:pPr>
          </w:p>
        </w:tc>
        <w:tc>
          <w:tcPr>
            <w:tcW w:w="358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29" w:lineRule="exact"/>
        <w:rPr>
          <w:sz w:val="20"/>
          <w:szCs w:val="20"/>
          <w:color w:val="auto"/>
        </w:rPr>
      </w:pPr>
    </w:p>
    <w:p>
      <w:pPr>
        <w:ind w:right="80" w:firstLine="598"/>
        <w:spacing w:after="0" w:line="264" w:lineRule="auto"/>
        <w:rPr>
          <w:sz w:val="20"/>
          <w:szCs w:val="20"/>
          <w:color w:val="auto"/>
        </w:rPr>
      </w:pPr>
      <w:r>
        <w:rPr>
          <w:rFonts w:ascii="Arial" w:cs="Arial" w:eastAsia="Arial" w:hAnsi="Arial"/>
          <w:sz w:val="18"/>
          <w:szCs w:val="18"/>
          <w:color w:val="auto"/>
        </w:rPr>
        <w:t>In August 2018, the Company entered into a lease agreement for additional office facilities, which were under construction. The lease commenced in the third quarter of 2019 when the facilities were delivered to the Company. The Company recognized the related operating lease right-of-use assets and the operating lease liability on the lease commencement date.</w:t>
      </w:r>
    </w:p>
    <w:p>
      <w:pPr>
        <w:spacing w:after="0" w:line="181" w:lineRule="exact"/>
        <w:rPr>
          <w:sz w:val="20"/>
          <w:szCs w:val="20"/>
          <w:color w:val="auto"/>
        </w:rPr>
      </w:pPr>
    </w:p>
    <w:p>
      <w:pPr>
        <w:ind w:right="40" w:firstLine="598"/>
        <w:spacing w:after="0" w:line="277" w:lineRule="auto"/>
        <w:rPr>
          <w:sz w:val="20"/>
          <w:szCs w:val="20"/>
          <w:color w:val="auto"/>
        </w:rPr>
      </w:pPr>
      <w:r>
        <w:rPr>
          <w:rFonts w:ascii="Arial" w:cs="Arial" w:eastAsia="Arial" w:hAnsi="Arial"/>
          <w:sz w:val="18"/>
          <w:szCs w:val="18"/>
          <w:color w:val="auto"/>
        </w:rPr>
        <w:t>Prior to the adoption of the new lease accounting guidance, the minimum rental commitments under non-cancelable operating leases at December 31, 2018, net of sublease income, were approximately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4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2019</w:t>
            </w:r>
          </w:p>
        </w:tc>
        <w:tc>
          <w:tcPr>
            <w:tcW w:w="2460" w:type="dxa"/>
            <w:vAlign w:val="bottom"/>
            <w:shd w:val="clear" w:color="auto" w:fill="CFF0FC"/>
          </w:tcPr>
          <w:p>
            <w:pPr>
              <w:spacing w:after="0"/>
              <w:rPr>
                <w:sz w:val="20"/>
                <w:szCs w:val="20"/>
                <w:color w:val="auto"/>
              </w:rPr>
            </w:pPr>
          </w:p>
        </w:tc>
        <w:tc>
          <w:tcPr>
            <w:tcW w:w="5780" w:type="dxa"/>
            <w:vAlign w:val="bottom"/>
            <w:gridSpan w:val="2"/>
            <w:shd w:val="clear" w:color="auto" w:fill="CFF0FC"/>
          </w:tcPr>
          <w:p>
            <w:pPr>
              <w:jc w:val="right"/>
              <w:ind w:right="8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86,664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660" w:type="dxa"/>
            <w:vAlign w:val="bottom"/>
          </w:tcPr>
          <w:p>
            <w:pPr>
              <w:spacing w:after="0"/>
              <w:rPr>
                <w:sz w:val="20"/>
                <w:szCs w:val="20"/>
                <w:color w:val="auto"/>
              </w:rPr>
            </w:pPr>
            <w:r>
              <w:rPr>
                <w:rFonts w:ascii="Arial" w:cs="Arial" w:eastAsia="Arial" w:hAnsi="Arial"/>
                <w:sz w:val="18"/>
                <w:szCs w:val="18"/>
                <w:color w:val="auto"/>
              </w:rPr>
              <w:t>2020</w:t>
            </w:r>
          </w:p>
        </w:tc>
        <w:tc>
          <w:tcPr>
            <w:tcW w:w="246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89,260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460" w:type="dxa"/>
            <w:vAlign w:val="bottom"/>
            <w:shd w:val="clear" w:color="auto" w:fill="CFF0FC"/>
          </w:tcPr>
          <w:p>
            <w:pPr>
              <w:spacing w:after="0"/>
              <w:rPr>
                <w:sz w:val="21"/>
                <w:szCs w:val="21"/>
                <w:color w:val="auto"/>
              </w:rPr>
            </w:pPr>
          </w:p>
        </w:tc>
        <w:tc>
          <w:tcPr>
            <w:tcW w:w="49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83,517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60" w:type="dxa"/>
            <w:vAlign w:val="bottom"/>
          </w:tcPr>
          <w:p>
            <w:pPr>
              <w:spacing w:after="0"/>
              <w:rPr>
                <w:sz w:val="20"/>
                <w:szCs w:val="20"/>
                <w:color w:val="auto"/>
              </w:rPr>
            </w:pPr>
            <w:r>
              <w:rPr>
                <w:rFonts w:ascii="Arial" w:cs="Arial" w:eastAsia="Arial" w:hAnsi="Arial"/>
                <w:sz w:val="18"/>
                <w:szCs w:val="18"/>
                <w:color w:val="auto"/>
              </w:rPr>
              <w:t>2022</w:t>
            </w:r>
          </w:p>
        </w:tc>
        <w:tc>
          <w:tcPr>
            <w:tcW w:w="246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70,611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460" w:type="dxa"/>
            <w:vAlign w:val="bottom"/>
            <w:shd w:val="clear" w:color="auto" w:fill="CFF0FC"/>
          </w:tcPr>
          <w:p>
            <w:pPr>
              <w:spacing w:after="0"/>
              <w:rPr>
                <w:sz w:val="21"/>
                <w:szCs w:val="21"/>
                <w:color w:val="auto"/>
              </w:rPr>
            </w:pPr>
          </w:p>
        </w:tc>
        <w:tc>
          <w:tcPr>
            <w:tcW w:w="49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59,973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4900" w:type="dxa"/>
            <w:vAlign w:val="bottom"/>
            <w:tcBorders>
              <w:bottom w:val="single" w:sz="8" w:color="CFF0FC"/>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488,612</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minimum rental commitments</w:t>
            </w:r>
          </w:p>
        </w:tc>
        <w:tc>
          <w:tcPr>
            <w:tcW w:w="49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878,637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Less - sublease proceeds</w:t>
            </w:r>
          </w:p>
        </w:tc>
        <w:tc>
          <w:tcPr>
            <w:tcW w:w="4900" w:type="dxa"/>
            <w:vAlign w:val="bottom"/>
            <w:tcBorders>
              <w:bottom w:val="single" w:sz="8" w:color="CFF0FC"/>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26,941</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rental commitments</w:t>
            </w:r>
          </w:p>
        </w:tc>
        <w:tc>
          <w:tcPr>
            <w:tcW w:w="5780" w:type="dxa"/>
            <w:vAlign w:val="bottom"/>
            <w:gridSpan w:val="2"/>
            <w:shd w:val="clear" w:color="auto" w:fill="CFF0FC"/>
          </w:tcPr>
          <w:p>
            <w:pPr>
              <w:jc w:val="right"/>
              <w:ind w:right="8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851,696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60" w:type="dxa"/>
            <w:vAlign w:val="bottom"/>
            <w:tcBorders>
              <w:top w:val="single" w:sz="8" w:color="CFF0FC"/>
            </w:tcBorders>
          </w:tcPr>
          <w:p>
            <w:pPr>
              <w:spacing w:after="0" w:line="20" w:lineRule="exact"/>
              <w:rPr>
                <w:sz w:val="1"/>
                <w:szCs w:val="1"/>
                <w:color w:val="auto"/>
              </w:rPr>
            </w:pPr>
          </w:p>
        </w:tc>
        <w:tc>
          <w:tcPr>
            <w:tcW w:w="2460" w:type="dxa"/>
            <w:vAlign w:val="bottom"/>
            <w:tcBorders>
              <w:top w:val="single" w:sz="8" w:color="CFF0FC"/>
            </w:tcBorders>
          </w:tcPr>
          <w:p>
            <w:pPr>
              <w:spacing w:after="0" w:line="20" w:lineRule="exact"/>
              <w:rPr>
                <w:sz w:val="1"/>
                <w:szCs w:val="1"/>
                <w:color w:val="auto"/>
              </w:rPr>
            </w:pPr>
          </w:p>
        </w:tc>
        <w:tc>
          <w:tcPr>
            <w:tcW w:w="4900" w:type="dxa"/>
            <w:vAlign w:val="bottom"/>
            <w:tcBorders>
              <w:top w:val="single" w:sz="8" w:color="CFF0FC"/>
              <w:bottom w:val="single" w:sz="8" w:color="CFF0FC"/>
            </w:tcBorders>
            <w:vMerge w:val="restart"/>
          </w:tcPr>
          <w:p>
            <w:pPr>
              <w:jc w:val="right"/>
              <w:ind w:right="3130"/>
              <w:spacing w:after="0"/>
              <w:rPr>
                <w:sz w:val="20"/>
                <w:szCs w:val="20"/>
                <w:color w:val="auto"/>
              </w:rPr>
            </w:pPr>
            <w:r>
              <w:rPr>
                <w:rFonts w:ascii="Arial" w:cs="Arial" w:eastAsia="Arial" w:hAnsi="Arial"/>
                <w:sz w:val="18"/>
                <w:szCs w:val="18"/>
                <w:color w:val="auto"/>
              </w:rPr>
              <w:t>99</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6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6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49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40" w:lineRule="exact"/>
        <w:rPr>
          <w:sz w:val="20"/>
          <w:szCs w:val="20"/>
          <w:color w:val="auto"/>
        </w:rPr>
      </w:pPr>
    </w:p>
    <w:p>
      <w:pPr>
        <w:ind w:left="600" w:hanging="592"/>
        <w:spacing w:after="0"/>
        <w:tabs>
          <w:tab w:leader="none" w:pos="600" w:val="left"/>
        </w:tabs>
        <w:numPr>
          <w:ilvl w:val="0"/>
          <w:numId w:val="7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117" w:lineRule="exact"/>
        <w:rPr>
          <w:rFonts w:ascii="Arial" w:cs="Arial" w:eastAsia="Arial" w:hAnsi="Arial"/>
          <w:sz w:val="18"/>
          <w:szCs w:val="18"/>
          <w:b w:val="1"/>
          <w:bCs w:val="1"/>
          <w:i w:val="1"/>
          <w:iCs w:val="1"/>
          <w:color w:val="auto"/>
        </w:rPr>
      </w:pPr>
    </w:p>
    <w:p>
      <w:pPr>
        <w:ind w:left="60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components of goodwill and other intangible assets at December 31, 2019 and 2018 are presented below:</w:t>
      </w:r>
    </w:p>
    <w:p>
      <w:pPr>
        <w:spacing w:after="0" w:line="311"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54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w w:val="96"/>
              </w:rPr>
              <w:t>2018</w:t>
            </w:r>
          </w:p>
        </w:tc>
        <w:tc>
          <w:tcPr>
            <w:tcW w:w="60" w:type="dxa"/>
            <w:vAlign w:val="bottom"/>
            <w:tcBorders>
              <w:bottom w:val="single" w:sz="8" w:color="CFF0FC"/>
            </w:tcBorders>
          </w:tcPr>
          <w:p>
            <w:pPr>
              <w:spacing w:after="0"/>
              <w:rPr>
                <w:sz w:val="13"/>
                <w:szCs w:val="13"/>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350,029</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350,829</w:t>
            </w:r>
          </w:p>
        </w:tc>
        <w:tc>
          <w:tcPr>
            <w:tcW w:w="60" w:type="dxa"/>
            <w:vAlign w:val="bottom"/>
            <w:shd w:val="clear" w:color="auto" w:fill="CFF0FC"/>
          </w:tcPr>
          <w:p>
            <w:pPr>
              <w:spacing w:after="0"/>
              <w:rPr>
                <w:sz w:val="19"/>
                <w:szCs w:val="19"/>
                <w:color w:val="auto"/>
              </w:rPr>
            </w:pPr>
          </w:p>
        </w:tc>
      </w:tr>
      <w:tr>
        <w:trPr>
          <w:trHeight w:val="215"/>
        </w:trPr>
        <w:tc>
          <w:tcPr>
            <w:tcW w:w="5460" w:type="dxa"/>
            <w:vAlign w:val="bottom"/>
          </w:tcPr>
          <w:p>
            <w:pPr>
              <w:spacing w:after="0"/>
              <w:rPr>
                <w:sz w:val="20"/>
                <w:szCs w:val="20"/>
                <w:color w:val="auto"/>
              </w:rPr>
            </w:pPr>
            <w:r>
              <w:rPr>
                <w:rFonts w:ascii="Arial" w:cs="Arial" w:eastAsia="Arial" w:hAnsi="Arial"/>
                <w:sz w:val="18"/>
                <w:szCs w:val="18"/>
                <w:color w:val="auto"/>
              </w:rPr>
              <w:t>Other intangible assets (net of accumulated</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54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amortization)</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w:t>
            </w:r>
          </w:p>
        </w:tc>
        <w:tc>
          <w:tcPr>
            <w:tcW w:w="18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3,634</w:t>
            </w:r>
          </w:p>
        </w:tc>
        <w:tc>
          <w:tcPr>
            <w:tcW w:w="60" w:type="dxa"/>
            <w:vAlign w:val="bottom"/>
            <w:tcBorders>
              <w:bottom w:val="single" w:sz="8" w:color="CFF0FC"/>
            </w:tcBorders>
          </w:tcPr>
          <w:p>
            <w:pPr>
              <w:spacing w:after="0"/>
              <w:rPr>
                <w:sz w:val="20"/>
                <w:szCs w:val="20"/>
                <w:color w:val="auto"/>
              </w:rPr>
            </w:pPr>
          </w:p>
        </w:tc>
      </w:tr>
      <w:tr>
        <w:trPr>
          <w:trHeight w:val="223"/>
        </w:trPr>
        <w:tc>
          <w:tcPr>
            <w:tcW w:w="54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351,797</w:t>
            </w:r>
          </w:p>
        </w:tc>
        <w:tc>
          <w:tcPr>
            <w:tcW w:w="1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354,463</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At December 31, 2019 and 2018, goodwill of $285,488 and $286,288, respectively, was attributable to the Company’s Financial Advisory segment and, at each such respective date, $64,541 of goodwill was attributable to the Company’s Asset Management segment.</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Changes in the carrying amount of goodwill for the years ended December 31, 2019, 2018 and 2017 are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7"/>
          </w:tcPr>
          <w:p>
            <w:pPr>
              <w:jc w:val="right"/>
              <w:ind w:right="25"/>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46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3"/>
                <w:szCs w:val="13"/>
                <w:color w:val="auto"/>
              </w:rPr>
            </w:pPr>
          </w:p>
        </w:tc>
      </w:tr>
      <w:tr>
        <w:trPr>
          <w:trHeight w:val="223"/>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350,829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362,760</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352,124</w:t>
            </w:r>
          </w:p>
        </w:tc>
        <w:tc>
          <w:tcPr>
            <w:tcW w:w="60" w:type="dxa"/>
            <w:vAlign w:val="bottom"/>
            <w:shd w:val="clear" w:color="auto" w:fill="CFF0FC"/>
          </w:tcPr>
          <w:p>
            <w:pPr>
              <w:spacing w:after="0"/>
              <w:rPr>
                <w:sz w:val="19"/>
                <w:szCs w:val="19"/>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(11,931)</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10,636</w:t>
            </w:r>
          </w:p>
        </w:tc>
        <w:tc>
          <w:tcPr>
            <w:tcW w:w="60" w:type="dxa"/>
            <w:vAlign w:val="bottom"/>
          </w:tcPr>
          <w:p>
            <w:pPr>
              <w:spacing w:after="0"/>
              <w:rPr>
                <w:sz w:val="19"/>
                <w:szCs w:val="19"/>
                <w:color w:val="auto"/>
              </w:rPr>
            </w:pPr>
          </w:p>
        </w:tc>
      </w:tr>
      <w:tr>
        <w:trPr>
          <w:trHeight w:val="223"/>
        </w:trPr>
        <w:tc>
          <w:tcPr>
            <w:tcW w:w="4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350,029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350,829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362,760</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0" w:firstLine="598"/>
        <w:spacing w:after="0" w:line="277" w:lineRule="auto"/>
        <w:rPr>
          <w:sz w:val="20"/>
          <w:szCs w:val="20"/>
          <w:color w:val="auto"/>
        </w:rPr>
      </w:pPr>
      <w:r>
        <w:rPr>
          <w:rFonts w:ascii="Arial" w:cs="Arial" w:eastAsia="Arial" w:hAnsi="Arial"/>
          <w:sz w:val="18"/>
          <w:szCs w:val="18"/>
          <w:color w:val="auto"/>
        </w:rPr>
        <w:t>All changes in the carrying amount of goodwill for the years ended December 31, 2019, 2018 and 2017 are attributable to the Company’s Financial Advisory segment.</w:t>
      </w:r>
    </w:p>
    <w:p>
      <w:pPr>
        <w:spacing w:after="0" w:line="170" w:lineRule="exact"/>
        <w:rPr>
          <w:sz w:val="20"/>
          <w:szCs w:val="20"/>
          <w:color w:val="auto"/>
        </w:rPr>
      </w:pPr>
    </w:p>
    <w:p>
      <w:pPr>
        <w:jc w:val="both"/>
        <w:ind w:right="40" w:firstLine="598"/>
        <w:spacing w:after="0" w:line="342" w:lineRule="auto"/>
        <w:rPr>
          <w:sz w:val="20"/>
          <w:szCs w:val="20"/>
          <w:color w:val="auto"/>
        </w:rPr>
      </w:pPr>
      <w:r>
        <w:rPr>
          <w:rFonts w:ascii="Arial" w:cs="Arial" w:eastAsia="Arial" w:hAnsi="Arial"/>
          <w:sz w:val="16"/>
          <w:szCs w:val="16"/>
          <w:color w:val="auto"/>
        </w:rPr>
        <w:t>The Company evaluates goodwill for impairment annually or more frequently if circumstances indicate that impairment may have occurred. Pursuant to the Company’s goodwill impairment review for the years ended December 31, 2019, 2018 and 2017, the Company determined that no impairment existed.</w:t>
      </w:r>
    </w:p>
    <w:p>
      <w:pPr>
        <w:spacing w:after="0" w:line="12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gross cost and accumulated amortization of other intangible assets as of December 31, 2019 and 2018, by major intangible asset category, are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December 31, 2019</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10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39"/>
              <w:spacing w:after="0" w:line="133" w:lineRule="exact"/>
              <w:rPr>
                <w:sz w:val="20"/>
                <w:szCs w:val="20"/>
                <w:color w:val="auto"/>
              </w:rPr>
            </w:pPr>
            <w:r>
              <w:rPr>
                <w:rFonts w:ascii="Arial" w:cs="Arial" w:eastAsia="Arial" w:hAnsi="Arial"/>
                <w:sz w:val="14"/>
                <w:szCs w:val="14"/>
                <w:b w:val="1"/>
                <w:bCs w:val="1"/>
                <w:color w:val="auto"/>
                <w:w w:val="97"/>
              </w:rPr>
              <w:t>Net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108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79"/>
              <w:spacing w:after="0" w:line="133"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36"/>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Amortization</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720" w:type="dxa"/>
            <w:vAlign w:val="bottom"/>
          </w:tcPr>
          <w:p>
            <w:pPr>
              <w:jc w:val="right"/>
              <w:ind w:right="237"/>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Amortization</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23"/>
        </w:trPr>
        <w:tc>
          <w:tcPr>
            <w:tcW w:w="4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Success/incentive fees</w:t>
            </w:r>
          </w:p>
        </w:tc>
        <w:tc>
          <w:tcPr>
            <w:tcW w:w="7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33,040</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31,542</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1,498</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33,040</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30,043</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40" w:type="dxa"/>
            <w:vAlign w:val="bottom"/>
          </w:tcPr>
          <w:p>
            <w:pPr>
              <w:spacing w:after="0"/>
              <w:rPr>
                <w:sz w:val="20"/>
                <w:szCs w:val="20"/>
                <w:color w:val="auto"/>
              </w:rPr>
            </w:pPr>
            <w:r>
              <w:rPr>
                <w:rFonts w:ascii="Arial" w:cs="Arial" w:eastAsia="Arial" w:hAnsi="Arial"/>
                <w:sz w:val="18"/>
                <w:szCs w:val="18"/>
                <w:color w:val="auto"/>
              </w:rPr>
              <w:t>Management fees, customer relationships and</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non-compete agreements</w:t>
            </w:r>
          </w:p>
        </w:tc>
        <w:tc>
          <w:tcPr>
            <w:tcW w:w="7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34,485</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34,215</w:t>
            </w:r>
          </w:p>
        </w:tc>
        <w:tc>
          <w:tcPr>
            <w:tcW w:w="18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34,185</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33,548</w:t>
            </w:r>
          </w:p>
        </w:tc>
        <w:tc>
          <w:tcPr>
            <w:tcW w:w="18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4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67,525</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65,757</w:t>
            </w: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1,768</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67,225</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63,591</w:t>
            </w: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32" w:lineRule="exact"/>
        <w:rPr>
          <w:sz w:val="20"/>
          <w:szCs w:val="20"/>
          <w:color w:val="auto"/>
        </w:rPr>
      </w:pPr>
    </w:p>
    <w:p>
      <w:pPr>
        <w:jc w:val="both"/>
        <w:ind w:right="120" w:firstLine="598"/>
        <w:spacing w:after="0" w:line="264" w:lineRule="auto"/>
        <w:rPr>
          <w:sz w:val="20"/>
          <w:szCs w:val="20"/>
          <w:color w:val="auto"/>
        </w:rPr>
      </w:pPr>
      <w:r>
        <w:rPr>
          <w:rFonts w:ascii="Arial" w:cs="Arial" w:eastAsia="Arial" w:hAnsi="Arial"/>
          <w:sz w:val="18"/>
          <w:szCs w:val="18"/>
          <w:color w:val="auto"/>
        </w:rPr>
        <w:t>Amortization expense of intangible assets, included in “amortization and other acquisition-related (benefits) costs” in the consolidated statements of operations, for the years ended December 31, 2019, 2018 and 2017 was $2,166, $2,389 and $1,584, respectively. Estimated future amortization expense is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71"/>
        </w:trPr>
        <w:tc>
          <w:tcPr>
            <w:tcW w:w="94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Expense</w:t>
            </w:r>
          </w:p>
        </w:tc>
        <w:tc>
          <w:tcPr>
            <w:tcW w:w="0" w:type="dxa"/>
            <w:vAlign w:val="bottom"/>
          </w:tcPr>
          <w:p>
            <w:pPr>
              <w:spacing w:after="0"/>
              <w:rPr>
                <w:sz w:val="1"/>
                <w:szCs w:val="1"/>
                <w:color w:val="auto"/>
              </w:rPr>
            </w:pPr>
          </w:p>
        </w:tc>
      </w:tr>
      <w:tr>
        <w:trPr>
          <w:trHeight w:val="223"/>
        </w:trPr>
        <w:tc>
          <w:tcPr>
            <w:tcW w:w="9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0" w:type="dxa"/>
            <w:vAlign w:val="bottom"/>
          </w:tcPr>
          <w:p>
            <w:pPr>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0" w:type="dxa"/>
            <w:vAlign w:val="bottom"/>
          </w:tcPr>
          <w:p>
            <w:pPr>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400" w:type="dxa"/>
            <w:vAlign w:val="bottom"/>
            <w:gridSpan w:val="2"/>
          </w:tcPr>
          <w:p>
            <w:pPr>
              <w:spacing w:after="0"/>
              <w:rPr>
                <w:sz w:val="20"/>
                <w:szCs w:val="20"/>
                <w:color w:val="auto"/>
              </w:rPr>
            </w:pPr>
            <w:r>
              <w:rPr>
                <w:rFonts w:ascii="Arial" w:cs="Arial" w:eastAsia="Arial" w:hAnsi="Arial"/>
                <w:sz w:val="18"/>
                <w:szCs w:val="18"/>
                <w:color w:val="auto"/>
              </w:rPr>
              <w:t>Total amortization expense</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600" w:hanging="592"/>
        <w:spacing w:after="0"/>
        <w:tabs>
          <w:tab w:leader="none" w:pos="600" w:val="left"/>
        </w:tabs>
        <w:numPr>
          <w:ilvl w:val="0"/>
          <w:numId w:val="7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OTHER ASSETS AND OTHER LIABILITIES</w:t>
      </w:r>
    </w:p>
    <w:p>
      <w:pPr>
        <w:spacing w:after="0" w:line="117" w:lineRule="exact"/>
        <w:rPr>
          <w:rFonts w:ascii="Arial" w:cs="Arial" w:eastAsia="Arial" w:hAnsi="Arial"/>
          <w:sz w:val="18"/>
          <w:szCs w:val="18"/>
          <w:b w:val="1"/>
          <w:bCs w:val="1"/>
          <w:i w:val="1"/>
          <w:iCs w:val="1"/>
          <w:color w:val="auto"/>
        </w:rPr>
      </w:pPr>
    </w:p>
    <w:p>
      <w:pPr>
        <w:ind w:left="60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following table sets forth the Company’s other assets, by type, as of December 31, 2019 and 2018:</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70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0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5"/>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Current income and other tax receivables</w:t>
            </w: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58,355</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35,269</w:t>
            </w:r>
          </w:p>
        </w:tc>
        <w:tc>
          <w:tcPr>
            <w:tcW w:w="120" w:type="dxa"/>
            <w:vAlign w:val="bottom"/>
            <w:shd w:val="clear" w:color="auto" w:fill="CFF0FC"/>
          </w:tcPr>
          <w:p>
            <w:pPr>
              <w:spacing w:after="0"/>
              <w:rPr>
                <w:sz w:val="19"/>
                <w:szCs w:val="19"/>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Prepaid compensation (see Note 16)</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74,597</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76,362</w:t>
            </w:r>
          </w:p>
        </w:tc>
        <w:tc>
          <w:tcPr>
            <w:tcW w:w="120" w:type="dxa"/>
            <w:vAlign w:val="bottom"/>
          </w:tcPr>
          <w:p>
            <w:pPr>
              <w:spacing w:after="0"/>
              <w:rPr>
                <w:sz w:val="19"/>
                <w:szCs w:val="19"/>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Other advances and prepayments</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43,042</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66,248</w:t>
            </w:r>
          </w:p>
        </w:tc>
        <w:tc>
          <w:tcPr>
            <w:tcW w:w="120" w:type="dxa"/>
            <w:vAlign w:val="bottom"/>
            <w:shd w:val="clear" w:color="auto" w:fill="CFF0FC"/>
          </w:tcPr>
          <w:p>
            <w:pPr>
              <w:spacing w:after="0"/>
              <w:rPr>
                <w:sz w:val="19"/>
                <w:szCs w:val="19"/>
                <w:color w:val="auto"/>
              </w:rPr>
            </w:pPr>
          </w:p>
        </w:tc>
      </w:tr>
      <w:tr>
        <w:trPr>
          <w:trHeight w:val="230"/>
        </w:trPr>
        <w:tc>
          <w:tcPr>
            <w:tcW w:w="7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80,441</w:t>
            </w:r>
          </w:p>
        </w:tc>
        <w:tc>
          <w:tcPr>
            <w:tcW w:w="2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80,534</w:t>
            </w:r>
          </w:p>
        </w:tc>
        <w:tc>
          <w:tcPr>
            <w:tcW w:w="120" w:type="dxa"/>
            <w:vAlign w:val="bottom"/>
            <w:tcBorders>
              <w:bottom w:val="single" w:sz="8" w:color="CFF0FC"/>
            </w:tcBorders>
          </w:tcPr>
          <w:p>
            <w:pPr>
              <w:spacing w:after="0"/>
              <w:rPr>
                <w:sz w:val="19"/>
                <w:szCs w:val="19"/>
                <w:color w:val="auto"/>
              </w:rPr>
            </w:pPr>
          </w:p>
        </w:tc>
      </w:tr>
      <w:tr>
        <w:trPr>
          <w:trHeight w:val="223"/>
        </w:trPr>
        <w:tc>
          <w:tcPr>
            <w:tcW w:w="7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256,435</w:t>
            </w:r>
          </w:p>
        </w:tc>
        <w:tc>
          <w:tcPr>
            <w:tcW w:w="2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258,413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sets forth the Company’s other liabilities, by type, as of December 31, 2019 and 2018:</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1180" w:type="dxa"/>
            <w:vAlign w:val="bottom"/>
            <w:tcBorders>
              <w:bottom w:val="single" w:sz="8" w:color="CFF0FC"/>
            </w:tcBorders>
          </w:tcPr>
          <w:p>
            <w:pPr>
              <w:spacing w:after="0"/>
              <w:rPr>
                <w:sz w:val="13"/>
                <w:szCs w:val="13"/>
                <w:color w:val="auto"/>
              </w:rPr>
            </w:pPr>
          </w:p>
        </w:tc>
        <w:tc>
          <w:tcPr>
            <w:tcW w:w="59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7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expenses</w:t>
            </w: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178,019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165,691</w:t>
            </w:r>
          </w:p>
        </w:tc>
        <w:tc>
          <w:tcPr>
            <w:tcW w:w="12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Current income taxes and other taxes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133,358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128,372</w:t>
            </w: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7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Employee benefit-related liabilities</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51,370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51,051</w:t>
            </w:r>
          </w:p>
        </w:tc>
        <w:tc>
          <w:tcPr>
            <w:tcW w:w="12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Deferred lease liabilities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84,352</w:t>
            </w: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7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Unclaimed funds at LFB</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17,405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17,746</w:t>
            </w:r>
          </w:p>
        </w:tc>
        <w:tc>
          <w:tcPr>
            <w:tcW w:w="12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Deferred revenue (a)</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97,964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80,995</w:t>
            </w: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7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Contingent consideration liability</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1,309</w:t>
            </w:r>
          </w:p>
        </w:tc>
        <w:tc>
          <w:tcPr>
            <w:tcW w:w="12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Securities sold, not yet purchased</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12,894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3,929</w:t>
            </w: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7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36,916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32,356</w:t>
            </w:r>
          </w:p>
        </w:tc>
        <w:tc>
          <w:tcPr>
            <w:tcW w:w="120" w:type="dxa"/>
            <w:vAlign w:val="bottom"/>
            <w:shd w:val="clear" w:color="auto" w:fill="CFF0FC"/>
          </w:tcPr>
          <w:p>
            <w:pPr>
              <w:spacing w:after="0"/>
              <w:rPr>
                <w:sz w:val="19"/>
                <w:szCs w:val="19"/>
                <w:color w:val="auto"/>
              </w:rPr>
            </w:pPr>
          </w:p>
        </w:tc>
      </w:tr>
      <w:tr>
        <w:trPr>
          <w:trHeight w:val="223"/>
        </w:trPr>
        <w:tc>
          <w:tcPr>
            <w:tcW w:w="7660" w:type="dxa"/>
            <w:vAlign w:val="bottom"/>
            <w:gridSpan w:val="3"/>
          </w:tcPr>
          <w:p>
            <w:pPr>
              <w:ind w:left="5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527,926</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565,801</w:t>
            </w:r>
          </w:p>
        </w:tc>
        <w:tc>
          <w:tcPr>
            <w:tcW w:w="12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6"/>
        </w:trPr>
        <w:tc>
          <w:tcPr>
            <w:tcW w:w="5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5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r>
    </w:tbl>
    <w:p>
      <w:pPr>
        <w:spacing w:after="0" w:line="26" w:lineRule="exact"/>
        <w:rPr>
          <w:sz w:val="20"/>
          <w:szCs w:val="20"/>
          <w:color w:val="auto"/>
        </w:rPr>
      </w:pPr>
    </w:p>
    <w:p>
      <w:pPr>
        <w:jc w:val="both"/>
        <w:ind w:left="600" w:right="460" w:hanging="592"/>
        <w:spacing w:after="0" w:line="264" w:lineRule="auto"/>
        <w:tabs>
          <w:tab w:leader="none" w:pos="6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change in deferred revenue during the year ended December 31, 2019 principally relates to additional carried interest received from private equity investments that is subject to clawback. The revenue recognized during the current year related to the deferred revenue balance as of the beginning of the year was not material to the consolidated financial statements.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32" w:lineRule="exact"/>
        <w:rPr>
          <w:sz w:val="20"/>
          <w:szCs w:val="20"/>
          <w:color w:val="auto"/>
        </w:rPr>
      </w:pPr>
    </w:p>
    <w:p>
      <w:pPr>
        <w:ind w:left="600" w:hanging="592"/>
        <w:spacing w:after="0"/>
        <w:tabs>
          <w:tab w:leader="none" w:pos="600" w:val="left"/>
        </w:tabs>
        <w:numPr>
          <w:ilvl w:val="0"/>
          <w:numId w:val="7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p>
    <w:p>
      <w:pPr>
        <w:spacing w:after="0" w:line="117" w:lineRule="exact"/>
        <w:rPr>
          <w:rFonts w:ascii="Arial" w:cs="Arial" w:eastAsia="Arial" w:hAnsi="Arial"/>
          <w:sz w:val="18"/>
          <w:szCs w:val="18"/>
          <w:b w:val="1"/>
          <w:bCs w:val="1"/>
          <w:i w:val="1"/>
          <w:iCs w:val="1"/>
          <w:color w:val="auto"/>
        </w:rPr>
      </w:pPr>
    </w:p>
    <w:p>
      <w:pPr>
        <w:ind w:left="60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Senior debt is comprised of the following as of December 31, 2019 and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Initial</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Annual</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4"/>
                <w:szCs w:val="14"/>
                <w:b w:val="1"/>
                <w:bCs w:val="1"/>
                <w:color w:val="auto"/>
              </w:rPr>
              <w:t>Outstanding as of</w:t>
            </w: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center"/>
              <w:ind w:right="20"/>
              <w:spacing w:after="0" w:line="155" w:lineRule="exact"/>
              <w:rPr>
                <w:sz w:val="20"/>
                <w:szCs w:val="20"/>
                <w:color w:val="auto"/>
              </w:rPr>
            </w:pPr>
            <w:r>
              <w:rPr>
                <w:rFonts w:ascii="Arial" w:cs="Arial" w:eastAsia="Arial" w:hAnsi="Arial"/>
                <w:sz w:val="14"/>
                <w:szCs w:val="14"/>
                <w:b w:val="1"/>
                <w:bCs w:val="1"/>
                <w:color w:val="auto"/>
                <w:w w:val="91"/>
              </w:rPr>
              <w:t>December 31, 2019</w:t>
            </w: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center"/>
              <w:ind w:right="20"/>
              <w:spacing w:after="0" w:line="155" w:lineRule="exact"/>
              <w:rPr>
                <w:sz w:val="20"/>
                <w:szCs w:val="20"/>
                <w:color w:val="auto"/>
              </w:rPr>
            </w:pPr>
            <w:r>
              <w:rPr>
                <w:rFonts w:ascii="Arial" w:cs="Arial" w:eastAsia="Arial" w:hAnsi="Arial"/>
                <w:sz w:val="14"/>
                <w:szCs w:val="14"/>
                <w:b w:val="1"/>
                <w:bCs w:val="1"/>
                <w:color w:val="auto"/>
                <w:w w:val="91"/>
              </w:rPr>
              <w:t>December 31, 2018</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7"/>
              </w:rPr>
              <w:t>Principal</w:t>
            </w:r>
          </w:p>
        </w:tc>
        <w:tc>
          <w:tcPr>
            <w:tcW w:w="8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rPr>
              <w:t>Maturity</w:t>
            </w:r>
          </w:p>
        </w:tc>
        <w:tc>
          <w:tcPr>
            <w:tcW w:w="840" w:type="dxa"/>
            <w:vAlign w:val="bottom"/>
            <w:gridSpan w:val="2"/>
          </w:tcPr>
          <w:p>
            <w:pPr>
              <w:jc w:val="right"/>
              <w:ind w:right="300"/>
              <w:spacing w:after="0" w:line="133" w:lineRule="exact"/>
              <w:rPr>
                <w:sz w:val="20"/>
                <w:szCs w:val="20"/>
                <w:color w:val="auto"/>
              </w:rPr>
            </w:pPr>
            <w:r>
              <w:rPr>
                <w:rFonts w:ascii="Arial" w:cs="Arial" w:eastAsia="Arial" w:hAnsi="Arial"/>
                <w:sz w:val="14"/>
                <w:szCs w:val="14"/>
                <w:b w:val="1"/>
                <w:bCs w:val="1"/>
                <w:color w:val="auto"/>
              </w:rPr>
              <w:t>Interest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7"/>
              </w:rPr>
              <w:t>Principal</w:t>
            </w:r>
          </w:p>
        </w:tc>
        <w:tc>
          <w:tcPr>
            <w:tcW w:w="1220" w:type="dxa"/>
            <w:vAlign w:val="bottom"/>
            <w:gridSpan w:val="4"/>
          </w:tcPr>
          <w:p>
            <w:pPr>
              <w:ind w:left="200"/>
              <w:spacing w:after="0" w:line="133" w:lineRule="exact"/>
              <w:rPr>
                <w:sz w:val="20"/>
                <w:szCs w:val="20"/>
                <w:color w:val="auto"/>
              </w:rPr>
            </w:pPr>
            <w:r>
              <w:rPr>
                <w:rFonts w:ascii="Arial" w:cs="Arial" w:eastAsia="Arial" w:hAnsi="Arial"/>
                <w:sz w:val="14"/>
                <w:szCs w:val="14"/>
                <w:b w:val="1"/>
                <w:bCs w:val="1"/>
                <w:color w:val="auto"/>
              </w:rPr>
              <w:t>Unamortized</w:t>
            </w:r>
          </w:p>
        </w:tc>
        <w:tc>
          <w:tcPr>
            <w:tcW w:w="100" w:type="dxa"/>
            <w:vAlign w:val="bottom"/>
          </w:tcPr>
          <w:p>
            <w:pPr>
              <w:spacing w:after="0"/>
              <w:rPr>
                <w:sz w:val="11"/>
                <w:szCs w:val="11"/>
                <w:color w:val="auto"/>
              </w:rPr>
            </w:pPr>
          </w:p>
        </w:tc>
        <w:tc>
          <w:tcPr>
            <w:tcW w:w="760" w:type="dxa"/>
            <w:vAlign w:val="bottom"/>
          </w:tcPr>
          <w:p>
            <w:pPr>
              <w:jc w:val="center"/>
              <w:ind w:right="36"/>
              <w:spacing w:after="0" w:line="133"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7"/>
              </w:rPr>
              <w:t>Principal</w:t>
            </w:r>
          </w:p>
        </w:tc>
        <w:tc>
          <w:tcPr>
            <w:tcW w:w="200" w:type="dxa"/>
            <w:vAlign w:val="bottom"/>
          </w:tcPr>
          <w:p>
            <w:pPr>
              <w:spacing w:after="0"/>
              <w:rPr>
                <w:sz w:val="11"/>
                <w:szCs w:val="11"/>
                <w:color w:val="auto"/>
              </w:rPr>
            </w:pPr>
          </w:p>
        </w:tc>
        <w:tc>
          <w:tcPr>
            <w:tcW w:w="102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Unamortized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ind w:right="34"/>
              <w:spacing w:after="0" w:line="133"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Rate(b)</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Debt Costs</w:t>
            </w:r>
          </w:p>
        </w:tc>
        <w:tc>
          <w:tcPr>
            <w:tcW w:w="10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Debt Costs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9"/>
        </w:trPr>
        <w:tc>
          <w:tcPr>
            <w:tcW w:w="1760" w:type="dxa"/>
            <w:vAlign w:val="bottom"/>
            <w:tcBorders>
              <w:top w:val="single" w:sz="8" w:color="CFF0FC"/>
            </w:tcBorders>
            <w:shd w:val="clear" w:color="auto" w:fill="CFF0FC"/>
          </w:tcPr>
          <w:p>
            <w:pPr>
              <w:jc w:val="right"/>
              <w:ind w:right="650"/>
              <w:spacing w:after="0"/>
              <w:rPr>
                <w:sz w:val="20"/>
                <w:szCs w:val="20"/>
                <w:color w:val="auto"/>
              </w:rPr>
            </w:pPr>
            <w:r>
              <w:rPr>
                <w:rFonts w:ascii="Arial" w:cs="Arial" w:eastAsia="Arial" w:hAnsi="Arial"/>
                <w:sz w:val="18"/>
                <w:szCs w:val="18"/>
                <w:color w:val="auto"/>
                <w:w w:val="90"/>
              </w:rPr>
              <w:t>Lazard Group</w:t>
            </w:r>
          </w:p>
        </w:tc>
        <w:tc>
          <w:tcPr>
            <w:tcW w:w="84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FF0FC"/>
          </w:tcPr>
          <w:p>
            <w:pPr>
              <w:jc w:val="right"/>
              <w:ind w:right="650"/>
              <w:spacing w:after="0"/>
              <w:rPr>
                <w:sz w:val="20"/>
                <w:szCs w:val="20"/>
                <w:color w:val="auto"/>
              </w:rPr>
            </w:pPr>
            <w:r>
              <w:rPr>
                <w:rFonts w:ascii="Arial" w:cs="Arial" w:eastAsia="Arial" w:hAnsi="Arial"/>
                <w:sz w:val="18"/>
                <w:szCs w:val="18"/>
                <w:color w:val="auto"/>
              </w:rPr>
              <w:t>2020 Senior</w:t>
            </w:r>
          </w:p>
        </w:tc>
        <w:tc>
          <w:tcPr>
            <w:tcW w:w="8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Notes (a)</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$ 500,000</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11/14/20</w:t>
            </w: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4.25%</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250,000</w:t>
            </w:r>
          </w:p>
        </w:tc>
        <w:tc>
          <w:tcPr>
            <w:tcW w:w="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w:t>
            </w:r>
          </w:p>
        </w:tc>
        <w:tc>
          <w:tcPr>
            <w:tcW w:w="200" w:type="dxa"/>
            <w:vAlign w:val="bottom"/>
            <w:shd w:val="clear" w:color="auto" w:fill="CFF0FC"/>
          </w:tcPr>
          <w:p>
            <w:pPr>
              <w:spacing w:after="0"/>
              <w:rPr>
                <w:sz w:val="20"/>
                <w:szCs w:val="20"/>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249,137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60" w:type="dxa"/>
            <w:vAlign w:val="bottom"/>
          </w:tcPr>
          <w:p>
            <w:pPr>
              <w:jc w:val="right"/>
              <w:ind w:right="650"/>
              <w:spacing w:after="0"/>
              <w:rPr>
                <w:sz w:val="20"/>
                <w:szCs w:val="20"/>
                <w:color w:val="auto"/>
              </w:rPr>
            </w:pPr>
            <w:r>
              <w:rPr>
                <w:rFonts w:ascii="Arial" w:cs="Arial" w:eastAsia="Arial" w:hAnsi="Arial"/>
                <w:sz w:val="18"/>
                <w:szCs w:val="18"/>
                <w:color w:val="auto"/>
                <w:w w:val="90"/>
              </w:rPr>
              <w:t>Lazard Group</w:t>
            </w: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right"/>
              <w:ind w:right="650"/>
              <w:spacing w:after="0"/>
              <w:rPr>
                <w:sz w:val="20"/>
                <w:szCs w:val="20"/>
                <w:color w:val="auto"/>
              </w:rPr>
            </w:pPr>
            <w:r>
              <w:rPr>
                <w:rFonts w:ascii="Arial" w:cs="Arial" w:eastAsia="Arial" w:hAnsi="Arial"/>
                <w:sz w:val="18"/>
                <w:szCs w:val="18"/>
                <w:color w:val="auto"/>
              </w:rPr>
              <w:t>2025 Senior</w:t>
            </w: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tcPr>
          <w:p>
            <w:pPr>
              <w:ind w:left="140"/>
              <w:spacing w:after="0"/>
              <w:rPr>
                <w:sz w:val="20"/>
                <w:szCs w:val="20"/>
                <w:color w:val="auto"/>
              </w:rPr>
            </w:pPr>
            <w:r>
              <w:rPr>
                <w:rFonts w:ascii="Arial" w:cs="Arial" w:eastAsia="Arial" w:hAnsi="Arial"/>
                <w:sz w:val="18"/>
                <w:szCs w:val="18"/>
                <w:color w:val="auto"/>
              </w:rPr>
              <w:t>Notes</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400,000</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2/13/25</w:t>
            </w: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3.75%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400,000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2,416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397,584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400,000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2,888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397,112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60" w:type="dxa"/>
            <w:vAlign w:val="bottom"/>
            <w:shd w:val="clear" w:color="auto" w:fill="CFF0FC"/>
          </w:tcPr>
          <w:p>
            <w:pPr>
              <w:jc w:val="right"/>
              <w:ind w:right="650"/>
              <w:spacing w:after="0"/>
              <w:rPr>
                <w:sz w:val="20"/>
                <w:szCs w:val="20"/>
                <w:color w:val="auto"/>
              </w:rPr>
            </w:pPr>
            <w:r>
              <w:rPr>
                <w:rFonts w:ascii="Arial" w:cs="Arial" w:eastAsia="Arial" w:hAnsi="Arial"/>
                <w:sz w:val="18"/>
                <w:szCs w:val="18"/>
                <w:color w:val="auto"/>
                <w:w w:val="90"/>
              </w:rPr>
              <w:t>Lazard Group</w:t>
            </w:r>
          </w:p>
        </w:tc>
        <w:tc>
          <w:tcPr>
            <w:tcW w:w="8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FF0FC"/>
          </w:tcPr>
          <w:p>
            <w:pPr>
              <w:jc w:val="right"/>
              <w:ind w:right="650"/>
              <w:spacing w:after="0"/>
              <w:rPr>
                <w:sz w:val="20"/>
                <w:szCs w:val="20"/>
                <w:color w:val="auto"/>
              </w:rPr>
            </w:pPr>
            <w:r>
              <w:rPr>
                <w:rFonts w:ascii="Arial" w:cs="Arial" w:eastAsia="Arial" w:hAnsi="Arial"/>
                <w:sz w:val="18"/>
                <w:szCs w:val="18"/>
                <w:color w:val="auto"/>
              </w:rPr>
              <w:t>2027 Senior</w:t>
            </w:r>
          </w:p>
        </w:tc>
        <w:tc>
          <w:tcPr>
            <w:tcW w:w="8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Notes (a)</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3/1/27</w:t>
            </w: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3.625%</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2,822</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297,178</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3,215</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296,785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60" w:type="dxa"/>
            <w:vAlign w:val="bottom"/>
          </w:tcPr>
          <w:p>
            <w:pPr>
              <w:jc w:val="right"/>
              <w:ind w:right="650"/>
              <w:spacing w:after="0"/>
              <w:rPr>
                <w:sz w:val="20"/>
                <w:szCs w:val="20"/>
                <w:color w:val="auto"/>
              </w:rPr>
            </w:pPr>
            <w:r>
              <w:rPr>
                <w:rFonts w:ascii="Arial" w:cs="Arial" w:eastAsia="Arial" w:hAnsi="Arial"/>
                <w:sz w:val="18"/>
                <w:szCs w:val="18"/>
                <w:color w:val="auto"/>
                <w:w w:val="90"/>
              </w:rPr>
              <w:t>Lazard Group</w:t>
            </w: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right"/>
              <w:ind w:right="650"/>
              <w:spacing w:after="0"/>
              <w:rPr>
                <w:sz w:val="20"/>
                <w:szCs w:val="20"/>
                <w:color w:val="auto"/>
              </w:rPr>
            </w:pPr>
            <w:r>
              <w:rPr>
                <w:rFonts w:ascii="Arial" w:cs="Arial" w:eastAsia="Arial" w:hAnsi="Arial"/>
                <w:sz w:val="18"/>
                <w:szCs w:val="18"/>
                <w:color w:val="auto"/>
              </w:rPr>
              <w:t>2028 Senior</w:t>
            </w: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tcPr>
          <w:p>
            <w:pPr>
              <w:ind w:left="140"/>
              <w:spacing w:after="0"/>
              <w:rPr>
                <w:sz w:val="20"/>
                <w:szCs w:val="20"/>
                <w:color w:val="auto"/>
              </w:rPr>
            </w:pPr>
            <w:r>
              <w:rPr>
                <w:rFonts w:ascii="Arial" w:cs="Arial" w:eastAsia="Arial" w:hAnsi="Arial"/>
                <w:sz w:val="18"/>
                <w:szCs w:val="18"/>
                <w:color w:val="auto"/>
              </w:rPr>
              <w:t>Notes (a)</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9/19/28</w:t>
            </w: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4.50%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500,000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7,814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492,186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500,000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8,774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491,226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60" w:type="dxa"/>
            <w:vAlign w:val="bottom"/>
            <w:shd w:val="clear" w:color="auto" w:fill="CFF0FC"/>
          </w:tcPr>
          <w:p>
            <w:pPr>
              <w:jc w:val="right"/>
              <w:ind w:right="650"/>
              <w:spacing w:after="0"/>
              <w:rPr>
                <w:sz w:val="20"/>
                <w:szCs w:val="20"/>
                <w:color w:val="auto"/>
              </w:rPr>
            </w:pPr>
            <w:r>
              <w:rPr>
                <w:rFonts w:ascii="Arial" w:cs="Arial" w:eastAsia="Arial" w:hAnsi="Arial"/>
                <w:sz w:val="18"/>
                <w:szCs w:val="18"/>
                <w:color w:val="auto"/>
                <w:w w:val="90"/>
              </w:rPr>
              <w:t>Lazard Group</w:t>
            </w:r>
          </w:p>
        </w:tc>
        <w:tc>
          <w:tcPr>
            <w:tcW w:w="8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FF0FC"/>
          </w:tcPr>
          <w:p>
            <w:pPr>
              <w:jc w:val="right"/>
              <w:ind w:right="650"/>
              <w:spacing w:after="0"/>
              <w:rPr>
                <w:sz w:val="20"/>
                <w:szCs w:val="20"/>
                <w:color w:val="auto"/>
              </w:rPr>
            </w:pPr>
            <w:r>
              <w:rPr>
                <w:rFonts w:ascii="Arial" w:cs="Arial" w:eastAsia="Arial" w:hAnsi="Arial"/>
                <w:sz w:val="18"/>
                <w:szCs w:val="18"/>
                <w:color w:val="auto"/>
              </w:rPr>
              <w:t>2029 Senior</w:t>
            </w:r>
          </w:p>
        </w:tc>
        <w:tc>
          <w:tcPr>
            <w:tcW w:w="8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Notes (a)</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3/11/29</w:t>
            </w: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4.375%</w:t>
            </w:r>
          </w:p>
        </w:tc>
        <w:tc>
          <w:tcPr>
            <w:tcW w:w="6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20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7,386</w:t>
            </w:r>
          </w:p>
        </w:tc>
        <w:tc>
          <w:tcPr>
            <w:tcW w:w="20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492,614</w:t>
            </w:r>
          </w:p>
        </w:tc>
        <w:tc>
          <w:tcPr>
            <w:tcW w:w="20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60" w:type="dxa"/>
            <w:vAlign w:val="bottom"/>
          </w:tcPr>
          <w:p>
            <w:pPr>
              <w:jc w:val="right"/>
              <w:ind w:right="1050"/>
              <w:spacing w:after="0"/>
              <w:rPr>
                <w:sz w:val="20"/>
                <w:szCs w:val="20"/>
                <w:color w:val="auto"/>
              </w:rPr>
            </w:pPr>
            <w:r>
              <w:rPr>
                <w:rFonts w:ascii="Arial" w:cs="Arial" w:eastAsia="Arial" w:hAnsi="Arial"/>
                <w:sz w:val="18"/>
                <w:szCs w:val="18"/>
                <w:color w:val="auto"/>
              </w:rPr>
              <w:t>Total</w:t>
            </w:r>
          </w:p>
        </w:tc>
        <w:tc>
          <w:tcPr>
            <w:tcW w:w="8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1,700,000</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20,438</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1,679,562</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1,450,000</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1,434,260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76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right="240" w:hanging="592"/>
        <w:spacing w:after="0" w:line="257" w:lineRule="auto"/>
        <w:tabs>
          <w:tab w:leader="none" w:pos="6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During March 2019, Lazard Group completed an offering of $500,000 aggregate principal amount of 4.375% senior notes due 2029 (the “2029 Notes”). Interest on the 2029 Notes is payable semi-annually on March 11 and September 11 of each year, beginning September 11, 2019. Lazard Group used a portion of the net proceeds of the 2029 Notes to redeem or otherwise retire $250,000 aggregate principal amount of the 4.25% senior notes due 2020 (the “2020 Notes”). In March 2019, $167,943 aggregate principal amount was redeemed or otherwise retired, and the remaining $82,057 was redeemed or otherwise retired in April 2019.</w:t>
      </w:r>
    </w:p>
    <w:p>
      <w:pPr>
        <w:spacing w:after="0" w:line="53" w:lineRule="exact"/>
        <w:rPr>
          <w:rFonts w:ascii="Arial" w:cs="Arial" w:eastAsia="Arial" w:hAnsi="Arial"/>
          <w:sz w:val="18"/>
          <w:szCs w:val="18"/>
          <w:color w:val="auto"/>
        </w:rPr>
      </w:pPr>
    </w:p>
    <w:p>
      <w:pPr>
        <w:ind w:left="600" w:right="60"/>
        <w:spacing w:after="0" w:line="311" w:lineRule="auto"/>
        <w:rPr>
          <w:rFonts w:ascii="Arial" w:cs="Arial" w:eastAsia="Arial" w:hAnsi="Arial"/>
          <w:sz w:val="18"/>
          <w:szCs w:val="18"/>
          <w:color w:val="auto"/>
        </w:rPr>
      </w:pPr>
      <w:r>
        <w:rPr>
          <w:rFonts w:ascii="Arial" w:cs="Arial" w:eastAsia="Arial" w:hAnsi="Arial"/>
          <w:sz w:val="16"/>
          <w:szCs w:val="16"/>
          <w:color w:val="auto"/>
        </w:rPr>
        <w:t>During September 2018, Lazard Group completed an offering of $500,000 aggregate principal amount of 4.50% senior notes due 2028 (the “2028 Notes”). Interest on the 2028 Notes is payable semi-annually on March 19 and September 19 of each year, beginning March 19, 2019. Lazard Group used a portion of the net proceeds of the 2028 Notes to redeem or otherwise retire $250,000 aggregate principal amount of the 2020 Notes.</w:t>
      </w:r>
    </w:p>
    <w:p>
      <w:pPr>
        <w:ind w:left="600" w:hanging="592"/>
        <w:spacing w:after="0" w:line="308" w:lineRule="auto"/>
        <w:tabs>
          <w:tab w:leader="none" w:pos="6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effective interest rates of Lazard Group’s 3.75% senior notes due February 13, 2025 (the “2025 Notes”), Lazard Group’s 3.625% senior notes due March 1, 2027 (the “2027 Notes”), the 2028 Notes and the 2029 Notes are 3.87%, 3.76%, 4.68% and 4.54%, respectively.</w:t>
      </w:r>
    </w:p>
    <w:p>
      <w:pPr>
        <w:spacing w:after="0" w:line="147" w:lineRule="exact"/>
        <w:rPr>
          <w:sz w:val="20"/>
          <w:szCs w:val="20"/>
          <w:color w:val="auto"/>
        </w:rPr>
      </w:pPr>
    </w:p>
    <w:p>
      <w:pPr>
        <w:ind w:right="20" w:firstLine="598"/>
        <w:spacing w:after="0" w:line="297" w:lineRule="auto"/>
        <w:rPr>
          <w:sz w:val="20"/>
          <w:szCs w:val="20"/>
          <w:color w:val="auto"/>
        </w:rPr>
      </w:pPr>
      <w:r>
        <w:rPr>
          <w:rFonts w:ascii="Arial" w:cs="Arial" w:eastAsia="Arial" w:hAnsi="Arial"/>
          <w:sz w:val="16"/>
          <w:szCs w:val="16"/>
          <w:color w:val="auto"/>
        </w:rPr>
        <w:t>On September 25, 2015, Lazard Group entered into an Amended and Restated Credit Agreement for a five-year $150,000 senior revolving credit facility with a group of lenders (the “Amended and Restated Credit Agreement”), which expires in September 2020. The Amended and Restated Credit Agreement amended and restated the previous credit agreement dated September 25, 2012. Borrowings under the Amended and Restated Credit Agreement generally will bear interest at LIBOR plus an applicable margin for specific interest periods determined based on Lazard Group’s highest credit rating from an internationally recognized credit agency. At December 31, 2019 and 2018, no amounts were outstanding under the Amended and Restated Credit Agreement.</w:t>
      </w:r>
    </w:p>
    <w:p>
      <w:pPr>
        <w:spacing w:after="0" w:line="158" w:lineRule="exact"/>
        <w:rPr>
          <w:sz w:val="20"/>
          <w:szCs w:val="20"/>
          <w:color w:val="auto"/>
        </w:rPr>
      </w:pPr>
    </w:p>
    <w:p>
      <w:pPr>
        <w:jc w:val="both"/>
        <w:ind w:right="40" w:firstLine="598"/>
        <w:spacing w:after="0" w:line="312" w:lineRule="auto"/>
        <w:rPr>
          <w:sz w:val="20"/>
          <w:szCs w:val="20"/>
          <w:color w:val="auto"/>
        </w:rPr>
      </w:pPr>
      <w:r>
        <w:rPr>
          <w:rFonts w:ascii="Arial" w:cs="Arial" w:eastAsia="Arial" w:hAnsi="Arial"/>
          <w:sz w:val="16"/>
          <w:szCs w:val="16"/>
          <w:color w:val="auto"/>
        </w:rPr>
        <w:t>The Amended and Restated Credit Agreement, the indenture and the supplemental indentures relating to Lazard Group’s senior notes contain certain covenants, events of default and other customary provisions, including a customary make-whole provision in the event of early redemption, where applicable. As of December 31, 2019, the Company was in compliance with such provisions. All of the Company’s senior debt obligations are unsecured.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4" w:name="page105"/>
    <w:bookmarkEnd w:id="104"/>
    <w:p>
      <w:pPr>
        <w:jc w:val="center"/>
        <w:ind w:right="-59"/>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Debt maturities relating to senior borrowings outstanding at December 31, 2019 for each of the five years in the period ending December 31, 2024 and thereafter are set forth in the table below.</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660" w:type="dxa"/>
            <w:vAlign w:val="bottom"/>
            <w:gridSpan w:val="2"/>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5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1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2020 - 2024</w:t>
            </w:r>
          </w:p>
        </w:tc>
        <w:tc>
          <w:tcPr>
            <w:tcW w:w="630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58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1,700,000</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586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1,700,000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The Company’s senior debt at December 31, 2019 and 2018 is carried at historical amounts. See Note 7 for information regarding the fair value and fair value hierarchy category of the Company’s senior debt.</w:t>
      </w:r>
    </w:p>
    <w:p>
      <w:pPr>
        <w:spacing w:after="0" w:line="170"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As of December 31, 2019, the Company had approximately $168,000 in unused lines of credit available to it, including the credit facility provided under the Amended and Restated Credit Agreement and unused lines of credit available to LFB of approximately $17,000.</w:t>
      </w:r>
    </w:p>
    <w:p>
      <w:pPr>
        <w:spacing w:after="0" w:line="360" w:lineRule="exact"/>
        <w:rPr>
          <w:sz w:val="20"/>
          <w:szCs w:val="20"/>
          <w:color w:val="auto"/>
        </w:rPr>
      </w:pPr>
    </w:p>
    <w:p>
      <w:pPr>
        <w:ind w:left="600" w:hanging="592"/>
        <w:spacing w:after="0"/>
        <w:tabs>
          <w:tab w:leader="none" w:pos="600" w:val="left"/>
        </w:tabs>
        <w:numPr>
          <w:ilvl w:val="0"/>
          <w:numId w:val="7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117"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In the normal course of business, LFB provides indemnifications to third parties to protect them in the event of non-performance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their clients. At December 31, 2019, LFB had $2,279 of such indemnifications and held $2,279 of collateral/counter-guarantees to secure these commitments. The Company believes the likelihood of loss with respect to these indemnities is remote. Accordingly, no liability is recorded in the consolidated statement of financial condition.</w:t>
      </w:r>
    </w:p>
    <w:p>
      <w:pPr>
        <w:spacing w:after="0" w:line="187"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The Company has various other contractual commitments arising in the ordinary course of business. In addition,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each of LFB and LFNY may enter into underwriting commitments in which it will participate as an underwriter. At December 31, 2019, LFB and LFNY had no such underwriting commitments.</w:t>
      </w:r>
    </w:p>
    <w:p>
      <w:pPr>
        <w:spacing w:after="0" w:line="181"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See Notes 7 and 17 for information regarding commitments relating to investment capital funding commitments and obligations to fund our pension plans, respectively.</w:t>
      </w:r>
    </w:p>
    <w:p>
      <w:pPr>
        <w:spacing w:after="0" w:line="170" w:lineRule="exact"/>
        <w:rPr>
          <w:sz w:val="20"/>
          <w:szCs w:val="20"/>
          <w:color w:val="auto"/>
        </w:rPr>
      </w:pPr>
    </w:p>
    <w:p>
      <w:pPr>
        <w:ind w:right="620" w:firstLine="598"/>
        <w:spacing w:after="0" w:line="277" w:lineRule="auto"/>
        <w:rPr>
          <w:sz w:val="20"/>
          <w:szCs w:val="20"/>
          <w:color w:val="auto"/>
        </w:rPr>
      </w:pPr>
      <w:r>
        <w:rPr>
          <w:rFonts w:ascii="Arial" w:cs="Arial" w:eastAsia="Arial" w:hAnsi="Arial"/>
          <w:sz w:val="18"/>
          <w:szCs w:val="18"/>
          <w:color w:val="auto"/>
        </w:rPr>
        <w:t>In the opinion of management, the fulfillment of the commitments described herein will not have a material adverse effect on the Company’s consolidated financial position or results of operations.</w:t>
      </w:r>
    </w:p>
    <w:p>
      <w:pPr>
        <w:spacing w:after="0" w:line="170" w:lineRule="exact"/>
        <w:rPr>
          <w:sz w:val="20"/>
          <w:szCs w:val="20"/>
          <w:color w:val="auto"/>
        </w:rPr>
      </w:pPr>
    </w:p>
    <w:p>
      <w:pPr>
        <w:jc w:val="both"/>
        <w:ind w:right="60" w:firstLine="598"/>
        <w:spacing w:after="0" w:line="293"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 is involved from time to time in judicial, regulatory and arbitration proceedings and inquiries concerning matters arising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an annual basis. Accordingly, the results of any pending matter or matters could be significant when compared to the Company’s earnings in any particular year. The Company believes, however, based on currently available information, that the results of any pending matters, in the aggregate, will not have a material effect on its business or financial condition.</w:t>
      </w: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32" w:lineRule="exact"/>
        <w:rPr>
          <w:sz w:val="20"/>
          <w:szCs w:val="20"/>
          <w:color w:val="auto"/>
        </w:rPr>
      </w:pPr>
    </w:p>
    <w:p>
      <w:pPr>
        <w:ind w:left="600" w:hanging="592"/>
        <w:spacing w:after="0"/>
        <w:tabs>
          <w:tab w:leader="none" w:pos="600" w:val="left"/>
        </w:tabs>
        <w:numPr>
          <w:ilvl w:val="0"/>
          <w:numId w:val="7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MEMBERS’ EQUITY</w:t>
      </w:r>
    </w:p>
    <w:p>
      <w:pPr>
        <w:spacing w:after="0" w:line="117" w:lineRule="exact"/>
        <w:rPr>
          <w:sz w:val="20"/>
          <w:szCs w:val="20"/>
          <w:color w:val="auto"/>
        </w:rPr>
      </w:pPr>
    </w:p>
    <w:p>
      <w:pPr>
        <w:jc w:val="both"/>
        <w:ind w:right="40" w:firstLine="598"/>
        <w:spacing w:after="0" w:line="286" w:lineRule="auto"/>
        <w:rPr>
          <w:sz w:val="20"/>
          <w:szCs w:val="20"/>
          <w:color w:val="auto"/>
        </w:rPr>
      </w:pPr>
      <w:r>
        <w:rPr>
          <w:rFonts w:ascii="Arial" w:cs="Arial" w:eastAsia="Arial" w:hAnsi="Arial"/>
          <w:sz w:val="17"/>
          <w:szCs w:val="17"/>
          <w:b w:val="1"/>
          <w:bCs w:val="1"/>
          <w:i w:val="1"/>
          <w:iCs w:val="1"/>
          <w:color w:val="auto"/>
        </w:rPr>
        <w:t>Lazard Group Distributions</w:t>
      </w:r>
      <w:r>
        <w:rPr>
          <w:rFonts w:ascii="Arial" w:cs="Arial" w:eastAsia="Arial" w:hAnsi="Arial"/>
          <w:sz w:val="17"/>
          <w:szCs w:val="17"/>
          <w:color w:val="auto"/>
        </w:rPr>
        <w:t>—Distributions in respect of Lazard Group’s common membership interests are allocated to the holders of such interests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accordance with the provisions of the Operating Agreement. Such distributions primarily represent amounts necessary to fund (i) any dividends Lazard Ltd may declare on its Class A common stock and (ii) tax distributions in respect of income taxes that Lazard Ltd’s subsidiaries incur.</w:t>
      </w:r>
    </w:p>
    <w:p>
      <w:pPr>
        <w:spacing w:after="0" w:line="166" w:lineRule="exact"/>
        <w:rPr>
          <w:sz w:val="20"/>
          <w:szCs w:val="20"/>
          <w:color w:val="auto"/>
        </w:rPr>
      </w:pPr>
    </w:p>
    <w:p>
      <w:pPr>
        <w:ind w:right="660" w:firstLine="598"/>
        <w:spacing w:after="0" w:line="277" w:lineRule="auto"/>
        <w:rPr>
          <w:sz w:val="20"/>
          <w:szCs w:val="20"/>
          <w:color w:val="auto"/>
        </w:rPr>
      </w:pPr>
      <w:r>
        <w:rPr>
          <w:rFonts w:ascii="Arial" w:cs="Arial" w:eastAsia="Arial" w:hAnsi="Arial"/>
          <w:sz w:val="18"/>
          <w:szCs w:val="18"/>
          <w:color w:val="auto"/>
        </w:rPr>
        <w:t>During the years ended December 31, 2019, 2018 and 2017, Lazard Group distributed $263,935, $448,912 and $346,072, respectively, to the subsidiaries of Lazard Ltd.</w:t>
      </w:r>
    </w:p>
    <w:p>
      <w:pPr>
        <w:spacing w:after="0" w:line="170" w:lineRule="exact"/>
        <w:rPr>
          <w:sz w:val="20"/>
          <w:szCs w:val="20"/>
          <w:color w:val="auto"/>
        </w:rPr>
      </w:pPr>
    </w:p>
    <w:p>
      <w:pPr>
        <w:ind w:right="380" w:firstLine="598"/>
        <w:spacing w:after="0" w:line="308" w:lineRule="auto"/>
        <w:rPr>
          <w:sz w:val="20"/>
          <w:szCs w:val="20"/>
          <w:color w:val="auto"/>
        </w:rPr>
      </w:pPr>
      <w:r>
        <w:rPr>
          <w:rFonts w:ascii="Arial" w:cs="Arial" w:eastAsia="Arial" w:hAnsi="Arial"/>
          <w:sz w:val="17"/>
          <w:szCs w:val="17"/>
          <w:color w:val="auto"/>
        </w:rPr>
        <w:t>Pursuant to Lazard Group’s Operating Agreement, Lazard Group allocates and distributes to its members a substantial portion of its distributable profits in installments as soon as practicable after the end of each fiscal year. Such installment distributions usually begin in February.</w:t>
      </w:r>
    </w:p>
    <w:p>
      <w:pPr>
        <w:spacing w:after="0" w:line="147" w:lineRule="exact"/>
        <w:rPr>
          <w:sz w:val="20"/>
          <w:szCs w:val="20"/>
          <w:color w:val="auto"/>
        </w:rPr>
      </w:pPr>
    </w:p>
    <w:p>
      <w:pPr>
        <w:ind w:right="160" w:firstLine="598"/>
        <w:spacing w:after="0" w:line="264" w:lineRule="auto"/>
        <w:rPr>
          <w:sz w:val="20"/>
          <w:szCs w:val="20"/>
          <w:color w:val="auto"/>
        </w:rPr>
      </w:pPr>
      <w:r>
        <w:rPr>
          <w:rFonts w:ascii="Arial" w:cs="Arial" w:eastAsia="Arial" w:hAnsi="Arial"/>
          <w:sz w:val="18"/>
          <w:szCs w:val="18"/>
          <w:color w:val="auto"/>
        </w:rPr>
        <w:t>On October 31, 2019, Lazard Group distributed to its managing members, which are subsidiaries of Lazard Ltd, 17,000,000 shares of Class A common stock that were held by Lazard Group. These shares were ultimately received by Lazard Ltd and cancelled. There was no impact on total members' equity as a result of this distribution.</w:t>
      </w:r>
    </w:p>
    <w:p>
      <w:pPr>
        <w:spacing w:after="0" w:line="181" w:lineRule="exact"/>
        <w:rPr>
          <w:sz w:val="20"/>
          <w:szCs w:val="20"/>
          <w:color w:val="auto"/>
        </w:rPr>
      </w:pPr>
    </w:p>
    <w:p>
      <w:pPr>
        <w:ind w:right="40" w:firstLine="598"/>
        <w:spacing w:after="0" w:line="277" w:lineRule="auto"/>
        <w:rPr>
          <w:sz w:val="20"/>
          <w:szCs w:val="20"/>
          <w:color w:val="auto"/>
        </w:rPr>
      </w:pPr>
      <w:r>
        <w:rPr>
          <w:rFonts w:ascii="Arial" w:cs="Arial" w:eastAsia="Arial" w:hAnsi="Arial"/>
          <w:sz w:val="18"/>
          <w:szCs w:val="18"/>
          <w:b w:val="1"/>
          <w:bCs w:val="1"/>
          <w:i w:val="1"/>
          <w:iCs w:val="1"/>
          <w:color w:val="auto"/>
        </w:rPr>
        <w:t>Share Repurchase Program</w:t>
      </w:r>
      <w:r>
        <w:rPr>
          <w:rFonts w:ascii="Arial" w:cs="Arial" w:eastAsia="Arial" w:hAnsi="Arial"/>
          <w:sz w:val="18"/>
          <w:szCs w:val="18"/>
          <w:color w:val="auto"/>
        </w:rPr>
        <w:t>—During the year ended December 31, 2019 and since 2017, the Board of Directors of Lazard authorized the repurchase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Class A common stock as set forth in the table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3560" w:type="dxa"/>
            <w:vAlign w:val="bottom"/>
            <w:vMerge w:val="restart"/>
          </w:tcPr>
          <w:p>
            <w:pPr>
              <w:spacing w:after="0"/>
              <w:rPr>
                <w:sz w:val="14"/>
                <w:szCs w:val="14"/>
                <w:color w:val="auto"/>
              </w:rPr>
            </w:pPr>
          </w:p>
        </w:tc>
        <w:tc>
          <w:tcPr>
            <w:tcW w:w="2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4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9"/>
              </w:rPr>
              <w:t>Repurchase</w:t>
            </w:r>
          </w:p>
        </w:tc>
        <w:tc>
          <w:tcPr>
            <w:tcW w:w="2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8"/>
        </w:trPr>
        <w:tc>
          <w:tcPr>
            <w:tcW w:w="300" w:type="dxa"/>
            <w:vAlign w:val="bottom"/>
            <w:tcBorders>
              <w:bottom w:val="single" w:sz="8" w:color="auto"/>
            </w:tcBorders>
            <w:vMerge w:val="continue"/>
          </w:tcPr>
          <w:p>
            <w:pPr>
              <w:spacing w:after="0"/>
              <w:rPr>
                <w:sz w:val="15"/>
                <w:szCs w:val="15"/>
                <w:color w:val="auto"/>
              </w:rPr>
            </w:pPr>
          </w:p>
        </w:tc>
        <w:tc>
          <w:tcPr>
            <w:tcW w:w="3560" w:type="dxa"/>
            <w:vAlign w:val="bottom"/>
            <w:vMerge w:val="continue"/>
          </w:tcPr>
          <w:p>
            <w:pPr>
              <w:spacing w:after="0"/>
              <w:rPr>
                <w:sz w:val="15"/>
                <w:szCs w:val="15"/>
                <w:color w:val="auto"/>
              </w:rPr>
            </w:pPr>
          </w:p>
        </w:tc>
        <w:tc>
          <w:tcPr>
            <w:tcW w:w="2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40" w:type="dxa"/>
            <w:vAlign w:val="bottom"/>
            <w:gridSpan w:val="2"/>
          </w:tcPr>
          <w:p>
            <w:pPr>
              <w:jc w:val="center"/>
              <w:ind w:right="820"/>
              <w:spacing w:after="0" w:line="158" w:lineRule="exact"/>
              <w:rPr>
                <w:sz w:val="20"/>
                <w:szCs w:val="20"/>
                <w:color w:val="auto"/>
              </w:rPr>
            </w:pPr>
            <w:r>
              <w:rPr>
                <w:rFonts w:ascii="Arial" w:cs="Arial" w:eastAsia="Arial" w:hAnsi="Arial"/>
                <w:sz w:val="14"/>
                <w:szCs w:val="14"/>
                <w:b w:val="1"/>
                <w:bCs w:val="1"/>
                <w:color w:val="auto"/>
                <w:w w:val="95"/>
              </w:rPr>
              <w:t>Authorization</w:t>
            </w:r>
          </w:p>
        </w:tc>
        <w:tc>
          <w:tcPr>
            <w:tcW w:w="2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8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October 2017</w:t>
            </w:r>
          </w:p>
        </w:tc>
        <w:tc>
          <w:tcPr>
            <w:tcW w:w="28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500" w:type="dxa"/>
            <w:vAlign w:val="bottom"/>
            <w:tcBorders>
              <w:top w:val="single" w:sz="8" w:color="CFF0FC"/>
            </w:tcBorders>
            <w:shd w:val="clear" w:color="auto" w:fill="CFF0FC"/>
          </w:tcPr>
          <w:p>
            <w:pPr>
              <w:spacing w:after="0"/>
              <w:rPr>
                <w:sz w:val="18"/>
                <w:szCs w:val="18"/>
                <w:color w:val="auto"/>
              </w:rPr>
            </w:pPr>
          </w:p>
        </w:tc>
        <w:tc>
          <w:tcPr>
            <w:tcW w:w="24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December 31, 2019</w:t>
            </w:r>
          </w:p>
        </w:tc>
        <w:tc>
          <w:tcPr>
            <w:tcW w:w="0" w:type="dxa"/>
            <w:vAlign w:val="bottom"/>
          </w:tcPr>
          <w:p>
            <w:pPr>
              <w:spacing w:after="0"/>
              <w:rPr>
                <w:sz w:val="1"/>
                <w:szCs w:val="1"/>
                <w:color w:val="auto"/>
              </w:rPr>
            </w:pPr>
          </w:p>
        </w:tc>
      </w:tr>
      <w:tr>
        <w:trPr>
          <w:trHeight w:val="230"/>
        </w:trPr>
        <w:tc>
          <w:tcPr>
            <w:tcW w:w="3860" w:type="dxa"/>
            <w:vAlign w:val="bottom"/>
            <w:gridSpan w:val="2"/>
          </w:tcPr>
          <w:p>
            <w:pPr>
              <w:spacing w:after="0"/>
              <w:rPr>
                <w:sz w:val="20"/>
                <w:szCs w:val="20"/>
                <w:color w:val="auto"/>
              </w:rPr>
            </w:pPr>
            <w:r>
              <w:rPr>
                <w:rFonts w:ascii="Arial" w:cs="Arial" w:eastAsia="Arial" w:hAnsi="Arial"/>
                <w:sz w:val="18"/>
                <w:szCs w:val="18"/>
                <w:color w:val="auto"/>
              </w:rPr>
              <w:t>April 2018</w:t>
            </w:r>
          </w:p>
        </w:tc>
        <w:tc>
          <w:tcPr>
            <w:tcW w:w="30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300,000</w:t>
            </w:r>
          </w:p>
        </w:tc>
        <w:tc>
          <w:tcPr>
            <w:tcW w:w="500" w:type="dxa"/>
            <w:vAlign w:val="bottom"/>
          </w:tcPr>
          <w:p>
            <w:pPr>
              <w:spacing w:after="0"/>
              <w:rPr>
                <w:sz w:val="19"/>
                <w:szCs w:val="19"/>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88"/>
              </w:rPr>
              <w:t>December 31, 2020</w:t>
            </w:r>
          </w:p>
        </w:tc>
        <w:tc>
          <w:tcPr>
            <w:tcW w:w="0" w:type="dxa"/>
            <w:vAlign w:val="bottom"/>
          </w:tcPr>
          <w:p>
            <w:pPr>
              <w:spacing w:after="0"/>
              <w:rPr>
                <w:sz w:val="1"/>
                <w:szCs w:val="1"/>
                <w:color w:val="auto"/>
              </w:rPr>
            </w:pPr>
          </w:p>
        </w:tc>
      </w:tr>
      <w:tr>
        <w:trPr>
          <w:trHeight w:val="230"/>
        </w:trPr>
        <w:tc>
          <w:tcPr>
            <w:tcW w:w="3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October 2018</w:t>
            </w:r>
          </w:p>
        </w:tc>
        <w:tc>
          <w:tcPr>
            <w:tcW w:w="308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500" w:type="dxa"/>
            <w:vAlign w:val="bottom"/>
            <w:shd w:val="clear" w:color="auto" w:fill="CFF0FC"/>
          </w:tcPr>
          <w:p>
            <w:pPr>
              <w:spacing w:after="0"/>
              <w:rPr>
                <w:sz w:val="19"/>
                <w:szCs w:val="19"/>
                <w:color w:val="auto"/>
              </w:rPr>
            </w:pPr>
          </w:p>
        </w:tc>
        <w:tc>
          <w:tcPr>
            <w:tcW w:w="2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December 31, 2020</w:t>
            </w:r>
          </w:p>
        </w:tc>
        <w:tc>
          <w:tcPr>
            <w:tcW w:w="0" w:type="dxa"/>
            <w:vAlign w:val="bottom"/>
          </w:tcPr>
          <w:p>
            <w:pPr>
              <w:spacing w:after="0"/>
              <w:rPr>
                <w:sz w:val="1"/>
                <w:szCs w:val="1"/>
                <w:color w:val="auto"/>
              </w:rPr>
            </w:pPr>
          </w:p>
        </w:tc>
      </w:tr>
      <w:tr>
        <w:trPr>
          <w:trHeight w:val="230"/>
        </w:trPr>
        <w:tc>
          <w:tcPr>
            <w:tcW w:w="3860" w:type="dxa"/>
            <w:vAlign w:val="bottom"/>
            <w:gridSpan w:val="2"/>
          </w:tcPr>
          <w:p>
            <w:pPr>
              <w:spacing w:after="0"/>
              <w:rPr>
                <w:sz w:val="20"/>
                <w:szCs w:val="20"/>
                <w:color w:val="auto"/>
              </w:rPr>
            </w:pPr>
            <w:r>
              <w:rPr>
                <w:rFonts w:ascii="Arial" w:cs="Arial" w:eastAsia="Arial" w:hAnsi="Arial"/>
                <w:sz w:val="18"/>
                <w:szCs w:val="18"/>
                <w:color w:val="auto"/>
              </w:rPr>
              <w:t>February 2019</w:t>
            </w:r>
          </w:p>
        </w:tc>
        <w:tc>
          <w:tcPr>
            <w:tcW w:w="30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300,000</w:t>
            </w:r>
          </w:p>
        </w:tc>
        <w:tc>
          <w:tcPr>
            <w:tcW w:w="500" w:type="dxa"/>
            <w:vAlign w:val="bottom"/>
          </w:tcPr>
          <w:p>
            <w:pPr>
              <w:spacing w:after="0"/>
              <w:rPr>
                <w:sz w:val="19"/>
                <w:szCs w:val="19"/>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88"/>
              </w:rPr>
              <w:t>December 31, 2020</w:t>
            </w:r>
          </w:p>
        </w:tc>
        <w:tc>
          <w:tcPr>
            <w:tcW w:w="0" w:type="dxa"/>
            <w:vAlign w:val="bottom"/>
          </w:tcPr>
          <w:p>
            <w:pPr>
              <w:spacing w:after="0"/>
              <w:rPr>
                <w:sz w:val="1"/>
                <w:szCs w:val="1"/>
                <w:color w:val="auto"/>
              </w:rPr>
            </w:pPr>
          </w:p>
        </w:tc>
      </w:tr>
      <w:tr>
        <w:trPr>
          <w:trHeight w:val="243"/>
        </w:trPr>
        <w:tc>
          <w:tcPr>
            <w:tcW w:w="3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October 2019</w:t>
            </w:r>
          </w:p>
        </w:tc>
        <w:tc>
          <w:tcPr>
            <w:tcW w:w="308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500" w:type="dxa"/>
            <w:vAlign w:val="bottom"/>
            <w:shd w:val="clear" w:color="auto" w:fill="CFF0FC"/>
          </w:tcPr>
          <w:p>
            <w:pPr>
              <w:spacing w:after="0"/>
              <w:rPr>
                <w:sz w:val="21"/>
                <w:szCs w:val="21"/>
                <w:color w:val="auto"/>
              </w:rPr>
            </w:pPr>
          </w:p>
        </w:tc>
        <w:tc>
          <w:tcPr>
            <w:tcW w:w="2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December 31, 2021</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The Company expects that the share repurchase program will continue to be used to offset a portion of the shares that have been or will be issued under the Lazard Ltd 2008 Incentive Compensation Plan (the “2008 Plan”) and the Lazard Ltd 2018 Incentive Compensation Plan (the “2018 Plan”). Pursuant to the share repurchase program, purchases have been made in the open market or through privately negotiated transactions. The rate at which the Company purchases shares in connection with the share repurchase program may vary from period to period due to a variety of factors. Purchases with respect to such program are set forth in the table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Years Ended December 31:</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Price Per</w:t>
            </w:r>
          </w:p>
        </w:tc>
        <w:tc>
          <w:tcPr>
            <w:tcW w:w="0" w:type="dxa"/>
            <w:vAlign w:val="bottom"/>
          </w:tcPr>
          <w:p>
            <w:pPr>
              <w:spacing w:after="0"/>
              <w:rPr>
                <w:sz w:val="1"/>
                <w:szCs w:val="1"/>
                <w:color w:val="auto"/>
              </w:rPr>
            </w:pPr>
          </w:p>
        </w:tc>
      </w:tr>
      <w:tr>
        <w:trPr>
          <w:trHeight w:val="178"/>
        </w:trPr>
        <w:tc>
          <w:tcPr>
            <w:tcW w:w="7860" w:type="dxa"/>
            <w:vAlign w:val="bottom"/>
            <w:gridSpan w:val="2"/>
            <w:vMerge w:val="continue"/>
          </w:tcPr>
          <w:p>
            <w:pPr>
              <w:spacing w:after="0"/>
              <w:rPr>
                <w:sz w:val="15"/>
                <w:szCs w:val="15"/>
                <w:color w:val="auto"/>
              </w:rPr>
            </w:pPr>
          </w:p>
        </w:tc>
        <w:tc>
          <w:tcPr>
            <w:tcW w:w="1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Purchased</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7"/>
        </w:trPr>
        <w:tc>
          <w:tcPr>
            <w:tcW w:w="1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2017</w:t>
            </w:r>
          </w:p>
        </w:tc>
        <w:tc>
          <w:tcPr>
            <w:tcW w:w="6180" w:type="dxa"/>
            <w:vAlign w:val="bottom"/>
            <w:tcBorders>
              <w:top w:val="single" w:sz="8" w:color="CFF0FC"/>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6,956,097</w:t>
            </w:r>
          </w:p>
        </w:tc>
        <w:tc>
          <w:tcPr>
            <w:tcW w:w="2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44.10</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r>
              <w:rPr>
                <w:rFonts w:ascii="Arial" w:cs="Arial" w:eastAsia="Arial" w:hAnsi="Arial"/>
                <w:sz w:val="18"/>
                <w:szCs w:val="18"/>
                <w:color w:val="auto"/>
              </w:rPr>
              <w:t>2018</w:t>
            </w:r>
          </w:p>
        </w:tc>
        <w:tc>
          <w:tcPr>
            <w:tcW w:w="6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12,206,652</w:t>
            </w:r>
          </w:p>
        </w:tc>
        <w:tc>
          <w:tcPr>
            <w:tcW w:w="5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45.29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8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6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13,674,439</w:t>
            </w:r>
          </w:p>
        </w:tc>
        <w:tc>
          <w:tcPr>
            <w:tcW w:w="58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00" w:firstLine="598"/>
        <w:spacing w:after="0" w:line="264" w:lineRule="auto"/>
        <w:rPr>
          <w:sz w:val="20"/>
          <w:szCs w:val="20"/>
          <w:color w:val="auto"/>
        </w:rPr>
      </w:pPr>
      <w:r>
        <w:rPr>
          <w:rFonts w:ascii="Arial" w:cs="Arial" w:eastAsia="Arial" w:hAnsi="Arial"/>
          <w:sz w:val="18"/>
          <w:szCs w:val="18"/>
          <w:color w:val="auto"/>
        </w:rPr>
        <w:t>There were 7,675,688 and 16,737,000 shares of Class A common stock held by Lazard Group at December 31, 2019 and 2018, respectively. Such shares of Class A common stock are reported, at cost, as a reduction of members’ equity within the accompanying consolidated statements of financial condition.</w:t>
      </w:r>
    </w:p>
    <w:p>
      <w:pPr>
        <w:spacing w:after="0" w:line="181"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During 2019, 2018 and 2017, certain of our executive officers received Class A common stock in connection with the vesting or settlement of previously-granted deferred equity incentive awards. The vesting or settlement of such equity awards gave rise to a tax payable by the executive officers, and, consistent with our past practice, the Company purchased shares of Class A common stock from certain of our executive officers equal in value to all or a portion of the estimated amount of such tax. In addition, during the years ended December 31, 2018 and 2017, the Company purchased shares of Class A common stock from certain of our executive officers. The aggregate value 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all such purchases in 2019, 2018 and 2017 was approximately $14,600, $17,700 and $14,700, respectively. Such shares of Class A common stock are reported at cost.</w:t>
      </w:r>
    </w:p>
    <w:p>
      <w:pPr>
        <w:spacing w:after="0" w:line="170" w:lineRule="exact"/>
        <w:rPr>
          <w:sz w:val="20"/>
          <w:szCs w:val="20"/>
          <w:color w:val="auto"/>
        </w:rPr>
      </w:pPr>
    </w:p>
    <w:p>
      <w:pPr>
        <w:ind w:right="80" w:firstLine="598"/>
        <w:spacing w:after="0" w:line="277" w:lineRule="auto"/>
        <w:rPr>
          <w:sz w:val="20"/>
          <w:szCs w:val="20"/>
          <w:color w:val="auto"/>
        </w:rPr>
      </w:pPr>
      <w:r>
        <w:rPr>
          <w:rFonts w:ascii="Arial" w:cs="Arial" w:eastAsia="Arial" w:hAnsi="Arial"/>
          <w:sz w:val="18"/>
          <w:szCs w:val="18"/>
          <w:color w:val="auto"/>
        </w:rPr>
        <w:t>During the year ended December 31, 2017, Lazard Group purchased 91,333 shares of Lazard Ltd Class A common stock from subsidiaries of Lazard Ltd for $4,130. There were no such purchases during the years ended December 31, 2019 and 2018.</w:t>
      </w:r>
    </w:p>
    <w:p>
      <w:pPr>
        <w:spacing w:after="0" w:line="170" w:lineRule="exact"/>
        <w:rPr>
          <w:sz w:val="20"/>
          <w:szCs w:val="20"/>
          <w:color w:val="auto"/>
        </w:rPr>
      </w:pPr>
    </w:p>
    <w:p>
      <w:pPr>
        <w:ind w:right="1000" w:firstLine="598"/>
        <w:spacing w:after="0" w:line="308" w:lineRule="auto"/>
        <w:rPr>
          <w:sz w:val="20"/>
          <w:szCs w:val="20"/>
          <w:color w:val="auto"/>
        </w:rPr>
      </w:pPr>
      <w:r>
        <w:rPr>
          <w:rFonts w:ascii="Arial" w:cs="Arial" w:eastAsia="Arial" w:hAnsi="Arial"/>
          <w:sz w:val="17"/>
          <w:szCs w:val="17"/>
          <w:color w:val="auto"/>
        </w:rPr>
        <w:t>As of December 31, 2019, a total of $400,825 of share repurchase authorization remained available under Lazard Ltd’s share repurchase program, $100,825 of which will expire on December 31, 2020 and $300,000 of which will expire on December 31, 2021.</w:t>
      </w:r>
    </w:p>
    <w:p>
      <w:pPr>
        <w:spacing w:after="0" w:line="147" w:lineRule="exact"/>
        <w:rPr>
          <w:sz w:val="20"/>
          <w:szCs w:val="20"/>
          <w:color w:val="auto"/>
        </w:rPr>
      </w:pPr>
    </w:p>
    <w:p>
      <w:pPr>
        <w:ind w:right="460" w:firstLine="598"/>
        <w:spacing w:after="0" w:line="277" w:lineRule="auto"/>
        <w:rPr>
          <w:sz w:val="20"/>
          <w:szCs w:val="20"/>
          <w:color w:val="auto"/>
        </w:rPr>
      </w:pPr>
      <w:r>
        <w:rPr>
          <w:rFonts w:ascii="Arial" w:cs="Arial" w:eastAsia="Arial" w:hAnsi="Arial"/>
          <w:sz w:val="18"/>
          <w:szCs w:val="18"/>
          <w:color w:val="auto"/>
        </w:rPr>
        <w:t>During the year ended December 31, 2019, Lazard Ltd had in place trading plans under Rule 10b5-1 of the Securities Exchange Act of 1934, as amended (the “Exchange Act”), pursuant to which it effected stock repurchases in the open market.</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Accumulated Other Comprehensive Income (Loss), Net of Tax</w:t>
      </w:r>
      <w:r>
        <w:rPr>
          <w:rFonts w:ascii="Arial" w:cs="Arial" w:eastAsia="Arial" w:hAnsi="Arial"/>
          <w:sz w:val="17"/>
          <w:szCs w:val="17"/>
          <w:color w:val="auto"/>
        </w:rPr>
        <w:t>—The tables below reflect the balances of each component of AOCI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2018 and 2017 and activity during the years then ended: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1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Lazard Group</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Plans</w:t>
            </w:r>
          </w:p>
        </w:tc>
        <w:tc>
          <w:tcPr>
            <w:tcW w:w="20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AOCI</w:t>
            </w:r>
          </w:p>
        </w:tc>
        <w:tc>
          <w:tcPr>
            <w:tcW w:w="18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Interests</w:t>
            </w:r>
          </w:p>
        </w:tc>
        <w:tc>
          <w:tcPr>
            <w:tcW w:w="20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2019</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(82,829)</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(145,831</w:t>
            </w:r>
          </w:p>
        </w:tc>
        <w:tc>
          <w:tcPr>
            <w:tcW w:w="240" w:type="dxa"/>
            <w:vAlign w:val="bottom"/>
            <w:tcBorders>
              <w:top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(228,660</w:t>
            </w:r>
          </w:p>
        </w:tc>
        <w:tc>
          <w:tcPr>
            <w:tcW w:w="220" w:type="dxa"/>
            <w:vAlign w:val="bottom"/>
            <w:tcBorders>
              <w:top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(228,660</w:t>
            </w:r>
          </w:p>
        </w:tc>
        <w:tc>
          <w:tcPr>
            <w:tcW w:w="1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Activity:</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8,460</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(34,921)</w:t>
            </w: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(26,461)</w:t>
            </w: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(26,461)</w:t>
            </w: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4,717</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4,717</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4,717</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(30,204)</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(21,744)</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Balance, December 31, 2019</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(74,369)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(176,035</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(250,404</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(250,404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24"/>
                <w:szCs w:val="2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1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Lazard Group</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Plans</w:t>
            </w:r>
          </w:p>
        </w:tc>
        <w:tc>
          <w:tcPr>
            <w:tcW w:w="20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AOCI</w:t>
            </w:r>
          </w:p>
        </w:tc>
        <w:tc>
          <w:tcPr>
            <w:tcW w:w="18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Interests</w:t>
            </w:r>
          </w:p>
        </w:tc>
        <w:tc>
          <w:tcPr>
            <w:tcW w:w="20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2018</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(43,790)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(151,466</w:t>
            </w:r>
          </w:p>
        </w:tc>
        <w:tc>
          <w:tcPr>
            <w:tcW w:w="240" w:type="dxa"/>
            <w:vAlign w:val="bottom"/>
            <w:tcBorders>
              <w:top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(195,256</w:t>
            </w:r>
          </w:p>
        </w:tc>
        <w:tc>
          <w:tcPr>
            <w:tcW w:w="220" w:type="dxa"/>
            <w:vAlign w:val="bottom"/>
            <w:tcBorders>
              <w:top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(195,256</w:t>
            </w:r>
          </w:p>
        </w:tc>
        <w:tc>
          <w:tcPr>
            <w:tcW w:w="1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Activity:</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loss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(39,039)</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(5,100)</w:t>
            </w: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(44,139)</w:t>
            </w: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(44,139)</w:t>
            </w: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10,735</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10,735</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10,735</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(39,039)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5,635</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(33,404)</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Balance, December 31, 2018</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(82,829)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(145,831</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(228,660</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(228,660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376"/>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1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Lazard Group</w:t>
            </w:r>
          </w:p>
        </w:tc>
        <w:tc>
          <w:tcPr>
            <w:tcW w:w="0" w:type="dxa"/>
            <w:vAlign w:val="bottom"/>
          </w:tcPr>
          <w:p>
            <w:pPr>
              <w:spacing w:after="0"/>
              <w:rPr>
                <w:sz w:val="1"/>
                <w:szCs w:val="1"/>
                <w:color w:val="auto"/>
              </w:rPr>
            </w:pPr>
          </w:p>
        </w:tc>
      </w:tr>
      <w:tr>
        <w:trPr>
          <w:trHeight w:val="171"/>
        </w:trPr>
        <w:tc>
          <w:tcPr>
            <w:tcW w:w="5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0"/>
              </w:rPr>
              <w:t>Plans</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AOCI</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 2017</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(109,306</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(161,471</w:t>
            </w:r>
          </w:p>
        </w:tc>
        <w:tc>
          <w:tcPr>
            <w:tcW w:w="24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(270,777</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(270,775</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Activity:</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65,516</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2,054</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67,570</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67,568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7,951</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7,951</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7,951</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w:t>
            </w: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65,516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10,005</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75,521</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Balance, December 31, 2017</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(43,790)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(151,466</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(195,256</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(195,256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table below reflects adjustments for items reclassified out of AOCI, by component, for the years ended December 31, 2019, 2018 and 2017:</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5"/>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1760" w:type="dxa"/>
            <w:vAlign w:val="bottom"/>
            <w:tcBorders>
              <w:bottom w:val="single" w:sz="8" w:color="CFF0FC"/>
            </w:tcBorders>
          </w:tcPr>
          <w:p>
            <w:pPr>
              <w:spacing w:after="0"/>
              <w:rPr>
                <w:sz w:val="13"/>
                <w:szCs w:val="13"/>
                <w:color w:val="auto"/>
              </w:rPr>
            </w:pPr>
          </w:p>
        </w:tc>
        <w:tc>
          <w:tcPr>
            <w:tcW w:w="3480" w:type="dxa"/>
            <w:vAlign w:val="bottom"/>
            <w:tcBorders>
              <w:bottom w:val="single" w:sz="8" w:color="CFF0FC"/>
            </w:tcBorders>
          </w:tcPr>
          <w:p>
            <w:pPr>
              <w:spacing w:after="0"/>
              <w:rPr>
                <w:sz w:val="13"/>
                <w:szCs w:val="13"/>
                <w:color w:val="auto"/>
              </w:rPr>
            </w:pPr>
          </w:p>
        </w:tc>
        <w:tc>
          <w:tcPr>
            <w:tcW w:w="154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Amortization relating to employee benefit plans (a)</w:t>
            </w:r>
          </w:p>
        </w:tc>
        <w:tc>
          <w:tcPr>
            <w:tcW w:w="15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13,070</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10,171</w:t>
            </w: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Less - related income taxes</w:t>
            </w:r>
          </w:p>
        </w:tc>
        <w:tc>
          <w:tcPr>
            <w:tcW w:w="15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2,335</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2,220</w:t>
            </w:r>
          </w:p>
        </w:tc>
        <w:tc>
          <w:tcPr>
            <w:tcW w:w="100" w:type="dxa"/>
            <w:vAlign w:val="bottom"/>
            <w:tcBorders>
              <w:bottom w:val="single" w:sz="8" w:color="CFF0FC"/>
            </w:tcBorders>
          </w:tcPr>
          <w:p>
            <w:pPr>
              <w:spacing w:after="0"/>
              <w:rPr>
                <w:sz w:val="19"/>
                <w:szCs w:val="19"/>
                <w:color w:val="auto"/>
              </w:rPr>
            </w:pPr>
          </w:p>
        </w:tc>
      </w:tr>
      <w:tr>
        <w:trPr>
          <w:trHeight w:val="223"/>
        </w:trPr>
        <w:tc>
          <w:tcPr>
            <w:tcW w:w="52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reclassifications, net of tax</w:t>
            </w:r>
          </w:p>
        </w:tc>
        <w:tc>
          <w:tcPr>
            <w:tcW w:w="15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4,717</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10,735</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7,951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17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34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6" w:lineRule="exact"/>
        <w:rPr>
          <w:sz w:val="20"/>
          <w:szCs w:val="20"/>
          <w:color w:val="auto"/>
        </w:rPr>
      </w:pPr>
    </w:p>
    <w:p>
      <w:pPr>
        <w:ind w:left="600" w:right="60" w:hanging="592"/>
        <w:spacing w:after="0" w:line="277" w:lineRule="auto"/>
        <w:tabs>
          <w:tab w:leader="none" w:pos="6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Included in the computation of net periodic benefit cost (see Note 17). Such amounts are included in “operating expenses –other” on the consolidated statements of operations.</w:t>
      </w:r>
    </w:p>
    <w:p>
      <w:pPr>
        <w:spacing w:after="0" w:line="170"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b w:val="1"/>
          <w:bCs w:val="1"/>
          <w:i w:val="1"/>
          <w:iCs w:val="1"/>
          <w:color w:val="auto"/>
        </w:rPr>
        <w:t>Noncontrolling Interests—</w:t>
      </w:r>
      <w:r>
        <w:rPr>
          <w:rFonts w:ascii="Arial" w:cs="Arial" w:eastAsia="Arial" w:hAnsi="Arial"/>
          <w:sz w:val="18"/>
          <w:szCs w:val="18"/>
          <w:color w:val="auto"/>
        </w:rPr>
        <w:t>Noncontrolling interests principally represent (i) interests held in Edgewater’s management vehicles that the Company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deemed to control, but does not own, and (ii) consolidated VIE interests held by employees (see Note 23).</w:t>
      </w:r>
    </w:p>
    <w:p>
      <w:pPr>
        <w:spacing w:after="0" w:line="170" w:lineRule="exact"/>
        <w:rPr>
          <w:sz w:val="20"/>
          <w:szCs w:val="20"/>
          <w:color w:val="auto"/>
        </w:rPr>
      </w:pPr>
    </w:p>
    <w:p>
      <w:pPr>
        <w:ind w:right="760" w:firstLine="598"/>
        <w:spacing w:after="0" w:line="277" w:lineRule="auto"/>
        <w:rPr>
          <w:sz w:val="20"/>
          <w:szCs w:val="20"/>
          <w:color w:val="auto"/>
        </w:rPr>
      </w:pPr>
      <w:r>
        <w:rPr>
          <w:rFonts w:ascii="Arial" w:cs="Arial" w:eastAsia="Arial" w:hAnsi="Arial"/>
          <w:sz w:val="18"/>
          <w:szCs w:val="18"/>
          <w:color w:val="auto"/>
        </w:rPr>
        <w:t>The tables below summarize net income attributable to noncontrolling interests for the years ended December 31, 2019, 2018 and 2017 and noncontrolling interests as of December 31, 2019 and 2018, in the Company’s consolidated financial statements:</w:t>
      </w:r>
    </w:p>
    <w:p>
      <w:pPr>
        <w:spacing w:after="0" w:line="176" w:lineRule="exact"/>
        <w:rPr>
          <w:sz w:val="20"/>
          <w:szCs w:val="20"/>
          <w:color w:val="auto"/>
        </w:rPr>
      </w:pPr>
    </w:p>
    <w:p>
      <w:pPr>
        <w:jc w:val="center"/>
        <w:ind w:left="6660"/>
        <w:spacing w:after="0"/>
        <w:rPr>
          <w:sz w:val="20"/>
          <w:szCs w:val="20"/>
          <w:color w:val="auto"/>
        </w:rPr>
      </w:pPr>
      <w:r>
        <w:rPr>
          <w:rFonts w:ascii="Arial" w:cs="Arial" w:eastAsia="Arial" w:hAnsi="Arial"/>
          <w:sz w:val="14"/>
          <w:szCs w:val="14"/>
          <w:b w:val="1"/>
          <w:bCs w:val="1"/>
          <w:color w:val="auto"/>
        </w:rPr>
        <w:t>Net Income</w:t>
      </w:r>
    </w:p>
    <w:p>
      <w:pPr>
        <w:jc w:val="center"/>
        <w:ind w:left="6660"/>
        <w:spacing w:after="0" w:line="226" w:lineRule="auto"/>
        <w:rPr>
          <w:sz w:val="20"/>
          <w:szCs w:val="20"/>
          <w:color w:val="auto"/>
        </w:rPr>
      </w:pPr>
      <w:r>
        <w:rPr>
          <w:rFonts w:ascii="Arial" w:cs="Arial" w:eastAsia="Arial" w:hAnsi="Arial"/>
          <w:sz w:val="14"/>
          <w:szCs w:val="14"/>
          <w:b w:val="1"/>
          <w:bCs w:val="1"/>
          <w:color w:val="auto"/>
        </w:rPr>
        <w:t>Attributable to Noncontrolling Interests</w:t>
      </w:r>
    </w:p>
    <w:p>
      <w:pPr>
        <w:jc w:val="center"/>
        <w:ind w:left="6660"/>
        <w:spacing w:after="0" w:line="232" w:lineRule="auto"/>
        <w:rPr>
          <w:sz w:val="20"/>
          <w:szCs w:val="20"/>
          <w:color w:val="auto"/>
        </w:rPr>
      </w:pPr>
      <w:r>
        <w:rPr>
          <w:rFonts w:ascii="Arial" w:cs="Arial" w:eastAsia="Arial" w:hAnsi="Arial"/>
          <w:sz w:val="14"/>
          <w:szCs w:val="14"/>
          <w:b w:val="1"/>
          <w:bCs w:val="1"/>
          <w:color w:val="auto"/>
        </w:rPr>
        <w:t>Year Ended December 31,</w:t>
      </w:r>
    </w:p>
    <w:tbl>
      <w:tblPr>
        <w:tblLayout w:type="fixed"/>
        <w:tblInd w:w="0" w:type="dxa"/>
        <w:tblCellMar>
          <w:top w:w="0" w:type="dxa"/>
          <w:left w:w="0" w:type="dxa"/>
          <w:bottom w:w="0" w:type="dxa"/>
          <w:right w:w="0" w:type="dxa"/>
        </w:tblCellMar>
      </w:tblPr>
      <w:tr>
        <w:trPr>
          <w:trHeight w:val="156"/>
        </w:trPr>
        <w:tc>
          <w:tcPr>
            <w:tcW w:w="3480" w:type="dxa"/>
            <w:vAlign w:val="bottom"/>
            <w:tcBorders>
              <w:bottom w:val="single" w:sz="8" w:color="CFF0FC"/>
            </w:tcBorders>
          </w:tcPr>
          <w:p>
            <w:pPr>
              <w:spacing w:after="0"/>
              <w:rPr>
                <w:sz w:val="13"/>
                <w:szCs w:val="13"/>
                <w:color w:val="auto"/>
              </w:rPr>
            </w:pPr>
          </w:p>
        </w:tc>
        <w:tc>
          <w:tcPr>
            <w:tcW w:w="330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CFF0FC"/>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Edgewater</w:t>
            </w:r>
          </w:p>
        </w:tc>
        <w:tc>
          <w:tcPr>
            <w:tcW w:w="33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9,850</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5,320</w:t>
            </w:r>
          </w:p>
        </w:tc>
        <w:tc>
          <w:tcPr>
            <w:tcW w:w="280" w:type="dxa"/>
            <w:vAlign w:val="bottom"/>
            <w:gridSpan w:val="2"/>
            <w:shd w:val="clear" w:color="auto" w:fill="CFF0FC"/>
          </w:tcPr>
          <w:p>
            <w:pPr>
              <w:spacing w:after="0"/>
              <w:rPr>
                <w:sz w:val="19"/>
                <w:szCs w:val="19"/>
                <w:color w:val="auto"/>
              </w:rPr>
            </w:pPr>
          </w:p>
        </w:tc>
        <w:tc>
          <w:tcPr>
            <w:tcW w:w="340" w:type="dxa"/>
            <w:vAlign w:val="bottom"/>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Consolidated VIEs</w:t>
            </w:r>
          </w:p>
        </w:tc>
        <w:tc>
          <w:tcPr>
            <w:tcW w:w="3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1,363</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33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tcPr>
          <w:p>
            <w:pPr>
              <w:spacing w:after="0"/>
              <w:rPr>
                <w:sz w:val="20"/>
                <w:szCs w:val="20"/>
                <w:color w:val="auto"/>
              </w:rPr>
            </w:pPr>
            <w:r>
              <w:rPr>
                <w:rFonts w:ascii="Arial" w:cs="Arial" w:eastAsia="Arial" w:hAnsi="Arial"/>
                <w:sz w:val="18"/>
                <w:szCs w:val="18"/>
                <w:color w:val="auto"/>
              </w:rPr>
              <w:t>Total</w:t>
            </w:r>
          </w:p>
        </w:tc>
        <w:tc>
          <w:tcPr>
            <w:tcW w:w="33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11,216</w:t>
            </w:r>
          </w:p>
        </w:tc>
        <w:tc>
          <w:tcPr>
            <w:tcW w:w="26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5,323</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34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4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Noncontrolling Interests</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jc w:val="right"/>
              <w:ind w:right="130"/>
              <w:spacing w:after="0"/>
              <w:rPr>
                <w:sz w:val="20"/>
                <w:szCs w:val="20"/>
                <w:color w:val="auto"/>
              </w:rPr>
            </w:pPr>
            <w:r>
              <w:rPr>
                <w:rFonts w:ascii="Arial" w:cs="Arial" w:eastAsia="Arial" w:hAnsi="Arial"/>
                <w:sz w:val="14"/>
                <w:szCs w:val="14"/>
                <w:b w:val="1"/>
                <w:bCs w:val="1"/>
                <w:color w:val="auto"/>
              </w:rPr>
              <w:t>as of December 31,</w:t>
            </w:r>
          </w:p>
        </w:tc>
        <w:tc>
          <w:tcPr>
            <w:tcW w:w="9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80" w:type="dxa"/>
            <w:vAlign w:val="bottom"/>
            <w:tcBorders>
              <w:bottom w:val="single" w:sz="8" w:color="CFF0FC"/>
            </w:tcBorders>
          </w:tcPr>
          <w:p>
            <w:pPr>
              <w:spacing w:after="0"/>
              <w:rPr>
                <w:sz w:val="13"/>
                <w:szCs w:val="13"/>
                <w:color w:val="auto"/>
              </w:rPr>
            </w:pPr>
          </w:p>
        </w:tc>
        <w:tc>
          <w:tcPr>
            <w:tcW w:w="3300" w:type="dxa"/>
            <w:vAlign w:val="bottom"/>
            <w:tcBorders>
              <w:bottom w:val="single" w:sz="8" w:color="CFF0FC"/>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7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w w:val="89"/>
              </w:rPr>
              <w:t>2018</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Edgewater</w:t>
            </w:r>
          </w:p>
        </w:tc>
        <w:tc>
          <w:tcPr>
            <w:tcW w:w="3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50,151</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52,695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Consolidated VIEs</w:t>
            </w:r>
          </w:p>
        </w:tc>
        <w:tc>
          <w:tcPr>
            <w:tcW w:w="3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18,241</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3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tcPr>
          <w:p>
            <w:pPr>
              <w:spacing w:after="0"/>
              <w:rPr>
                <w:sz w:val="20"/>
                <w:szCs w:val="20"/>
                <w:color w:val="auto"/>
              </w:rPr>
            </w:pPr>
            <w:r>
              <w:rPr>
                <w:rFonts w:ascii="Arial" w:cs="Arial" w:eastAsia="Arial" w:hAnsi="Arial"/>
                <w:sz w:val="18"/>
                <w:szCs w:val="18"/>
                <w:color w:val="auto"/>
              </w:rPr>
              <w:t>Total</w:t>
            </w:r>
          </w:p>
        </w:tc>
        <w:tc>
          <w:tcPr>
            <w:tcW w:w="3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68,406</w:t>
            </w:r>
          </w:p>
        </w:tc>
        <w:tc>
          <w:tcPr>
            <w:tcW w:w="28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52,707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3300" w:type="dxa"/>
            <w:vAlign w:val="bottom"/>
            <w:vMerge w:val="restart"/>
          </w:tcPr>
          <w:p>
            <w:pPr>
              <w:jc w:val="right"/>
              <w:ind w:right="850"/>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348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80" w:type="dxa"/>
            <w:vAlign w:val="bottom"/>
            <w:tcBorders>
              <w:bottom w:val="single" w:sz="8" w:color="9A9A9A"/>
            </w:tcBorders>
          </w:tcPr>
          <w:p>
            <w:pPr>
              <w:spacing w:after="0"/>
              <w:rPr>
                <w:sz w:val="10"/>
                <w:szCs w:val="10"/>
                <w:color w:val="auto"/>
              </w:rPr>
            </w:pPr>
          </w:p>
        </w:tc>
        <w:tc>
          <w:tcPr>
            <w:tcW w:w="33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81" w:lineRule="exact"/>
        <w:rPr>
          <w:sz w:val="20"/>
          <w:szCs w:val="20"/>
          <w:color w:val="auto"/>
        </w:rPr>
      </w:pPr>
    </w:p>
    <w:p>
      <w:pPr>
        <w:ind w:left="600" w:hanging="592"/>
        <w:spacing w:after="0"/>
        <w:tabs>
          <w:tab w:leader="none" w:pos="600" w:val="left"/>
        </w:tabs>
        <w:numPr>
          <w:ilvl w:val="0"/>
          <w:numId w:val="7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117" w:lineRule="exact"/>
        <w:rPr>
          <w:sz w:val="20"/>
          <w:szCs w:val="20"/>
          <w:color w:val="auto"/>
        </w:rPr>
      </w:pPr>
    </w:p>
    <w:p>
      <w:pPr>
        <w:ind w:right="340" w:firstLine="598"/>
        <w:spacing w:after="0" w:line="277" w:lineRule="auto"/>
        <w:rPr>
          <w:sz w:val="20"/>
          <w:szCs w:val="20"/>
          <w:color w:val="auto"/>
        </w:rPr>
      </w:pPr>
      <w:r>
        <w:rPr>
          <w:rFonts w:ascii="Arial" w:cs="Arial" w:eastAsia="Arial" w:hAnsi="Arial"/>
          <w:sz w:val="18"/>
          <w:szCs w:val="18"/>
          <w:color w:val="auto"/>
        </w:rPr>
        <w:t>A description of Lazard Ltd’s 2018 Plan, 2008 Plan and 2005 Equity Incentive Plan (the “2005 Plan”) and activity with respect thereto during the years ended December 31, 2019, 2018 and 2017 is presented below.</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Shares Available Under the 2018 Plan, 2008 Plan and 2005 Plan</w:t>
      </w:r>
    </w:p>
    <w:p>
      <w:pPr>
        <w:spacing w:after="0" w:line="117"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The 2018 Plan became effective on April 24, 2018 and replaced the 2008 Plan, which was terminated on April 24, 2018. The 2018 Plan authorizes the issuance of up to 30,000,000 shares of Class A common stock pursuant to the grant or exercise of stock options, stock appreciation rights, restricted stock units (“RSUs”), performance-based restricted stock units (“PRSUs”), profits interest participation rights, including performance-based restricted participation units (“PRPUs”), and other share-based awards.</w:t>
      </w:r>
    </w:p>
    <w:p>
      <w:pPr>
        <w:spacing w:after="0" w:line="187" w:lineRule="exact"/>
        <w:rPr>
          <w:sz w:val="20"/>
          <w:szCs w:val="20"/>
          <w:color w:val="auto"/>
        </w:rPr>
      </w:pPr>
    </w:p>
    <w:p>
      <w:pPr>
        <w:ind w:right="120" w:firstLine="598"/>
        <w:spacing w:after="0" w:line="297" w:lineRule="auto"/>
        <w:rPr>
          <w:sz w:val="20"/>
          <w:szCs w:val="20"/>
          <w:color w:val="auto"/>
        </w:rPr>
      </w:pPr>
      <w:r>
        <w:rPr>
          <w:rFonts w:ascii="Arial" w:cs="Arial" w:eastAsia="Arial" w:hAnsi="Arial"/>
          <w:sz w:val="16"/>
          <w:szCs w:val="16"/>
          <w:color w:val="auto"/>
        </w:rPr>
        <w:t>The 2008 Plan authorized the issuance of shares of Class A common stock pursuant to the grant or exercise of stock options, stock appreciation rights, RSUs, PRSUs and other share-based awards. Under the 2008 Plan, the maximum number of shares available was based on a formula that limited the aggregate number of shares that could, at any time, be subject to awards that were considered “outstanding” under the 2008 Plan to 30% of the then-outstanding shares of Class A common stock. The 2008 Plan was terminated on April 24, 2018, and no additional awards have been or will be granted under the 2008 Plan after its termination, although outstanding awards granted under the 2008 Plan before its termination continue to be subject to its terms.</w:t>
      </w:r>
    </w:p>
    <w:p>
      <w:pPr>
        <w:spacing w:after="0" w:line="158" w:lineRule="exact"/>
        <w:rPr>
          <w:sz w:val="20"/>
          <w:szCs w:val="20"/>
          <w:color w:val="auto"/>
        </w:rPr>
      </w:pPr>
    </w:p>
    <w:p>
      <w:pPr>
        <w:ind w:right="160" w:firstLine="598"/>
        <w:spacing w:after="0" w:line="264" w:lineRule="auto"/>
        <w:rPr>
          <w:sz w:val="20"/>
          <w:szCs w:val="20"/>
          <w:color w:val="auto"/>
        </w:rPr>
      </w:pPr>
      <w:r>
        <w:rPr>
          <w:rFonts w:ascii="Arial" w:cs="Arial" w:eastAsia="Arial" w:hAnsi="Arial"/>
          <w:sz w:val="18"/>
          <w:szCs w:val="18"/>
          <w:color w:val="auto"/>
        </w:rPr>
        <w:t>The 2005 Plan authorized the issuance of up to 25,000,000 shares of Class A common stock pursuant to the grant or exercise of stock options, stock appreciation rights, RSUs and other share-based awards. The 2005 Plan expired in the second quarter of 2015, although outstanding deferred stock unit (“DSU”) awards granted under the 2005 Plan before its expiration continue to be subject to its terms.</w:t>
      </w:r>
    </w:p>
    <w:p>
      <w:pPr>
        <w:spacing w:after="0" w:line="222" w:lineRule="exact"/>
        <w:rPr>
          <w:sz w:val="20"/>
          <w:szCs w:val="20"/>
          <w:color w:val="auto"/>
        </w:rPr>
      </w:pPr>
    </w:p>
    <w:p>
      <w:pPr>
        <w:ind w:right="320" w:firstLine="598"/>
        <w:spacing w:after="0" w:line="264" w:lineRule="auto"/>
        <w:rPr>
          <w:sz w:val="20"/>
          <w:szCs w:val="20"/>
          <w:color w:val="auto"/>
        </w:rPr>
      </w:pPr>
      <w:r>
        <w:rPr>
          <w:rFonts w:ascii="Arial" w:cs="Arial" w:eastAsia="Arial" w:hAnsi="Arial"/>
          <w:sz w:val="18"/>
          <w:szCs w:val="18"/>
          <w:color w:val="auto"/>
        </w:rPr>
        <w:t>The following reflects the amortization expense recorded with respect to share-based incentive plans within “compensation and benefits” expense (with respect to RSUs, PRSUs, profits interest participation rights, including PRPUs, and other share-based awards) and “professional services” expense (with respect to DSUs) within the Company’s accompanying consolidated statements of operations: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5"/>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760" w:type="dxa"/>
            <w:vAlign w:val="bottom"/>
            <w:tcBorders>
              <w:bottom w:val="single" w:sz="8" w:color="CFF0FC"/>
            </w:tcBorders>
          </w:tcPr>
          <w:p>
            <w:pPr>
              <w:spacing w:after="0"/>
              <w:rPr>
                <w:sz w:val="13"/>
                <w:szCs w:val="13"/>
                <w:color w:val="auto"/>
              </w:rPr>
            </w:pPr>
          </w:p>
        </w:tc>
        <w:tc>
          <w:tcPr>
            <w:tcW w:w="20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Share-based incentive awards:</w:t>
            </w:r>
          </w:p>
        </w:tc>
        <w:tc>
          <w:tcPr>
            <w:tcW w:w="2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760" w:type="dxa"/>
            <w:vAlign w:val="bottom"/>
          </w:tcPr>
          <w:p>
            <w:pPr>
              <w:ind w:left="260"/>
              <w:spacing w:after="0"/>
              <w:rPr>
                <w:sz w:val="20"/>
                <w:szCs w:val="20"/>
                <w:color w:val="auto"/>
              </w:rPr>
            </w:pPr>
            <w:r>
              <w:rPr>
                <w:rFonts w:ascii="Arial" w:cs="Arial" w:eastAsia="Arial" w:hAnsi="Arial"/>
                <w:sz w:val="18"/>
                <w:szCs w:val="18"/>
                <w:color w:val="auto"/>
              </w:rPr>
              <w:t>RSUs</w:t>
            </w:r>
          </w:p>
        </w:tc>
        <w:tc>
          <w:tcPr>
            <w:tcW w:w="23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168,338</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193,924</w:t>
            </w:r>
          </w:p>
        </w:tc>
        <w:tc>
          <w:tcPr>
            <w:tcW w:w="180" w:type="dxa"/>
            <w:vAlign w:val="bottom"/>
          </w:tcPr>
          <w:p>
            <w:pPr>
              <w:spacing w:after="0"/>
              <w:rPr>
                <w:sz w:val="19"/>
                <w:szCs w:val="19"/>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190,821</w:t>
            </w:r>
          </w:p>
        </w:tc>
        <w:tc>
          <w:tcPr>
            <w:tcW w:w="100" w:type="dxa"/>
            <w:vAlign w:val="bottom"/>
          </w:tcPr>
          <w:p>
            <w:pPr>
              <w:spacing w:after="0"/>
              <w:rPr>
                <w:sz w:val="19"/>
                <w:szCs w:val="19"/>
                <w:color w:val="auto"/>
              </w:rPr>
            </w:pPr>
          </w:p>
        </w:tc>
      </w:tr>
      <w:tr>
        <w:trPr>
          <w:trHeight w:val="230"/>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PRSUs</w:t>
            </w:r>
          </w:p>
        </w:tc>
        <w:tc>
          <w:tcPr>
            <w:tcW w:w="2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34,114</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40,767</w:t>
            </w:r>
          </w:p>
        </w:tc>
        <w:tc>
          <w:tcPr>
            <w:tcW w:w="100" w:type="dxa"/>
            <w:vAlign w:val="bottom"/>
            <w:shd w:val="clear" w:color="auto" w:fill="CFF0FC"/>
          </w:tcPr>
          <w:p>
            <w:pPr>
              <w:spacing w:after="0"/>
              <w:rPr>
                <w:sz w:val="19"/>
                <w:szCs w:val="19"/>
                <w:color w:val="auto"/>
              </w:rPr>
            </w:pPr>
          </w:p>
        </w:tc>
      </w:tr>
      <w:tr>
        <w:trPr>
          <w:trHeight w:val="230"/>
        </w:trPr>
        <w:tc>
          <w:tcPr>
            <w:tcW w:w="4760" w:type="dxa"/>
            <w:vAlign w:val="bottom"/>
          </w:tcPr>
          <w:p>
            <w:pPr>
              <w:ind w:left="260"/>
              <w:spacing w:after="0"/>
              <w:rPr>
                <w:sz w:val="20"/>
                <w:szCs w:val="20"/>
                <w:color w:val="auto"/>
              </w:rPr>
            </w:pPr>
            <w:r>
              <w:rPr>
                <w:rFonts w:ascii="Arial" w:cs="Arial" w:eastAsia="Arial" w:hAnsi="Arial"/>
                <w:sz w:val="18"/>
                <w:szCs w:val="18"/>
                <w:color w:val="auto"/>
              </w:rPr>
              <w:t>Restricted Stock</w:t>
            </w:r>
          </w:p>
        </w:tc>
        <w:tc>
          <w:tcPr>
            <w:tcW w:w="2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29,322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37,261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39,369</w:t>
            </w:r>
          </w:p>
        </w:tc>
        <w:tc>
          <w:tcPr>
            <w:tcW w:w="100" w:type="dxa"/>
            <w:vAlign w:val="bottom"/>
          </w:tcPr>
          <w:p>
            <w:pPr>
              <w:spacing w:after="0"/>
              <w:rPr>
                <w:sz w:val="19"/>
                <w:szCs w:val="19"/>
                <w:color w:val="auto"/>
              </w:rPr>
            </w:pPr>
          </w:p>
        </w:tc>
      </w:tr>
      <w:tr>
        <w:trPr>
          <w:trHeight w:val="230"/>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Profits interest participation rights</w:t>
            </w:r>
          </w:p>
        </w:tc>
        <w:tc>
          <w:tcPr>
            <w:tcW w:w="2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44,537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4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DSUs</w:t>
            </w:r>
          </w:p>
        </w:tc>
        <w:tc>
          <w:tcPr>
            <w:tcW w:w="20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w:t>
            </w:r>
          </w:p>
        </w:tc>
        <w:tc>
          <w:tcPr>
            <w:tcW w:w="100" w:type="dxa"/>
            <w:vAlign w:val="bottom"/>
            <w:tcBorders>
              <w:bottom w:val="single" w:sz="8" w:color="CFF0FC"/>
            </w:tcBorders>
          </w:tcPr>
          <w:p>
            <w:pPr>
              <w:spacing w:after="0"/>
              <w:rPr>
                <w:sz w:val="19"/>
                <w:szCs w:val="19"/>
                <w:color w:val="auto"/>
              </w:rPr>
            </w:pPr>
          </w:p>
        </w:tc>
      </w:tr>
      <w:tr>
        <w:trPr>
          <w:trHeight w:val="223"/>
        </w:trPr>
        <w:tc>
          <w:tcPr>
            <w:tcW w:w="47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252,112</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266,436</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271,961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The ultimate amount of compensation and benefits expense relating to share-based awards is dependent upon the actual number of shares of Class A common stock that vest. The Company periodically assesses the forfeiture rates used for such estimates, including as a result of any applicable performance conditions. A change in estimated forfeiture rates or performance results in a cumulative adjustment to compensation and benefits expense and also would cause the aggregate amount of compensation expense recognized in future periods to differ from the estimated unrecognized compensation expense described below.</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Company’s share-based incentive plans and awards are described below.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9" w:name="page110"/>
    <w:bookmarkEnd w:id="109"/>
    <w:p>
      <w:pPr>
        <w:jc w:val="center"/>
        <w:ind w:right="-79"/>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RSUs and DSUs</w:t>
      </w:r>
    </w:p>
    <w:p>
      <w:pPr>
        <w:spacing w:after="0" w:line="117" w:lineRule="exact"/>
        <w:rPr>
          <w:sz w:val="20"/>
          <w:szCs w:val="20"/>
          <w:color w:val="auto"/>
        </w:rPr>
      </w:pPr>
    </w:p>
    <w:p>
      <w:pPr>
        <w:ind w:right="120" w:firstLine="598"/>
        <w:spacing w:after="0" w:line="302" w:lineRule="auto"/>
        <w:rPr>
          <w:sz w:val="20"/>
          <w:szCs w:val="20"/>
          <w:color w:val="auto"/>
        </w:rPr>
      </w:pPr>
      <w:r>
        <w:rPr>
          <w:rFonts w:ascii="Arial" w:cs="Arial" w:eastAsia="Arial" w:hAnsi="Arial"/>
          <w:sz w:val="16"/>
          <w:szCs w:val="16"/>
          <w:color w:val="auto"/>
        </w:rPr>
        <w:t>RSUs generally require future service as a condition for the delivery of the underlying shares of Class A common stock (unless the recipient is then eligible for retirement under the Company’s retirement policy) and convert into shares of Class A common stock on a one-for-one basis after the stipulated vesting periods. The grant date fair value of the RSUs, net of an estimated forfeiture rate, is amortized over the vesting periods or requisite service periods (generally one-third after two years, and the remaining two-thirds after the third year), and is adjusted for actual forfeitures over such period.</w:t>
      </w:r>
    </w:p>
    <w:p>
      <w:pPr>
        <w:spacing w:after="0" w:line="154"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RSUs generally include a dividend participation right that provides that during vesting periods each RSU is attributed additional RSUs (or fractions thereof) equivalent to any dividends paid on Class A common stock during such period. During the year ended December 31, 2019, dividend participation rights required the issuance of 862,609 RSUs.</w:t>
      </w:r>
    </w:p>
    <w:p>
      <w:pPr>
        <w:spacing w:after="0" w:line="222" w:lineRule="exact"/>
        <w:rPr>
          <w:sz w:val="20"/>
          <w:szCs w:val="20"/>
          <w:color w:val="auto"/>
        </w:rPr>
      </w:pPr>
    </w:p>
    <w:p>
      <w:pPr>
        <w:ind w:right="140" w:firstLine="598"/>
        <w:spacing w:after="0" w:line="255" w:lineRule="auto"/>
        <w:rPr>
          <w:sz w:val="20"/>
          <w:szCs w:val="20"/>
          <w:color w:val="auto"/>
        </w:rPr>
      </w:pPr>
      <w:r>
        <w:rPr>
          <w:rFonts w:ascii="Arial" w:cs="Arial" w:eastAsia="Arial" w:hAnsi="Arial"/>
          <w:sz w:val="18"/>
          <w:szCs w:val="18"/>
          <w:color w:val="auto"/>
        </w:rPr>
        <w:t>Non-executive members of the Board of Directors of Lazard Group, who are the same Non-Executive Directors of Lazard Ltd (“Non-Executive Directors”), receive approximately 55% of their annual compensation for service on the Board of Directors and its committees in the form of DSUs, which resulted in 51,379 DSUs granted during the year ended December 31, 2019. Their remaining compensation is payable in cash, which they may elect to receive in the form of additional DSUs under the Directors’ Fee Deferral Unit Plan described below. DSUs are convertible into shares of Class A common stock at the time of cessation of service to the Board of Directors. DSUs include a cash dividend participation right equivalent to dividends paid on Class A common stock.</w:t>
      </w:r>
    </w:p>
    <w:p>
      <w:pPr>
        <w:spacing w:after="0" w:line="193" w:lineRule="exact"/>
        <w:rPr>
          <w:sz w:val="20"/>
          <w:szCs w:val="20"/>
          <w:color w:val="auto"/>
        </w:rPr>
      </w:pPr>
    </w:p>
    <w:p>
      <w:pPr>
        <w:ind w:firstLine="598"/>
        <w:spacing w:after="0" w:line="279" w:lineRule="auto"/>
        <w:rPr>
          <w:sz w:val="20"/>
          <w:szCs w:val="20"/>
          <w:color w:val="auto"/>
        </w:rPr>
      </w:pPr>
      <w:r>
        <w:rPr>
          <w:rFonts w:ascii="Arial" w:cs="Arial" w:eastAsia="Arial" w:hAnsi="Arial"/>
          <w:sz w:val="17"/>
          <w:szCs w:val="17"/>
          <w:color w:val="auto"/>
        </w:rPr>
        <w:t>Lazard Ltd’s Directors’ Fee Deferral Unit Plan permits the Non-Executive Directors to elect to receive additional DSUs in lieu of some or all of their cash fees. The number of DSUs granted to a Non-Executive Director pursuant to this election will equal the value of cash fees that the applicable Non-Executive Director has elected to forego pursuant to such election, divided by the market value of a share of Class A common stock on the date immediately preceding the date of the grant. During the year ended December 31, 2019, 21,048 DSUs had been granted pursuant to such Plan.</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DSU awards are expensed at their fair value on their date of grant, inclusive of amounts related to the Directors’ Fee Deferral Unit Plan.</w:t>
      </w:r>
    </w:p>
    <w:p>
      <w:pPr>
        <w:spacing w:after="0" w:line="26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is a summary of activity relating to RSUs and DSUs for the year ended December 31, 2019:</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38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b w:val="1"/>
                <w:bCs w:val="1"/>
                <w:color w:val="auto"/>
              </w:rPr>
              <w:t>RSUs</w:t>
            </w:r>
          </w:p>
        </w:tc>
        <w:tc>
          <w:tcPr>
            <w:tcW w:w="9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DSUs</w:t>
            </w: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78"/>
              <w:spacing w:after="0" w:line="133" w:lineRule="exact"/>
              <w:rPr>
                <w:sz w:val="20"/>
                <w:szCs w:val="20"/>
                <w:color w:val="auto"/>
              </w:rPr>
            </w:pPr>
            <w:r>
              <w:rPr>
                <w:rFonts w:ascii="Arial" w:cs="Arial" w:eastAsia="Arial" w:hAnsi="Arial"/>
                <w:sz w:val="14"/>
                <w:szCs w:val="14"/>
                <w:b w:val="1"/>
                <w:bCs w:val="1"/>
                <w:color w:val="auto"/>
                <w:w w:val="95"/>
              </w:rPr>
              <w:t>Weighted</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98"/>
              <w:spacing w:after="0" w:line="133" w:lineRule="exact"/>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1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4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Units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Fair Value</w:t>
            </w:r>
          </w:p>
        </w:tc>
        <w:tc>
          <w:tcPr>
            <w:tcW w:w="10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2019</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11,362,306</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43.78</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323,546</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tcPr>
          <w:p>
            <w:pPr>
              <w:spacing w:after="0"/>
              <w:rPr>
                <w:sz w:val="20"/>
                <w:szCs w:val="20"/>
                <w:color w:val="auto"/>
              </w:rPr>
            </w:pPr>
            <w:r>
              <w:rPr>
                <w:rFonts w:ascii="Arial" w:cs="Arial" w:eastAsia="Arial" w:hAnsi="Arial"/>
                <w:sz w:val="18"/>
                <w:szCs w:val="18"/>
                <w:color w:val="auto"/>
              </w:rPr>
              <w:t>Granted (including 862,609 RSUs relating to</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40"/>
              <w:spacing w:after="0"/>
              <w:rPr>
                <w:sz w:val="20"/>
                <w:szCs w:val="20"/>
                <w:color w:val="auto"/>
              </w:rPr>
            </w:pPr>
            <w:r>
              <w:rPr>
                <w:rFonts w:ascii="Arial" w:cs="Arial" w:eastAsia="Arial" w:hAnsi="Arial"/>
                <w:sz w:val="18"/>
                <w:szCs w:val="18"/>
                <w:color w:val="auto"/>
              </w:rPr>
              <w:t>dividend participation)</w:t>
            </w:r>
          </w:p>
        </w:tc>
        <w:tc>
          <w:tcPr>
            <w:tcW w:w="1040" w:type="dxa"/>
            <w:vAlign w:val="bottom"/>
          </w:tcPr>
          <w:p>
            <w:pPr>
              <w:jc w:val="right"/>
              <w:spacing w:after="0"/>
              <w:rPr>
                <w:sz w:val="20"/>
                <w:szCs w:val="20"/>
                <w:color w:val="auto"/>
              </w:rPr>
            </w:pPr>
            <w:r>
              <w:rPr>
                <w:rFonts w:ascii="Arial" w:cs="Arial" w:eastAsia="Arial" w:hAnsi="Arial"/>
                <w:sz w:val="18"/>
                <w:szCs w:val="18"/>
                <w:color w:val="auto"/>
              </w:rPr>
              <w:t>5,894,764</w:t>
            </w:r>
          </w:p>
        </w:tc>
        <w:tc>
          <w:tcPr>
            <w:tcW w:w="12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38.65</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72,427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32.38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(962,038)</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43.43</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Settled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(5,907,466)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37.17</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2019</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10,387,566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44.66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395,973</w:t>
            </w:r>
          </w:p>
        </w:tc>
        <w:tc>
          <w:tcPr>
            <w:tcW w:w="3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38.01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In connection with RSUs that settled during the year ended December 31, 2019, the Company satisfied its minimum statutory tax withholding requirements in lieu of delivering 2,064,257 shares of Class A common stock during the year. Accordingly, 3,843,209 shares of Class A common stock held by the Company were delivered during the year ended December 31, 2019.</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110" w:name="page111"/>
    <w:bookmarkEnd w:id="110"/>
    <w:p>
      <w:pPr>
        <w:jc w:val="center"/>
        <w:ind w:right="-99"/>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right="140" w:firstLine="598"/>
        <w:spacing w:after="0" w:line="277" w:lineRule="auto"/>
        <w:rPr>
          <w:sz w:val="20"/>
          <w:szCs w:val="20"/>
          <w:color w:val="auto"/>
        </w:rPr>
      </w:pPr>
      <w:r>
        <w:rPr>
          <w:rFonts w:ascii="Arial" w:cs="Arial" w:eastAsia="Arial" w:hAnsi="Arial"/>
          <w:sz w:val="18"/>
          <w:szCs w:val="18"/>
          <w:color w:val="auto"/>
        </w:rPr>
        <w:t>As of December 31, 2019, estimated unrecognized RSU compensation expense was $123,982, with such expense expected to be recognized over a weighted average period of approximately 0.8 years subsequent to December 31, 2019.</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The following is a summary of activity related to shares of restricted Class A common stock associated with compensation arrangements during year ended December 31, 2019:</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Restricted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2019</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1,541,058</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1,039,736</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(231,591)</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Settled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(1,309,897)</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2019</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1,039,306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41.79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In connection with shares of restricted Class A common stock that settled during the year ended December 31, 2019, the Company satisfied its minimum statutory tax withholding requirements in lieu of delivering 434,924 shares of Class A common stock during the year. Accordingly, 874,973 shares of Class A common stock held by the Company were delivered during the year ended December 31, 2019.</w:t>
      </w:r>
    </w:p>
    <w:p>
      <w:pPr>
        <w:spacing w:after="0" w:line="181" w:lineRule="exact"/>
        <w:rPr>
          <w:sz w:val="20"/>
          <w:szCs w:val="20"/>
          <w:color w:val="auto"/>
        </w:rPr>
      </w:pPr>
    </w:p>
    <w:p>
      <w:pPr>
        <w:ind w:right="320" w:firstLine="598"/>
        <w:spacing w:after="0" w:line="312" w:lineRule="auto"/>
        <w:rPr>
          <w:sz w:val="20"/>
          <w:szCs w:val="20"/>
          <w:color w:val="auto"/>
        </w:rPr>
      </w:pPr>
      <w:r>
        <w:rPr>
          <w:rFonts w:ascii="Arial" w:cs="Arial" w:eastAsia="Arial" w:hAnsi="Arial"/>
          <w:sz w:val="16"/>
          <w:szCs w:val="16"/>
          <w:color w:val="auto"/>
        </w:rPr>
        <w:t>The restricted stock awards include a cash dividend participation right equivalent to dividends paid on Class A common stock during the period, which will vest concurrently with the underlying restricted stock award. At December 31, 2019, estimated unrecognized restricted stock expense was $17,670, with such expense to be recognized over a weighted average period of approximately 0.8 years subsequent to December 31, 2019.</w:t>
      </w:r>
    </w:p>
    <w:p>
      <w:pPr>
        <w:spacing w:after="0" w:line="25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PRSUs</w:t>
      </w:r>
    </w:p>
    <w:p>
      <w:pPr>
        <w:spacing w:after="0" w:line="117" w:lineRule="exact"/>
        <w:rPr>
          <w:sz w:val="20"/>
          <w:szCs w:val="20"/>
          <w:color w:val="auto"/>
        </w:rPr>
      </w:pPr>
    </w:p>
    <w:p>
      <w:pPr>
        <w:ind w:right="60" w:firstLine="598"/>
        <w:spacing w:after="0" w:line="287" w:lineRule="auto"/>
        <w:rPr>
          <w:sz w:val="20"/>
          <w:szCs w:val="20"/>
          <w:color w:val="auto"/>
        </w:rPr>
      </w:pPr>
      <w:r>
        <w:rPr>
          <w:rFonts w:ascii="Arial" w:cs="Arial" w:eastAsia="Arial" w:hAnsi="Arial"/>
          <w:sz w:val="16"/>
          <w:szCs w:val="16"/>
          <w:color w:val="auto"/>
        </w:rPr>
        <w:t>PRSUs are RSUs that are subject to both performance-based and service-based vesting conditions. The number of shares of Class A common stock that a recipient will receive upon vesting of a PRSU will be calculated by reference to certain performance metrics that relate to Lazard Ltd’s performance over a three-year period. The target number of shares of Class A common stock subject to each PRSU is one; however, based on the achievement of the performance criteria, the number of shares of Class A common stock that may be received in connection with each PRSU generally can range from zero to two times the target number. PRSUs will vest on a single date approximately three years following the date of the grant, provided the applicable service and performance conditions are satisfied. In addition, the performance metrics applicable to each PRSU will be evaluated on an annual basis at the end of each fiscal year during the performance period and, if Lazard Ltd has achieved a threshold level of performance with respect to the fiscal year, 25% of the target number of shares of Class A common stock subject to each PRSU will no longer be at risk of forfeiture based on the achievement of performance criteria. PRSUs include dividend participation rights that provide that during vesting periods the target number of PRSUs (or, following the relevant performance period, the actual number of shares of Class A common stock that are no longer subject to performance conditions) receive dividend equivalents at the same rate that dividends are paid on Class A common stock during such periods. These dividend equivalents are credited as RSUs that are not subject to the performance-based vesting criteria but are otherwise subject to the same restrictions as the underlying PRSUs to which they relate.</w:t>
      </w:r>
    </w:p>
    <w:p>
      <w:pPr>
        <w:spacing w:after="0" w:line="16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is a summary of activity relating to PRSUs during the year ended December 31, 2019: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3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PRSUs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January 1, 2019</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1,771,795</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Performance units earned (a)</w:t>
            </w:r>
          </w:p>
        </w:tc>
        <w:tc>
          <w:tcPr>
            <w:tcW w:w="1260" w:type="dxa"/>
            <w:vAlign w:val="bottom"/>
          </w:tcPr>
          <w:p>
            <w:pPr>
              <w:jc w:val="right"/>
              <w:spacing w:after="0"/>
              <w:rPr>
                <w:sz w:val="20"/>
                <w:szCs w:val="20"/>
                <w:color w:val="auto"/>
              </w:rPr>
            </w:pPr>
            <w:r>
              <w:rPr>
                <w:rFonts w:ascii="Arial" w:cs="Arial" w:eastAsia="Arial" w:hAnsi="Arial"/>
                <w:sz w:val="18"/>
                <w:szCs w:val="18"/>
                <w:color w:val="auto"/>
              </w:rPr>
              <w:t>196,991</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Settled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(1,171,081)</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20" w:type="dxa"/>
            <w:vAlign w:val="bottom"/>
            <w:gridSpan w:val="3"/>
          </w:tcPr>
          <w:p>
            <w:pPr>
              <w:ind w:left="1140"/>
              <w:spacing w:after="0"/>
              <w:rPr>
                <w:sz w:val="20"/>
                <w:szCs w:val="20"/>
                <w:color w:val="auto"/>
              </w:rPr>
            </w:pPr>
            <w:r>
              <w:rPr>
                <w:rFonts w:ascii="Arial" w:cs="Arial" w:eastAsia="Arial" w:hAnsi="Arial"/>
                <w:sz w:val="18"/>
                <w:szCs w:val="18"/>
                <w:color w:val="auto"/>
              </w:rPr>
              <w:t>Balance, December 31, 2019</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797,705</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1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56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right="480" w:hanging="592"/>
        <w:spacing w:after="0" w:line="277" w:lineRule="auto"/>
        <w:tabs>
          <w:tab w:leader="none" w:pos="6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Represents shares of Class A common stock earned during the fiscal year under the performance criteria of previously-granted PRSU awards in excess of the target payout level of such awards.</w:t>
      </w:r>
    </w:p>
    <w:p>
      <w:pPr>
        <w:spacing w:after="0" w:line="170" w:lineRule="exact"/>
        <w:rPr>
          <w:sz w:val="20"/>
          <w:szCs w:val="20"/>
          <w:color w:val="auto"/>
        </w:rPr>
      </w:pPr>
    </w:p>
    <w:p>
      <w:pPr>
        <w:ind w:right="300" w:firstLine="598"/>
        <w:spacing w:after="0" w:line="264" w:lineRule="auto"/>
        <w:rPr>
          <w:sz w:val="20"/>
          <w:szCs w:val="20"/>
          <w:color w:val="auto"/>
        </w:rPr>
      </w:pPr>
      <w:r>
        <w:rPr>
          <w:rFonts w:ascii="Arial" w:cs="Arial" w:eastAsia="Arial" w:hAnsi="Arial"/>
          <w:sz w:val="18"/>
          <w:szCs w:val="18"/>
          <w:color w:val="auto"/>
        </w:rPr>
        <w:t>In connection with certain PRSUs that settled during the year ended December 31, 2019, the Company satisfied its minimum statutory tax withholding requirements in lieu of delivering 203,036 shares of Class A common stock during the year. Accordingly, 968,045 shares of Class A common stock held by the Company were delivered during the year ended December 31, 2019.</w:t>
      </w:r>
    </w:p>
    <w:p>
      <w:pPr>
        <w:spacing w:after="0" w:line="181" w:lineRule="exact"/>
        <w:rPr>
          <w:sz w:val="20"/>
          <w:szCs w:val="20"/>
          <w:color w:val="auto"/>
        </w:rPr>
      </w:pPr>
    </w:p>
    <w:p>
      <w:pPr>
        <w:ind w:right="140" w:firstLine="598"/>
        <w:spacing w:after="0" w:line="259" w:lineRule="auto"/>
        <w:rPr>
          <w:sz w:val="20"/>
          <w:szCs w:val="20"/>
          <w:color w:val="auto"/>
        </w:rPr>
      </w:pPr>
      <w:r>
        <w:rPr>
          <w:rFonts w:ascii="Arial" w:cs="Arial" w:eastAsia="Arial" w:hAnsi="Arial"/>
          <w:sz w:val="18"/>
          <w:szCs w:val="18"/>
          <w:color w:val="auto"/>
        </w:rPr>
        <w:t>Compensation expense recognized for PRSU awards is determined by multiplying the number of shares of Class A common stock underlying such awards that, based on the Company’s estimate, are considered probable of vesting, by the grant date fair value. As of December 31, 2019, the total estimated unrecognized compensation expense was $2,828, and the Company expects to amortize such expense over a weighted-average period of approximately 0.6 years subsequent to December 31, 2019.</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Profits Interest Participation Rights</w:t>
      </w:r>
    </w:p>
    <w:p>
      <w:pPr>
        <w:spacing w:after="0" w:line="117"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In early 2019, the Company established a new long-term incentive compensation program consisting of profits interest participation rights, which are equity incentive awards that, subject to certain conditions, may be exchanged for shares of Class A common stock pursuant to the 2018 Plan. Pursuant to the program, in February 2019, the Company granted profits interest participation rights subject to service-based and performance-based vesting criteria and other conditions, which we refer to as performance-based restricted participation units (“PRPUs”), to each of the Company’s NEOs, and profits interest participation rights subject to service-based vesting criteria and other conditions to a limited number of other senior employees, pursuant to profits interest participation right agreements. Profits interest participation rights generally provide for vesting approximately three years following the grant date, so long as applicable conditions have been satisfied.</w:t>
      </w:r>
    </w:p>
    <w:p>
      <w:pPr>
        <w:spacing w:after="0" w:line="189" w:lineRule="exact"/>
        <w:rPr>
          <w:sz w:val="20"/>
          <w:szCs w:val="20"/>
          <w:color w:val="auto"/>
        </w:rPr>
      </w:pPr>
    </w:p>
    <w:p>
      <w:pPr>
        <w:ind w:right="100" w:firstLine="598"/>
        <w:spacing w:after="0" w:line="271" w:lineRule="auto"/>
        <w:rPr>
          <w:sz w:val="20"/>
          <w:szCs w:val="20"/>
          <w:color w:val="auto"/>
        </w:rPr>
      </w:pPr>
      <w:r>
        <w:rPr>
          <w:rFonts w:ascii="Arial" w:cs="Arial" w:eastAsia="Arial" w:hAnsi="Arial"/>
          <w:sz w:val="17"/>
          <w:szCs w:val="17"/>
          <w:color w:val="auto"/>
        </w:rPr>
        <w:t>Profits interest participation rights are a class of membership interests in the Company that are intended to qualify as “profits interests” for U.S. federal income tax purposes, and are recorded within members’ equity in the Company’s consolidated statements of financial condition. The profits interest participation rights generally allow the recipient to realize value only to the extent that both (i) the service-based vesting conditions and, if applicable, the performance conditions, are satisfied, and (ii) an amount of economic appreciation in the assets of the Company occurs as necessary to satisfy certain partnership tax rules (referred to as the "Minimum Value Condition") before the fifth anniversary of the grant date, otherwise the profits interest participation rights will be forfeited. Upon satisfaction of such conditions, profits interest participation rights that are in parity with the value of Class A common stock will be exchanged on a one-for-one basis for shares of Class A common stock. If forfeited based solely on failing to meet the Minimum Value Condition, the associated compensation expense would not be reversed.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Like outstanding RSUs and similar awards, profits interest participation rights are subject to continued employment and other conditions and restrictions and are forfeited if those conditions and restrictions are not fulfilled. More specifically, vesting of profits interest participation rights are subject to compliance with restrictive covenants including non-compete, non-solicitation of clients, no hire of employees and confidentiality, which are similar to those applicable to PRSUs and RSUs. In addition, profits interest participation rights must satisfy the Minimum Value Condition. PRPUs, like outstanding PRSUs, are subject to the achievement of incremental pre-established performance conditions and financial metrics and only result in value to the recipient to the extent the conditions are satisfied.</w:t>
      </w:r>
    </w:p>
    <w:p>
      <w:pPr>
        <w:spacing w:after="0" w:line="193" w:lineRule="exact"/>
        <w:rPr>
          <w:sz w:val="20"/>
          <w:szCs w:val="20"/>
          <w:color w:val="auto"/>
        </w:rPr>
      </w:pPr>
    </w:p>
    <w:p>
      <w:pPr>
        <w:ind w:right="80" w:firstLine="598"/>
        <w:spacing w:after="0" w:line="255" w:lineRule="auto"/>
        <w:rPr>
          <w:sz w:val="20"/>
          <w:szCs w:val="20"/>
          <w:color w:val="auto"/>
        </w:rPr>
      </w:pPr>
      <w:r>
        <w:rPr>
          <w:rFonts w:ascii="Arial" w:cs="Arial" w:eastAsia="Arial" w:hAnsi="Arial"/>
          <w:sz w:val="18"/>
          <w:szCs w:val="18"/>
          <w:color w:val="auto"/>
        </w:rPr>
        <w:t>The number of shares of Class A common stock that a recipient will receive upon the exchange of a PRPU award is calculated by reference to applicable financial metrics. The target number of shares of Class A common stock subject to each PRPU is one. Based on the achievement of performance criteria, as determined by the Compensation Committee, the number of shares of Class A common stock that may be received in connection with each PRPU award will range from zero to two times the target number. Unless applicable performance conditions are satisfied during the three year performance period, and the Minimum Value Condition is satisfied within five years following the grant date, all PRPUs will be forfeited, and the recipients will not be entitled to any such awards.</w:t>
      </w:r>
    </w:p>
    <w:p>
      <w:pPr>
        <w:spacing w:after="0" w:line="193"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In addition, the performance metrics applicable to each PRPU will be evaluated on an annual basis at the end of each fiscal year during the performance period, and, if Lazard Ltd has achieved a threshold level of performance with respect to the fiscal year, 25% of the target number of PRPUs will no longer be at risk of forfeiture based on the achievement of performance criteria. Profits interest participation rights are allocated income, subject to vesting and settled in cash, in respect of dividends paid on Class A common stock.</w:t>
      </w:r>
    </w:p>
    <w:p>
      <w:pPr>
        <w:spacing w:after="0" w:line="22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is a summary of activity relating to profits interest participation rights, including PRPUs, during the year ended December 31, 2019:</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Profits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Interest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Participation</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Balance, January 1, 2019</w:t>
            </w:r>
          </w:p>
        </w:tc>
        <w:tc>
          <w:tcPr>
            <w:tcW w:w="1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Rights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7740" w:type="dxa"/>
            <w:vAlign w:val="bottom"/>
            <w:gridSpan w:val="2"/>
            <w:vMerge w:val="continue"/>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Granted (a)</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1,462,702</w:t>
            </w:r>
          </w:p>
        </w:tc>
        <w:tc>
          <w:tcPr>
            <w:tcW w:w="2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38.65</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color w:val="auto"/>
              </w:rPr>
              <w:t>Balance, December 31, 2019</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1,462,702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59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hanging="592"/>
        <w:spacing w:after="0"/>
        <w:tabs>
          <w:tab w:leader="none" w:pos="6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Table includes 564,167 PRPUs, which represents the target number of PRPUs granted during the fiscal year.</w:t>
      </w:r>
    </w:p>
    <w:p>
      <w:pPr>
        <w:spacing w:after="0" w:line="225"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Compensation expense recognized for profits interest participation rights, including PRPUs, is determined by multiplying the number of shares of Class A common stock underlying such awards that, based on the Company’s estimate, are considered probable of vesting, by the grant date fair value. As of December 31, 2019, the total estimated unrecognized compensation expense was $17,447, and the Company expects to amortize such expense over a weighted-average period of approximately 1.1 years subsequent to December 31, 2019.</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LFI and Other Similar Deferred Compensation Arrangements</w:t>
      </w:r>
    </w:p>
    <w:p>
      <w:pPr>
        <w:spacing w:after="0" w:line="117" w:lineRule="exact"/>
        <w:rPr>
          <w:sz w:val="20"/>
          <w:szCs w:val="20"/>
          <w:color w:val="auto"/>
        </w:rPr>
      </w:pPr>
    </w:p>
    <w:p>
      <w:pPr>
        <w:ind w:right="140" w:firstLine="598"/>
        <w:spacing w:after="0" w:line="293" w:lineRule="auto"/>
        <w:rPr>
          <w:sz w:val="20"/>
          <w:szCs w:val="20"/>
          <w:color w:val="auto"/>
        </w:rPr>
      </w:pPr>
      <w:r>
        <w:rPr>
          <w:rFonts w:ascii="Arial" w:cs="Arial" w:eastAsia="Arial" w:hAnsi="Arial"/>
          <w:sz w:val="16"/>
          <w:szCs w:val="16"/>
          <w:color w:val="auto"/>
        </w:rPr>
        <w:t>Commencing in February 2011, the Company granted LFI to eligible employees. In connection with LFI and other similar deferred compensation arrangements, which generally require future service as a condition for vesting, the Company recorded a prepaid compensation asset and a corresponding compensation liability on the grant date based upon the fair value of the award. The prepaid asset is amortized on a straight-line basis over the applicable vesting periods or requisite service periods (which are generally similar to the comparable periods for RSUs), and is charged to “compensation and benefits” expense within the Company’s consolidated statement of operations. LFI and similar deferred compensation arrangements that do not require future service are expensed immediately. The related compensation liability is accounted for at fair value as a derivative liability, which contemplates the impact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of estimated forfeitures, and is adjusted for changes in fair value primarily related to changes in value of the underlying investments.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is a summary of activity relating to LFI and other similar deferred compensation arrangements during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Prepaid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6"/>
              </w:rPr>
              <w:t>Compensation</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Asset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2019</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76,362</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188,022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101,529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101,529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Settled</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(96,976)</w:t>
            </w: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(1,702)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(3,455)</w:t>
            </w: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(101,663)</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Change in fair value related to:</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Increase in fair value of underlying</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620"/>
              <w:spacing w:after="0"/>
              <w:rPr>
                <w:sz w:val="20"/>
                <w:szCs w:val="20"/>
                <w:color w:val="auto"/>
              </w:rPr>
            </w:pPr>
            <w:r>
              <w:rPr>
                <w:rFonts w:ascii="Arial" w:cs="Arial" w:eastAsia="Arial" w:hAnsi="Arial"/>
                <w:sz w:val="18"/>
                <w:szCs w:val="18"/>
                <w:color w:val="auto"/>
              </w:rPr>
              <w:t>investments</w:t>
            </w:r>
          </w:p>
        </w:tc>
        <w:tc>
          <w:tcPr>
            <w:tcW w:w="1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31,657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500"/>
              <w:spacing w:after="0"/>
              <w:rPr>
                <w:sz w:val="20"/>
                <w:szCs w:val="20"/>
                <w:color w:val="auto"/>
              </w:rPr>
            </w:pPr>
            <w:r>
              <w:rPr>
                <w:rFonts w:ascii="Arial" w:cs="Arial" w:eastAsia="Arial" w:hAnsi="Arial"/>
                <w:sz w:val="18"/>
                <w:szCs w:val="18"/>
                <w:color w:val="auto"/>
              </w:rPr>
              <w:t>Adjustment for estimated forfeitures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Balance, December 31, 2019</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74,597</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226,026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720" w:firstLine="598"/>
        <w:spacing w:after="0" w:line="277" w:lineRule="auto"/>
        <w:rPr>
          <w:sz w:val="20"/>
          <w:szCs w:val="20"/>
          <w:color w:val="auto"/>
        </w:rPr>
      </w:pPr>
      <w:r>
        <w:rPr>
          <w:rFonts w:ascii="Arial" w:cs="Arial" w:eastAsia="Arial" w:hAnsi="Arial"/>
          <w:sz w:val="18"/>
          <w:szCs w:val="18"/>
          <w:color w:val="auto"/>
        </w:rPr>
        <w:t>The amortization of the prepaid compensation asset will generally be recognized over a weighted average period of approximately 0.8 years subsequent to December 31, 2019.</w:t>
      </w:r>
    </w:p>
    <w:p>
      <w:pPr>
        <w:spacing w:after="0" w:line="170" w:lineRule="exact"/>
        <w:rPr>
          <w:sz w:val="20"/>
          <w:szCs w:val="20"/>
          <w:color w:val="auto"/>
        </w:rPr>
      </w:pPr>
    </w:p>
    <w:p>
      <w:pPr>
        <w:ind w:right="340" w:firstLine="598"/>
        <w:spacing w:after="0" w:line="308" w:lineRule="auto"/>
        <w:rPr>
          <w:sz w:val="20"/>
          <w:szCs w:val="20"/>
          <w:color w:val="auto"/>
        </w:rPr>
      </w:pPr>
      <w:r>
        <w:rPr>
          <w:rFonts w:ascii="Arial" w:cs="Arial" w:eastAsia="Arial" w:hAnsi="Arial"/>
          <w:sz w:val="17"/>
          <w:szCs w:val="17"/>
          <w:color w:val="auto"/>
        </w:rPr>
        <w:t>The following is a summary of the impact of LFI and other similar deferred compensation arrangements on “compensation and benefits” expense within the accompanying consolidated statements of operations for the years ended December 31, 2019, 2018 and 2017:</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Ended December 31,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2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Amortization, net of forfeitures</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105,250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90,230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73,382</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Change in the fair value of underlying investments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31,657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(14,086)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23,526</w:t>
            </w:r>
          </w:p>
        </w:tc>
        <w:tc>
          <w:tcPr>
            <w:tcW w:w="100" w:type="dxa"/>
            <w:vAlign w:val="bottom"/>
          </w:tcPr>
          <w:p>
            <w:pPr>
              <w:spacing w:after="0"/>
              <w:rPr>
                <w:sz w:val="19"/>
                <w:szCs w:val="19"/>
                <w:color w:val="auto"/>
              </w:rPr>
            </w:pPr>
          </w:p>
        </w:tc>
      </w:tr>
      <w:tr>
        <w:trPr>
          <w:trHeight w:val="223"/>
        </w:trPr>
        <w:tc>
          <w:tcPr>
            <w:tcW w:w="5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136,907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76,144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96,908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Incentive Awards Granted In February 2020</w:t>
      </w:r>
    </w:p>
    <w:p>
      <w:pPr>
        <w:spacing w:after="0" w:line="117" w:lineRule="exact"/>
        <w:rPr>
          <w:sz w:val="20"/>
          <w:szCs w:val="20"/>
          <w:color w:val="auto"/>
        </w:rPr>
      </w:pPr>
    </w:p>
    <w:p>
      <w:pPr>
        <w:ind w:firstLine="598"/>
        <w:spacing w:after="0" w:line="280" w:lineRule="auto"/>
        <w:rPr>
          <w:sz w:val="20"/>
          <w:szCs w:val="20"/>
          <w:color w:val="auto"/>
        </w:rPr>
      </w:pPr>
      <w:r>
        <w:rPr>
          <w:rFonts w:ascii="Arial" w:cs="Arial" w:eastAsia="Arial" w:hAnsi="Arial"/>
          <w:sz w:val="18"/>
          <w:szCs w:val="18"/>
          <w:color w:val="auto"/>
        </w:rPr>
        <w:t>In February 2020, the Company granted approximately $357,900 of deferred incentive compensation awards to eligible employees as part of the year-end compensation process with respect to the 2019 fiscal year. These grants included: RSUs or shares of restricted Class A common stock; profits interest participation rights, including PRPUs; LFI awards; deferred cash awards; and a portion of certain fund managers’ year-end incentive compensation that is reinvested in certain funds managed by the Company’s Asset Management business.</w:t>
      </w:r>
    </w:p>
    <w:p>
      <w:pPr>
        <w:spacing w:after="0" w:line="169" w:lineRule="exact"/>
        <w:rPr>
          <w:sz w:val="20"/>
          <w:szCs w:val="20"/>
          <w:color w:val="auto"/>
        </w:rPr>
      </w:pPr>
    </w:p>
    <w:p>
      <w:pPr>
        <w:ind w:right="120" w:firstLine="598"/>
        <w:spacing w:after="0" w:line="279" w:lineRule="auto"/>
        <w:rPr>
          <w:sz w:val="20"/>
          <w:szCs w:val="20"/>
          <w:color w:val="auto"/>
        </w:rPr>
      </w:pPr>
      <w:r>
        <w:rPr>
          <w:rFonts w:ascii="Arial" w:cs="Arial" w:eastAsia="Arial" w:hAnsi="Arial"/>
          <w:sz w:val="17"/>
          <w:szCs w:val="17"/>
          <w:color w:val="auto"/>
        </w:rPr>
        <w:t>The RSUs, restricted Class A common stock and LFI granted generally provide for one-third vesting on the second anniversary of the grant date and the remaining two-thirds vesting on the third anniversary of the grant date, so long as applicable conditions have been satisfied. The profits interest participation rights granted generally provide for vesting on the third anniversary of the grant date, so long as applicable conditions have been satisfied. Compensation expense with respect to such incentive awards will generally be recognized over the applicable service period.</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4" w:name="page115"/>
    <w:bookmarkEnd w:id="114"/>
    <w:p>
      <w:pPr>
        <w:jc w:val="center"/>
        <w:ind w:right="-159"/>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32" w:lineRule="exact"/>
        <w:rPr>
          <w:sz w:val="20"/>
          <w:szCs w:val="20"/>
          <w:color w:val="auto"/>
        </w:rPr>
      </w:pPr>
    </w:p>
    <w:p>
      <w:pPr>
        <w:ind w:left="600" w:hanging="592"/>
        <w:spacing w:after="0"/>
        <w:tabs>
          <w:tab w:leader="none" w:pos="600" w:val="left"/>
        </w:tabs>
        <w:numPr>
          <w:ilvl w:val="0"/>
          <w:numId w:val="8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117" w:lineRule="exact"/>
        <w:rPr>
          <w:sz w:val="20"/>
          <w:szCs w:val="20"/>
          <w:color w:val="auto"/>
        </w:rPr>
      </w:pPr>
    </w:p>
    <w:p>
      <w:pPr>
        <w:jc w:val="both"/>
        <w:ind w:firstLine="598"/>
        <w:spacing w:after="0" w:line="302" w:lineRule="auto"/>
        <w:rPr>
          <w:sz w:val="20"/>
          <w:szCs w:val="20"/>
          <w:color w:val="auto"/>
        </w:rPr>
      </w:pPr>
      <w:r>
        <w:rPr>
          <w:rFonts w:ascii="Arial" w:cs="Arial" w:eastAsia="Arial" w:hAnsi="Arial"/>
          <w:sz w:val="16"/>
          <w:szCs w:val="16"/>
          <w:color w:val="auto"/>
        </w:rPr>
        <w:t>The Company provides retirement and other post-retirement benefits to certain of its employees through defined benefit pension plans (the “pension plans”). The Company also offers defined contribution plans to its employees. The pension plans generally provide benefits to participants based on average levels of compensation. Expenses related to the Company’s employee benefit plans are included in “compensation and benefits” expense for the service cost component, and “operating expenses-other” for the other components of benefit costs on the consolidated statements of operations.</w:t>
      </w:r>
    </w:p>
    <w:p>
      <w:pPr>
        <w:spacing w:after="0" w:line="154" w:lineRule="exact"/>
        <w:rPr>
          <w:sz w:val="20"/>
          <w:szCs w:val="20"/>
          <w:color w:val="auto"/>
        </w:rPr>
      </w:pPr>
    </w:p>
    <w:p>
      <w:pPr>
        <w:ind w:right="160" w:firstLine="598"/>
        <w:spacing w:after="0" w:line="264" w:lineRule="auto"/>
        <w:rPr>
          <w:sz w:val="20"/>
          <w:szCs w:val="20"/>
          <w:color w:val="auto"/>
        </w:rPr>
      </w:pPr>
      <w:r>
        <w:rPr>
          <w:rFonts w:ascii="Arial" w:cs="Arial" w:eastAsia="Arial" w:hAnsi="Arial"/>
          <w:sz w:val="18"/>
          <w:szCs w:val="18"/>
          <w:b w:val="1"/>
          <w:bCs w:val="1"/>
          <w:i w:val="1"/>
          <w:iCs w:val="1"/>
          <w:color w:val="auto"/>
        </w:rPr>
        <w:t>Employer Contributions to Pension Plans</w:t>
      </w:r>
      <w:r>
        <w:rPr>
          <w:rFonts w:ascii="Arial" w:cs="Arial" w:eastAsia="Arial" w:hAnsi="Arial"/>
          <w:sz w:val="18"/>
          <w:szCs w:val="18"/>
          <w:color w:val="auto"/>
        </w:rPr>
        <w:t>—The Company’s funding policy for its U.S. and non-U.S. pension plans is to fund when required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applicable upon an agreement with the plans’ trustees. Management also evaluates from time to time whether to make voluntary contributions to the plans.</w:t>
      </w:r>
    </w:p>
    <w:p>
      <w:pPr>
        <w:spacing w:after="0" w:line="181" w:lineRule="exact"/>
        <w:rPr>
          <w:sz w:val="20"/>
          <w:szCs w:val="20"/>
          <w:color w:val="auto"/>
        </w:rPr>
      </w:pPr>
    </w:p>
    <w:p>
      <w:pPr>
        <w:ind w:right="180" w:firstLine="598"/>
        <w:spacing w:after="0" w:line="277" w:lineRule="auto"/>
        <w:rPr>
          <w:sz w:val="20"/>
          <w:szCs w:val="20"/>
          <w:color w:val="auto"/>
        </w:rPr>
      </w:pPr>
      <w:r>
        <w:rPr>
          <w:rFonts w:ascii="Arial" w:cs="Arial" w:eastAsia="Arial" w:hAnsi="Arial"/>
          <w:sz w:val="18"/>
          <w:szCs w:val="18"/>
          <w:color w:val="auto"/>
        </w:rPr>
        <w:t>The Company expects to contribute approximately $1,000 to the U.S. pension plan during the year ending December 31, 2020 and approximately $5,000 to the other non-U.S. pension plans during the year ending December 31, 2020.</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80"/>
          </w:cols>
          <w:pgMar w:left="240" w:top="121" w:right="37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right="120" w:firstLine="598"/>
        <w:spacing w:after="0" w:line="264" w:lineRule="auto"/>
        <w:rPr>
          <w:sz w:val="20"/>
          <w:szCs w:val="20"/>
          <w:color w:val="auto"/>
        </w:rPr>
      </w:pPr>
      <w:r>
        <w:rPr>
          <w:rFonts w:ascii="Arial" w:cs="Arial" w:eastAsia="Arial" w:hAnsi="Arial"/>
          <w:sz w:val="18"/>
          <w:szCs w:val="18"/>
          <w:color w:val="auto"/>
        </w:rPr>
        <w:t>The following table summarizes the changes in the benefit obligations, the fair value of the assets, the funded status and amounts recognized in the consolidated statements of financial condition for the post-retirement plans. The Company uses December 31 as the measurement date for its post-retirement plans.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105"/>
              <w:spacing w:after="0"/>
              <w:rPr>
                <w:sz w:val="20"/>
                <w:szCs w:val="20"/>
                <w:color w:val="auto"/>
              </w:rPr>
            </w:pPr>
            <w:r>
              <w:rPr>
                <w:rFonts w:ascii="Arial" w:cs="Arial" w:eastAsia="Arial" w:hAnsi="Arial"/>
                <w:sz w:val="14"/>
                <w:szCs w:val="14"/>
                <w:b w:val="1"/>
                <w:bCs w:val="1"/>
                <w:color w:val="auto"/>
              </w:rPr>
              <w:t>Pension Plans</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60" w:type="dxa"/>
            <w:vAlign w:val="bottom"/>
            <w:tcBorders>
              <w:bottom w:val="single" w:sz="8" w:color="CFF0FC"/>
            </w:tcBorders>
          </w:tcPr>
          <w:p>
            <w:pPr>
              <w:spacing w:after="0"/>
              <w:rPr>
                <w:sz w:val="13"/>
                <w:szCs w:val="13"/>
                <w:color w:val="auto"/>
              </w:rPr>
            </w:pPr>
          </w:p>
        </w:tc>
        <w:tc>
          <w:tcPr>
            <w:tcW w:w="200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Change in benefit obligation</w:t>
            </w:r>
          </w:p>
        </w:tc>
        <w:tc>
          <w:tcPr>
            <w:tcW w:w="2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2960" w:type="dxa"/>
            <w:vAlign w:val="bottom"/>
            <w:gridSpan w:val="2"/>
          </w:tcPr>
          <w:p>
            <w:pPr>
              <w:jc w:val="right"/>
              <w:ind w:right="774"/>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655,015</w:t>
            </w:r>
          </w:p>
        </w:tc>
        <w:tc>
          <w:tcPr>
            <w:tcW w:w="160" w:type="dxa"/>
            <w:vAlign w:val="bottom"/>
          </w:tcPr>
          <w:p>
            <w:pPr>
              <w:spacing w:after="0"/>
              <w:rPr>
                <w:sz w:val="19"/>
                <w:szCs w:val="19"/>
                <w:color w:val="auto"/>
              </w:rPr>
            </w:pPr>
          </w:p>
        </w:tc>
        <w:tc>
          <w:tcPr>
            <w:tcW w:w="58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763,831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Service cost</w:t>
            </w:r>
          </w:p>
        </w:tc>
        <w:tc>
          <w:tcPr>
            <w:tcW w:w="2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Interest cost</w:t>
            </w:r>
          </w:p>
        </w:tc>
        <w:tc>
          <w:tcPr>
            <w:tcW w:w="2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15,350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Amendments</w:t>
            </w:r>
          </w:p>
        </w:tc>
        <w:tc>
          <w:tcPr>
            <w:tcW w:w="2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Actuarial (gain) loss</w:t>
            </w:r>
          </w:p>
        </w:tc>
        <w:tc>
          <w:tcPr>
            <w:tcW w:w="2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89,242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(27,623)</w:t>
            </w: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Benefits paid</w:t>
            </w:r>
          </w:p>
        </w:tc>
        <w:tc>
          <w:tcPr>
            <w:tcW w:w="2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8"/>
              </w:rPr>
              <w:t>(30,817)</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(64,747)</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Foreign currency translation and other adjustments</w:t>
            </w:r>
          </w:p>
        </w:tc>
        <w:tc>
          <w:tcPr>
            <w:tcW w:w="2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15,100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(36,095)</w:t>
            </w:r>
          </w:p>
        </w:tc>
        <w:tc>
          <w:tcPr>
            <w:tcW w:w="0" w:type="dxa"/>
            <w:vAlign w:val="bottom"/>
          </w:tcPr>
          <w:p>
            <w:pPr>
              <w:spacing w:after="0"/>
              <w:rPr>
                <w:sz w:val="1"/>
                <w:szCs w:val="1"/>
                <w:color w:val="auto"/>
              </w:rPr>
            </w:pP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Benefit obligation at end of year</w:t>
            </w:r>
          </w:p>
        </w:tc>
        <w:tc>
          <w:tcPr>
            <w:tcW w:w="20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744,705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655,015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b w:val="1"/>
                <w:bCs w:val="1"/>
                <w:color w:val="auto"/>
              </w:rPr>
              <w:t>Change in plan assets</w:t>
            </w:r>
          </w:p>
        </w:tc>
        <w:tc>
          <w:tcPr>
            <w:tcW w:w="2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Fair value of plan assets at beginning of year</w:t>
            </w:r>
          </w:p>
        </w:tc>
        <w:tc>
          <w:tcPr>
            <w:tcW w:w="2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642,837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728,281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2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74,844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(10,608)</w:t>
            </w: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Employer contributions</w:t>
            </w:r>
          </w:p>
        </w:tc>
        <w:tc>
          <w:tcPr>
            <w:tcW w:w="2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Benefits paid</w:t>
            </w:r>
          </w:p>
        </w:tc>
        <w:tc>
          <w:tcPr>
            <w:tcW w:w="2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(30,760)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(62,056)</w:t>
            </w: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translation and other adjustments</w:t>
            </w:r>
          </w:p>
        </w:tc>
        <w:tc>
          <w:tcPr>
            <w:tcW w:w="2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18,048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(34,933)</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Fair value of plan assets at end of year</w:t>
            </w:r>
          </w:p>
        </w:tc>
        <w:tc>
          <w:tcPr>
            <w:tcW w:w="200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710,592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642,837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Funded (deficit) at end of year</w:t>
            </w:r>
          </w:p>
        </w:tc>
        <w:tc>
          <w:tcPr>
            <w:tcW w:w="200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(34,113)</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(12,178)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Amounts recognized in the consolidated statements</w:t>
            </w:r>
          </w:p>
        </w:tc>
        <w:tc>
          <w:tcPr>
            <w:tcW w:w="2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60" w:type="dxa"/>
            <w:vAlign w:val="bottom"/>
            <w:vMerge w:val="continue"/>
          </w:tcPr>
          <w:p>
            <w:pPr>
              <w:spacing w:after="0"/>
              <w:rPr>
                <w:sz w:val="17"/>
                <w:szCs w:val="17"/>
                <w:color w:val="auto"/>
              </w:rPr>
            </w:pPr>
          </w:p>
        </w:tc>
        <w:tc>
          <w:tcPr>
            <w:tcW w:w="2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40"/>
              <w:spacing w:after="0"/>
              <w:rPr>
                <w:sz w:val="20"/>
                <w:szCs w:val="20"/>
                <w:color w:val="auto"/>
              </w:rPr>
            </w:pPr>
            <w:r>
              <w:rPr>
                <w:rFonts w:ascii="Arial" w:cs="Arial" w:eastAsia="Arial" w:hAnsi="Arial"/>
                <w:sz w:val="18"/>
                <w:szCs w:val="18"/>
                <w:color w:val="auto"/>
              </w:rPr>
              <w:t>of financial condition at December 31, 2019 and</w:t>
            </w:r>
          </w:p>
        </w:tc>
        <w:tc>
          <w:tcPr>
            <w:tcW w:w="2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140"/>
              <w:spacing w:after="0"/>
              <w:rPr>
                <w:sz w:val="20"/>
                <w:szCs w:val="20"/>
                <w:color w:val="auto"/>
              </w:rPr>
            </w:pPr>
            <w:r>
              <w:rPr>
                <w:rFonts w:ascii="Arial" w:cs="Arial" w:eastAsia="Arial" w:hAnsi="Arial"/>
                <w:sz w:val="18"/>
                <w:szCs w:val="18"/>
                <w:color w:val="auto"/>
              </w:rPr>
              <w:t>2018 consist of:</w:t>
            </w:r>
          </w:p>
        </w:tc>
        <w:tc>
          <w:tcPr>
            <w:tcW w:w="20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pension asset (included in “other assets”)</w:t>
            </w:r>
          </w:p>
        </w:tc>
        <w:tc>
          <w:tcPr>
            <w:tcW w:w="2960" w:type="dxa"/>
            <w:vAlign w:val="bottom"/>
            <w:gridSpan w:val="2"/>
            <w:shd w:val="clear" w:color="auto" w:fill="CFF0FC"/>
          </w:tcPr>
          <w:p>
            <w:pPr>
              <w:jc w:val="right"/>
              <w:ind w:right="774"/>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2,922</w:t>
            </w:r>
          </w:p>
        </w:tc>
        <w:tc>
          <w:tcPr>
            <w:tcW w:w="1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60" w:type="dxa"/>
            <w:vAlign w:val="bottom"/>
          </w:tcPr>
          <w:p>
            <w:pPr>
              <w:ind w:left="260"/>
              <w:spacing w:after="0"/>
              <w:rPr>
                <w:sz w:val="20"/>
                <w:szCs w:val="20"/>
                <w:color w:val="auto"/>
              </w:rPr>
            </w:pPr>
            <w:r>
              <w:rPr>
                <w:rFonts w:ascii="Arial" w:cs="Arial" w:eastAsia="Arial" w:hAnsi="Arial"/>
                <w:sz w:val="18"/>
                <w:szCs w:val="18"/>
                <w:color w:val="auto"/>
              </w:rPr>
              <w:t>Accrued benefit liability (included in “other</w:t>
            </w:r>
          </w:p>
        </w:tc>
        <w:tc>
          <w:tcPr>
            <w:tcW w:w="2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380"/>
              <w:spacing w:after="0"/>
              <w:rPr>
                <w:sz w:val="20"/>
                <w:szCs w:val="20"/>
                <w:color w:val="auto"/>
              </w:rPr>
            </w:pPr>
            <w:r>
              <w:rPr>
                <w:rFonts w:ascii="Arial" w:cs="Arial" w:eastAsia="Arial" w:hAnsi="Arial"/>
                <w:sz w:val="18"/>
                <w:szCs w:val="18"/>
                <w:color w:val="auto"/>
              </w:rPr>
              <w:t>liabilities”)</w:t>
            </w:r>
          </w:p>
        </w:tc>
        <w:tc>
          <w:tcPr>
            <w:tcW w:w="20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(37,035)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(31,751)</w:t>
            </w:r>
          </w:p>
        </w:tc>
        <w:tc>
          <w:tcPr>
            <w:tcW w:w="0" w:type="dxa"/>
            <w:vAlign w:val="bottom"/>
          </w:tcPr>
          <w:p>
            <w:pPr>
              <w:spacing w:after="0"/>
              <w:rPr>
                <w:sz w:val="1"/>
                <w:szCs w:val="1"/>
                <w:color w:val="auto"/>
              </w:rPr>
            </w:pPr>
          </w:p>
        </w:tc>
      </w:tr>
      <w:tr>
        <w:trPr>
          <w:trHeight w:val="223"/>
        </w:trPr>
        <w:tc>
          <w:tcPr>
            <w:tcW w:w="5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amount recognized</w:t>
            </w:r>
          </w:p>
        </w:tc>
        <w:tc>
          <w:tcPr>
            <w:tcW w:w="200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774"/>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(34,113)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(12,178)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Amounts recognized in AOCI (excluding tax</w:t>
            </w:r>
          </w:p>
        </w:tc>
        <w:tc>
          <w:tcPr>
            <w:tcW w:w="2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60" w:type="dxa"/>
            <w:vAlign w:val="bottom"/>
            <w:vMerge w:val="continue"/>
          </w:tcPr>
          <w:p>
            <w:pPr>
              <w:spacing w:after="0"/>
              <w:rPr>
                <w:sz w:val="17"/>
                <w:szCs w:val="17"/>
                <w:color w:val="auto"/>
              </w:rPr>
            </w:pPr>
          </w:p>
        </w:tc>
        <w:tc>
          <w:tcPr>
            <w:tcW w:w="2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40"/>
              <w:spacing w:after="0"/>
              <w:rPr>
                <w:sz w:val="20"/>
                <w:szCs w:val="20"/>
                <w:color w:val="auto"/>
              </w:rPr>
            </w:pPr>
            <w:r>
              <w:rPr>
                <w:rFonts w:ascii="Arial" w:cs="Arial" w:eastAsia="Arial" w:hAnsi="Arial"/>
                <w:sz w:val="18"/>
                <w:szCs w:val="18"/>
                <w:color w:val="auto"/>
              </w:rPr>
              <w:t>benefits of $38,327 and $31,080 at December 31,</w:t>
            </w:r>
          </w:p>
        </w:tc>
        <w:tc>
          <w:tcPr>
            <w:tcW w:w="2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140"/>
              <w:spacing w:after="0"/>
              <w:rPr>
                <w:sz w:val="20"/>
                <w:szCs w:val="20"/>
                <w:color w:val="auto"/>
              </w:rPr>
            </w:pPr>
            <w:r>
              <w:rPr>
                <w:rFonts w:ascii="Arial" w:cs="Arial" w:eastAsia="Arial" w:hAnsi="Arial"/>
                <w:sz w:val="18"/>
                <w:szCs w:val="18"/>
                <w:color w:val="auto"/>
              </w:rPr>
              <w:t>2019 and 2018, respectively) consist of:</w:t>
            </w:r>
          </w:p>
        </w:tc>
        <w:tc>
          <w:tcPr>
            <w:tcW w:w="20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Actuarial net loss (gain)</w:t>
            </w:r>
          </w:p>
        </w:tc>
        <w:tc>
          <w:tcPr>
            <w:tcW w:w="2960" w:type="dxa"/>
            <w:vAlign w:val="bottom"/>
            <w:gridSpan w:val="2"/>
            <w:shd w:val="clear" w:color="auto" w:fill="CFF0FC"/>
          </w:tcPr>
          <w:p>
            <w:pPr>
              <w:jc w:val="right"/>
              <w:ind w:right="774"/>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211,197</w:t>
            </w:r>
          </w:p>
        </w:tc>
        <w:tc>
          <w:tcPr>
            <w:tcW w:w="1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173,732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Prior service cost (credit)</w:t>
            </w:r>
          </w:p>
        </w:tc>
        <w:tc>
          <w:tcPr>
            <w:tcW w:w="200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amount recognized</w:t>
            </w:r>
          </w:p>
        </w:tc>
        <w:tc>
          <w:tcPr>
            <w:tcW w:w="200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214,362</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176,910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firstLine="598"/>
        <w:spacing w:after="0" w:line="277" w:lineRule="auto"/>
        <w:rPr>
          <w:sz w:val="20"/>
          <w:szCs w:val="20"/>
          <w:color w:val="auto"/>
        </w:rPr>
      </w:pPr>
      <w:r>
        <w:rPr>
          <w:rFonts w:ascii="Arial" w:cs="Arial" w:eastAsia="Arial" w:hAnsi="Arial"/>
          <w:sz w:val="18"/>
          <w:szCs w:val="18"/>
          <w:color w:val="auto"/>
        </w:rPr>
        <w:t>The following table summarizes the fair value of plan assets, the accumulated benefit obligation and the projected benefit obligation at December 31, 2019 and 2018:</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4"/>
          </w:tcPr>
          <w:p>
            <w:pPr>
              <w:ind w:left="240"/>
              <w:spacing w:after="0"/>
              <w:rPr>
                <w:sz w:val="20"/>
                <w:szCs w:val="20"/>
                <w:color w:val="auto"/>
              </w:rPr>
            </w:pPr>
            <w:r>
              <w:rPr>
                <w:rFonts w:ascii="Arial" w:cs="Arial" w:eastAsia="Arial" w:hAnsi="Arial"/>
                <w:sz w:val="14"/>
                <w:szCs w:val="14"/>
                <w:b w:val="1"/>
                <w:bCs w:val="1"/>
                <w:color w:val="auto"/>
              </w:rPr>
              <w:t>U.S. Pension Plans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5"/>
          </w:tcPr>
          <w:p>
            <w:pPr>
              <w:ind w:left="100"/>
              <w:spacing w:after="0"/>
              <w:rPr>
                <w:sz w:val="20"/>
                <w:szCs w:val="20"/>
                <w:color w:val="auto"/>
              </w:rPr>
            </w:pPr>
            <w:r>
              <w:rPr>
                <w:rFonts w:ascii="Arial" w:cs="Arial" w:eastAsia="Arial" w:hAnsi="Arial"/>
                <w:sz w:val="14"/>
                <w:szCs w:val="14"/>
                <w:b w:val="1"/>
                <w:bCs w:val="1"/>
                <w:color w:val="auto"/>
              </w:rPr>
              <w:t>Non-U.S. Pension Plans</w:t>
            </w:r>
          </w:p>
        </w:tc>
        <w:tc>
          <w:tcPr>
            <w:tcW w:w="200" w:type="dxa"/>
            <w:vAlign w:val="bottom"/>
          </w:tcPr>
          <w:p>
            <w:pPr>
              <w:spacing w:after="0"/>
              <w:rPr>
                <w:sz w:val="14"/>
                <w:szCs w:val="14"/>
                <w:color w:val="auto"/>
              </w:rPr>
            </w:pPr>
          </w:p>
        </w:tc>
        <w:tc>
          <w:tcPr>
            <w:tcW w:w="1120" w:type="dxa"/>
            <w:vAlign w:val="bottom"/>
            <w:gridSpan w:val="3"/>
          </w:tcPr>
          <w:p>
            <w:pPr>
              <w:ind w:left="660"/>
              <w:spacing w:after="0"/>
              <w:rPr>
                <w:sz w:val="20"/>
                <w:szCs w:val="20"/>
                <w:color w:val="auto"/>
              </w:rPr>
            </w:pPr>
            <w:r>
              <w:rPr>
                <w:rFonts w:ascii="Arial" w:cs="Arial" w:eastAsia="Arial" w:hAnsi="Arial"/>
                <w:sz w:val="14"/>
                <w:szCs w:val="14"/>
                <w:b w:val="1"/>
                <w:bCs w:val="1"/>
                <w:color w:val="auto"/>
              </w:rPr>
              <w:t>Total</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4"/>
          </w:tcPr>
          <w:p>
            <w:pPr>
              <w:ind w:left="200"/>
              <w:spacing w:after="0"/>
              <w:rPr>
                <w:sz w:val="20"/>
                <w:szCs w:val="20"/>
                <w:color w:val="auto"/>
              </w:rPr>
            </w:pPr>
            <w:r>
              <w:rPr>
                <w:rFonts w:ascii="Arial" w:cs="Arial" w:eastAsia="Arial" w:hAnsi="Arial"/>
                <w:sz w:val="14"/>
                <w:szCs w:val="14"/>
                <w:b w:val="1"/>
                <w:bCs w:val="1"/>
                <w:color w:val="auto"/>
              </w:rPr>
              <w:t>As Of December 31,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5"/>
          </w:tcPr>
          <w:p>
            <w:pPr>
              <w:ind w:left="200"/>
              <w:spacing w:after="0"/>
              <w:rPr>
                <w:sz w:val="20"/>
                <w:szCs w:val="20"/>
                <w:color w:val="auto"/>
              </w:rPr>
            </w:pPr>
            <w:r>
              <w:rPr>
                <w:rFonts w:ascii="Arial" w:cs="Arial" w:eastAsia="Arial" w:hAnsi="Arial"/>
                <w:sz w:val="14"/>
                <w:szCs w:val="14"/>
                <w:b w:val="1"/>
                <w:bCs w:val="1"/>
                <w:color w:val="auto"/>
              </w:rPr>
              <w:t>As Of December 31,</w:t>
            </w:r>
          </w:p>
        </w:tc>
        <w:tc>
          <w:tcPr>
            <w:tcW w:w="200" w:type="dxa"/>
            <w:vAlign w:val="bottom"/>
          </w:tcPr>
          <w:p>
            <w:pPr>
              <w:spacing w:after="0"/>
              <w:rPr>
                <w:sz w:val="14"/>
                <w:szCs w:val="14"/>
                <w:color w:val="auto"/>
              </w:rPr>
            </w:pPr>
          </w:p>
        </w:tc>
        <w:tc>
          <w:tcPr>
            <w:tcW w:w="1960" w:type="dxa"/>
            <w:vAlign w:val="bottom"/>
            <w:gridSpan w:val="5"/>
          </w:tcPr>
          <w:p>
            <w:pPr>
              <w:ind w:left="180"/>
              <w:spacing w:after="0"/>
              <w:rPr>
                <w:sz w:val="20"/>
                <w:szCs w:val="20"/>
                <w:color w:val="auto"/>
              </w:rPr>
            </w:pPr>
            <w:r>
              <w:rPr>
                <w:rFonts w:ascii="Arial" w:cs="Arial" w:eastAsia="Arial" w:hAnsi="Arial"/>
                <w:sz w:val="14"/>
                <w:szCs w:val="14"/>
                <w:b w:val="1"/>
                <w:bCs w:val="1"/>
                <w:color w:val="auto"/>
              </w:rPr>
              <w:t>As Of December 31,</w:t>
            </w:r>
          </w:p>
        </w:tc>
      </w:tr>
      <w:tr>
        <w:trPr>
          <w:trHeight w:val="156"/>
        </w:trPr>
        <w:tc>
          <w:tcPr>
            <w:tcW w:w="3540" w:type="dxa"/>
            <w:vAlign w:val="bottom"/>
            <w:tcBorders>
              <w:bottom w:val="single" w:sz="8" w:color="CFF0FC"/>
            </w:tcBorders>
          </w:tcPr>
          <w:p>
            <w:pPr>
              <w:spacing w:after="0"/>
              <w:rPr>
                <w:sz w:val="13"/>
                <w:szCs w:val="13"/>
                <w:color w:val="auto"/>
              </w:rPr>
            </w:pPr>
          </w:p>
        </w:tc>
        <w:tc>
          <w:tcPr>
            <w:tcW w:w="12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Fair value of plan assets</w:t>
            </w: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22,914</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20,813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687,678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9"/>
              </w:rPr>
              <w:t>622,024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9"/>
              </w:rPr>
              <w:t>710,592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ind w:left="140"/>
              <w:spacing w:after="0"/>
              <w:rPr>
                <w:sz w:val="20"/>
                <w:szCs w:val="20"/>
                <w:color w:val="auto"/>
              </w:rPr>
            </w:pPr>
            <w:r>
              <w:rPr>
                <w:rFonts w:ascii="Arial" w:cs="Arial" w:eastAsia="Arial" w:hAnsi="Arial"/>
                <w:sz w:val="18"/>
                <w:szCs w:val="18"/>
                <w:color w:val="auto"/>
                <w:w w:val="89"/>
              </w:rPr>
              <w:t>642,837</w:t>
            </w:r>
          </w:p>
        </w:tc>
        <w:tc>
          <w:tcPr>
            <w:tcW w:w="100" w:type="dxa"/>
            <w:vAlign w:val="bottom"/>
            <w:shd w:val="clear" w:color="auto" w:fill="CFF0FC"/>
          </w:tcPr>
          <w:p>
            <w:pPr>
              <w:spacing w:after="0"/>
              <w:rPr>
                <w:sz w:val="19"/>
                <w:szCs w:val="19"/>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ind w:left="200"/>
              <w:spacing w:after="0"/>
              <w:rPr>
                <w:sz w:val="20"/>
                <w:szCs w:val="20"/>
                <w:color w:val="auto"/>
              </w:rPr>
            </w:pPr>
            <w:r>
              <w:rPr>
                <w:rFonts w:ascii="Arial" w:cs="Arial" w:eastAsia="Arial" w:hAnsi="Arial"/>
                <w:sz w:val="18"/>
                <w:szCs w:val="18"/>
                <w:color w:val="auto"/>
              </w:rPr>
              <w:t>32,314</w:t>
            </w:r>
          </w:p>
        </w:tc>
        <w:tc>
          <w:tcPr>
            <w:tcW w:w="12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28,869</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tcPr>
          <w:p>
            <w:pPr>
              <w:ind w:left="120"/>
              <w:spacing w:after="0"/>
              <w:rPr>
                <w:sz w:val="20"/>
                <w:szCs w:val="20"/>
                <w:color w:val="auto"/>
              </w:rPr>
            </w:pPr>
            <w:r>
              <w:rPr>
                <w:rFonts w:ascii="Arial" w:cs="Arial" w:eastAsia="Arial" w:hAnsi="Arial"/>
                <w:sz w:val="18"/>
                <w:szCs w:val="18"/>
                <w:color w:val="auto"/>
              </w:rPr>
              <w:t>712,391</w:t>
            </w:r>
          </w:p>
        </w:tc>
        <w:tc>
          <w:tcPr>
            <w:tcW w:w="10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Pr>
          <w:p>
            <w:pPr>
              <w:ind w:left="100"/>
              <w:spacing w:after="0"/>
              <w:rPr>
                <w:sz w:val="20"/>
                <w:szCs w:val="20"/>
                <w:color w:val="auto"/>
              </w:rPr>
            </w:pPr>
            <w:r>
              <w:rPr>
                <w:rFonts w:ascii="Arial" w:cs="Arial" w:eastAsia="Arial" w:hAnsi="Arial"/>
                <w:sz w:val="18"/>
                <w:szCs w:val="18"/>
                <w:color w:val="auto"/>
                <w:w w:val="89"/>
              </w:rPr>
              <w:t>626,146</w:t>
            </w:r>
          </w:p>
        </w:tc>
        <w:tc>
          <w:tcPr>
            <w:tcW w:w="22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Pr>
          <w:p>
            <w:pPr>
              <w:ind w:left="100"/>
              <w:spacing w:after="0"/>
              <w:rPr>
                <w:sz w:val="20"/>
                <w:szCs w:val="20"/>
                <w:color w:val="auto"/>
              </w:rPr>
            </w:pPr>
            <w:r>
              <w:rPr>
                <w:rFonts w:ascii="Arial" w:cs="Arial" w:eastAsia="Arial" w:hAnsi="Arial"/>
                <w:sz w:val="18"/>
                <w:szCs w:val="18"/>
                <w:color w:val="auto"/>
                <w:w w:val="89"/>
              </w:rPr>
              <w:t>744,705</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ind w:left="140"/>
              <w:spacing w:after="0"/>
              <w:rPr>
                <w:sz w:val="20"/>
                <w:szCs w:val="20"/>
                <w:color w:val="auto"/>
              </w:rPr>
            </w:pPr>
            <w:r>
              <w:rPr>
                <w:rFonts w:ascii="Arial" w:cs="Arial" w:eastAsia="Arial" w:hAnsi="Arial"/>
                <w:sz w:val="18"/>
                <w:szCs w:val="18"/>
                <w:color w:val="auto"/>
                <w:w w:val="89"/>
              </w:rPr>
              <w:t>655,015</w:t>
            </w:r>
          </w:p>
        </w:tc>
        <w:tc>
          <w:tcPr>
            <w:tcW w:w="100" w:type="dxa"/>
            <w:vAlign w:val="bottom"/>
          </w:tcPr>
          <w:p>
            <w:pPr>
              <w:spacing w:after="0"/>
              <w:rPr>
                <w:sz w:val="19"/>
                <w:szCs w:val="19"/>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Projected benefit obligation</w:t>
            </w:r>
          </w:p>
        </w:tc>
        <w:tc>
          <w:tcPr>
            <w:tcW w:w="1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32,314</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28,869</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712,391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9"/>
              </w:rPr>
              <w:t>626,146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9"/>
              </w:rPr>
              <w:t>744,705</w:t>
            </w:r>
          </w:p>
        </w:tc>
        <w:tc>
          <w:tcPr>
            <w:tcW w:w="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ind w:left="140"/>
              <w:spacing w:after="0"/>
              <w:rPr>
                <w:sz w:val="20"/>
                <w:szCs w:val="20"/>
                <w:color w:val="auto"/>
              </w:rPr>
            </w:pPr>
            <w:r>
              <w:rPr>
                <w:rFonts w:ascii="Arial" w:cs="Arial" w:eastAsia="Arial" w:hAnsi="Arial"/>
                <w:sz w:val="18"/>
                <w:szCs w:val="18"/>
                <w:color w:val="auto"/>
                <w:w w:val="89"/>
              </w:rPr>
              <w:t>655,015</w:t>
            </w:r>
          </w:p>
        </w:tc>
        <w:tc>
          <w:tcPr>
            <w:tcW w:w="100" w:type="dxa"/>
            <w:vAlign w:val="bottom"/>
            <w:shd w:val="clear" w:color="auto" w:fill="CFF0FC"/>
          </w:tcPr>
          <w:p>
            <w:pPr>
              <w:spacing w:after="0"/>
              <w:rPr>
                <w:sz w:val="19"/>
                <w:szCs w:val="19"/>
                <w:color w:val="auto"/>
              </w:rPr>
            </w:pPr>
          </w:p>
        </w:tc>
      </w:tr>
      <w:tr>
        <w:trPr>
          <w:trHeight w:val="648"/>
        </w:trPr>
        <w:tc>
          <w:tcPr>
            <w:tcW w:w="3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600"/>
              <w:spacing w:after="0"/>
              <w:rPr>
                <w:sz w:val="20"/>
                <w:szCs w:val="20"/>
                <w:color w:val="auto"/>
              </w:rPr>
            </w:pPr>
            <w:r>
              <w:rPr>
                <w:rFonts w:ascii="Arial" w:cs="Arial" w:eastAsia="Arial" w:hAnsi="Arial"/>
                <w:sz w:val="18"/>
                <w:szCs w:val="18"/>
                <w:color w:val="auto"/>
                <w:w w:val="99"/>
              </w:rPr>
              <w:t>114</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73" w:lineRule="exact"/>
        <w:rPr>
          <w:sz w:val="20"/>
          <w:szCs w:val="20"/>
          <w:color w:val="auto"/>
        </w:rPr>
      </w:pPr>
    </w:p>
    <w:p>
      <w:pPr>
        <w:ind w:right="620" w:firstLine="598"/>
        <w:spacing w:after="0" w:line="308" w:lineRule="auto"/>
        <w:rPr>
          <w:sz w:val="20"/>
          <w:szCs w:val="20"/>
          <w:color w:val="auto"/>
        </w:rPr>
      </w:pPr>
      <w:r>
        <w:rPr>
          <w:rFonts w:ascii="Arial" w:cs="Arial" w:eastAsia="Arial" w:hAnsi="Arial"/>
          <w:sz w:val="17"/>
          <w:szCs w:val="17"/>
          <w:color w:val="auto"/>
        </w:rPr>
        <w:t>The following table summarizes the components of net periodic benefit cost (credit), the return on the Company’s post-retirement plan assets, benefits paid, contributions and other amounts recognized in AOCI for the years ended December 31, 2019, 2018 and 2017:</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Pension Plans</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For The Year Ended</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20" w:type="dxa"/>
            <w:vAlign w:val="bottom"/>
            <w:tcBorders>
              <w:bottom w:val="single" w:sz="8" w:color="CFF0FC"/>
            </w:tcBorders>
          </w:tcPr>
          <w:p>
            <w:pPr>
              <w:spacing w:after="0"/>
              <w:rPr>
                <w:sz w:val="13"/>
                <w:szCs w:val="13"/>
                <w:color w:val="auto"/>
              </w:rPr>
            </w:pPr>
          </w:p>
        </w:tc>
        <w:tc>
          <w:tcPr>
            <w:tcW w:w="17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93"/>
              <w:spacing w:after="0" w:line="155" w:lineRule="exact"/>
              <w:rPr>
                <w:sz w:val="20"/>
                <w:szCs w:val="20"/>
                <w:color w:val="auto"/>
              </w:rPr>
            </w:pPr>
            <w:r>
              <w:rPr>
                <w:rFonts w:ascii="Arial" w:cs="Arial" w:eastAsia="Arial" w:hAnsi="Arial"/>
                <w:sz w:val="14"/>
                <w:szCs w:val="14"/>
                <w:b w:val="1"/>
                <w:bCs w:val="1"/>
                <w:color w:val="auto"/>
                <w:w w:val="89"/>
              </w:rPr>
              <w:t>2018</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2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Components of Net Periodic Benefit Cost</w:t>
            </w:r>
          </w:p>
        </w:tc>
        <w:tc>
          <w:tcPr>
            <w:tcW w:w="17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2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(Credit):</w:t>
            </w:r>
          </w:p>
        </w:tc>
        <w:tc>
          <w:tcPr>
            <w:tcW w:w="17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tcPr>
          <w:p>
            <w:pPr>
              <w:ind w:left="240"/>
              <w:spacing w:after="0"/>
              <w:rPr>
                <w:sz w:val="20"/>
                <w:szCs w:val="20"/>
                <w:color w:val="auto"/>
              </w:rPr>
            </w:pPr>
            <w:r>
              <w:rPr>
                <w:rFonts w:ascii="Arial" w:cs="Arial" w:eastAsia="Arial" w:hAnsi="Arial"/>
                <w:sz w:val="18"/>
                <w:szCs w:val="18"/>
                <w:color w:val="auto"/>
              </w:rPr>
              <w:t>Service cost</w:t>
            </w:r>
          </w:p>
        </w:tc>
        <w:tc>
          <w:tcPr>
            <w:tcW w:w="20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815</w:t>
            </w:r>
          </w:p>
        </w:tc>
        <w:tc>
          <w:tcPr>
            <w:tcW w:w="1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884</w:t>
            </w:r>
          </w:p>
        </w:tc>
        <w:tc>
          <w:tcPr>
            <w:tcW w:w="260" w:type="dxa"/>
            <w:vAlign w:val="bottom"/>
          </w:tcPr>
          <w:p>
            <w:pPr>
              <w:spacing w:after="0"/>
              <w:rPr>
                <w:sz w:val="19"/>
                <w:szCs w:val="19"/>
                <w:color w:val="auto"/>
              </w:rPr>
            </w:pP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cost</w:t>
            </w:r>
          </w:p>
        </w:tc>
        <w:tc>
          <w:tcPr>
            <w:tcW w:w="1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15,350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tcPr>
          <w:p>
            <w:pPr>
              <w:ind w:left="240"/>
              <w:spacing w:after="0"/>
              <w:rPr>
                <w:sz w:val="20"/>
                <w:szCs w:val="20"/>
                <w:color w:val="auto"/>
              </w:rPr>
            </w:pPr>
            <w:r>
              <w:rPr>
                <w:rFonts w:ascii="Arial" w:cs="Arial" w:eastAsia="Arial" w:hAnsi="Arial"/>
                <w:sz w:val="18"/>
                <w:szCs w:val="18"/>
                <w:color w:val="auto"/>
              </w:rPr>
              <w:t>Expected return on plan assets</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(27,470)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(29,622)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(25,300)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w:t>
            </w:r>
          </w:p>
        </w:tc>
        <w:tc>
          <w:tcPr>
            <w:tcW w:w="1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Prior service cost</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Net actuarial loss (gain)</w:t>
            </w:r>
          </w:p>
        </w:tc>
        <w:tc>
          <w:tcPr>
            <w:tcW w:w="1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11,840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Settlement loss (gain)</w:t>
            </w:r>
          </w:p>
        </w:tc>
        <w:tc>
          <w:tcPr>
            <w:tcW w:w="17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periodic benefit cost (credit)</w:t>
            </w:r>
          </w:p>
        </w:tc>
        <w:tc>
          <w:tcPr>
            <w:tcW w:w="17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(5,421)</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2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02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20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74,844</w:t>
            </w:r>
          </w:p>
        </w:tc>
        <w:tc>
          <w:tcPr>
            <w:tcW w:w="1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(10,608)</w:t>
            </w: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43,624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Employer contributions</w:t>
            </w:r>
          </w:p>
        </w:tc>
        <w:tc>
          <w:tcPr>
            <w:tcW w:w="20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5,623</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22,153</w:t>
            </w:r>
          </w:p>
        </w:tc>
        <w:tc>
          <w:tcPr>
            <w:tcW w:w="2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70"/>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Benefits paid</w:t>
            </w:r>
          </w:p>
        </w:tc>
        <w:tc>
          <w:tcPr>
            <w:tcW w:w="20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30,760</w:t>
            </w:r>
          </w:p>
        </w:tc>
        <w:tc>
          <w:tcPr>
            <w:tcW w:w="1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62,056</w:t>
            </w:r>
          </w:p>
        </w:tc>
        <w:tc>
          <w:tcPr>
            <w:tcW w:w="260" w:type="dxa"/>
            <w:vAlign w:val="bottom"/>
          </w:tcPr>
          <w:p>
            <w:pPr>
              <w:spacing w:after="0"/>
              <w:rPr>
                <w:sz w:val="19"/>
                <w:szCs w:val="19"/>
                <w:color w:val="auto"/>
              </w:rPr>
            </w:pP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Other changes in plan assets and benefit</w:t>
            </w:r>
          </w:p>
        </w:tc>
        <w:tc>
          <w:tcPr>
            <w:tcW w:w="17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obligations recognized in AOCI (excluding</w:t>
            </w:r>
          </w:p>
        </w:tc>
        <w:tc>
          <w:tcPr>
            <w:tcW w:w="17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tax expense (benefit) of $(7,247), $1,589</w:t>
            </w:r>
          </w:p>
        </w:tc>
        <w:tc>
          <w:tcPr>
            <w:tcW w:w="17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and $(1,255), during the years ended</w:t>
            </w:r>
          </w:p>
        </w:tc>
        <w:tc>
          <w:tcPr>
            <w:tcW w:w="17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December 31, 2019, 2018 and 2017,</w:t>
            </w:r>
          </w:p>
        </w:tc>
        <w:tc>
          <w:tcPr>
            <w:tcW w:w="17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respectively):</w:t>
            </w:r>
          </w:p>
        </w:tc>
        <w:tc>
          <w:tcPr>
            <w:tcW w:w="17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Net actuarial (gain) loss</w:t>
            </w:r>
          </w:p>
        </w:tc>
        <w:tc>
          <w:tcPr>
            <w:tcW w:w="20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40,311</w:t>
            </w:r>
          </w:p>
        </w:tc>
        <w:tc>
          <w:tcPr>
            <w:tcW w:w="1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11,073</w:t>
            </w:r>
          </w:p>
        </w:tc>
        <w:tc>
          <w:tcPr>
            <w:tcW w:w="260" w:type="dxa"/>
            <w:vAlign w:val="bottom"/>
          </w:tcPr>
          <w:p>
            <w:pPr>
              <w:spacing w:after="0"/>
              <w:rPr>
                <w:sz w:val="19"/>
                <w:szCs w:val="19"/>
                <w:color w:val="auto"/>
              </w:rPr>
            </w:pP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(17,357)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Prior service cost (credit)</w:t>
            </w:r>
          </w:p>
        </w:tc>
        <w:tc>
          <w:tcPr>
            <w:tcW w:w="1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Reclassification of prior service (cost)</w:t>
            </w: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tcPr>
          <w:p>
            <w:pPr>
              <w:ind w:left="620"/>
              <w:spacing w:after="0"/>
              <w:rPr>
                <w:sz w:val="20"/>
                <w:szCs w:val="20"/>
                <w:color w:val="auto"/>
              </w:rPr>
            </w:pPr>
            <w:r>
              <w:rPr>
                <w:rFonts w:ascii="Arial" w:cs="Arial" w:eastAsia="Arial" w:hAnsi="Arial"/>
                <w:sz w:val="18"/>
                <w:szCs w:val="18"/>
                <w:color w:val="auto"/>
              </w:rPr>
              <w:t>credit to earnings</w:t>
            </w:r>
          </w:p>
        </w:tc>
        <w:tc>
          <w:tcPr>
            <w:tcW w:w="1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Reclassification of actuarial gain (loss)</w:t>
            </w:r>
          </w:p>
        </w:tc>
        <w:tc>
          <w:tcPr>
            <w:tcW w:w="17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shd w:val="clear" w:color="auto" w:fill="CFF0FC"/>
          </w:tcPr>
          <w:p>
            <w:pPr>
              <w:ind w:left="620"/>
              <w:spacing w:after="0"/>
              <w:rPr>
                <w:sz w:val="20"/>
                <w:szCs w:val="20"/>
                <w:color w:val="auto"/>
              </w:rPr>
            </w:pPr>
            <w:r>
              <w:rPr>
                <w:rFonts w:ascii="Arial" w:cs="Arial" w:eastAsia="Arial" w:hAnsi="Arial"/>
                <w:sz w:val="18"/>
                <w:szCs w:val="18"/>
                <w:color w:val="auto"/>
              </w:rPr>
              <w:t>to earnings</w:t>
            </w:r>
          </w:p>
        </w:tc>
        <w:tc>
          <w:tcPr>
            <w:tcW w:w="17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(5,774)</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(13,052)</w:t>
            </w: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(10,141)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Currency translation and other</w:t>
            </w: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tcPr>
          <w:p>
            <w:pPr>
              <w:ind w:left="620"/>
              <w:spacing w:after="0"/>
              <w:rPr>
                <w:sz w:val="20"/>
                <w:szCs w:val="20"/>
                <w:color w:val="auto"/>
              </w:rPr>
            </w:pPr>
            <w:r>
              <w:rPr>
                <w:rFonts w:ascii="Arial" w:cs="Arial" w:eastAsia="Arial" w:hAnsi="Arial"/>
                <w:sz w:val="18"/>
                <w:szCs w:val="18"/>
                <w:color w:val="auto"/>
              </w:rPr>
              <w:t>adjustments</w:t>
            </w:r>
          </w:p>
        </w:tc>
        <w:tc>
          <w:tcPr>
            <w:tcW w:w="1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3,025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(8,424)</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recognized in AOCI</w:t>
            </w:r>
          </w:p>
        </w:tc>
        <w:tc>
          <w:tcPr>
            <w:tcW w:w="17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37,452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(7,225)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Net amount recognized in total periodic</w:t>
            </w:r>
          </w:p>
        </w:tc>
        <w:tc>
          <w:tcPr>
            <w:tcW w:w="1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40" w:type="dxa"/>
            <w:vAlign w:val="bottom"/>
            <w:gridSpan w:val="2"/>
            <w:vMerge w:val="continue"/>
          </w:tcPr>
          <w:p>
            <w:pPr>
              <w:spacing w:after="0"/>
              <w:rPr>
                <w:sz w:val="17"/>
                <w:szCs w:val="17"/>
                <w:color w:val="auto"/>
              </w:rPr>
            </w:pPr>
          </w:p>
        </w:tc>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tcPr>
          <w:p>
            <w:pPr>
              <w:ind w:left="120"/>
              <w:spacing w:after="0"/>
              <w:rPr>
                <w:sz w:val="20"/>
                <w:szCs w:val="20"/>
                <w:color w:val="auto"/>
              </w:rPr>
            </w:pPr>
            <w:r>
              <w:rPr>
                <w:rFonts w:ascii="Arial" w:cs="Arial" w:eastAsia="Arial" w:hAnsi="Arial"/>
                <w:sz w:val="18"/>
                <w:szCs w:val="18"/>
                <w:color w:val="auto"/>
              </w:rPr>
              <w:t>benefit cost and AOCI</w:t>
            </w:r>
          </w:p>
        </w:tc>
        <w:tc>
          <w:tcPr>
            <w:tcW w:w="20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32,031</w:t>
            </w:r>
          </w:p>
        </w:tc>
        <w:tc>
          <w:tcPr>
            <w:tcW w:w="16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(7,324)</w:t>
            </w: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(5,419)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900" w:firstLine="598"/>
        <w:spacing w:after="0" w:line="277" w:lineRule="auto"/>
        <w:rPr>
          <w:sz w:val="20"/>
          <w:szCs w:val="20"/>
          <w:color w:val="auto"/>
        </w:rPr>
      </w:pPr>
      <w:r>
        <w:rPr>
          <w:rFonts w:ascii="Arial" w:cs="Arial" w:eastAsia="Arial" w:hAnsi="Arial"/>
          <w:sz w:val="18"/>
          <w:szCs w:val="18"/>
          <w:color w:val="auto"/>
        </w:rPr>
        <w:t>The amounts in AOCI on the consolidated statement of financial condition as of December 31, 2019 that are expected to be recognized as components of net periodic benefit cost (credit) for the year ending December 31, 2020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Pension</w:t>
            </w:r>
          </w:p>
        </w:tc>
      </w:tr>
      <w:tr>
        <w:trPr>
          <w:trHeight w:val="171"/>
        </w:trPr>
        <w:tc>
          <w:tcPr>
            <w:tcW w:w="34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Plans</w:t>
            </w:r>
          </w:p>
        </w:tc>
      </w:tr>
      <w:tr>
        <w:trPr>
          <w:trHeight w:val="223"/>
        </w:trPr>
        <w:tc>
          <w:tcPr>
            <w:tcW w:w="3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actuarial loss</w:t>
            </w:r>
          </w:p>
        </w:tc>
        <w:tc>
          <w:tcPr>
            <w:tcW w:w="59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Prior service cost</w:t>
            </w:r>
          </w:p>
        </w:tc>
        <w:tc>
          <w:tcPr>
            <w:tcW w:w="63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0"/>
                <w:szCs w:val="20"/>
                <w:color w:val="auto"/>
              </w:rPr>
            </w:pPr>
          </w:p>
        </w:tc>
      </w:tr>
      <w:tr>
        <w:trPr>
          <w:trHeight w:val="647"/>
        </w:trPr>
        <w:tc>
          <w:tcPr>
            <w:tcW w:w="3420" w:type="dxa"/>
            <w:vAlign w:val="bottom"/>
          </w:tcPr>
          <w:p>
            <w:pPr>
              <w:spacing w:after="0"/>
              <w:rPr>
                <w:sz w:val="24"/>
                <w:szCs w:val="24"/>
                <w:color w:val="auto"/>
              </w:rPr>
            </w:pPr>
          </w:p>
        </w:tc>
        <w:tc>
          <w:tcPr>
            <w:tcW w:w="5980" w:type="dxa"/>
            <w:vAlign w:val="bottom"/>
          </w:tcPr>
          <w:p>
            <w:pPr>
              <w:jc w:val="right"/>
              <w:ind w:right="3470"/>
              <w:spacing w:after="0"/>
              <w:rPr>
                <w:sz w:val="20"/>
                <w:szCs w:val="20"/>
                <w:color w:val="auto"/>
              </w:rPr>
            </w:pPr>
            <w:r>
              <w:rPr>
                <w:rFonts w:ascii="Arial" w:cs="Arial" w:eastAsia="Arial" w:hAnsi="Arial"/>
                <w:sz w:val="18"/>
                <w:szCs w:val="18"/>
                <w:color w:val="auto"/>
              </w:rPr>
              <w:t>115</w:t>
            </w: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420" w:type="dxa"/>
            <w:vAlign w:val="bottom"/>
            <w:tcBorders>
              <w:bottom w:val="single" w:sz="8" w:color="9A9A9A"/>
            </w:tcBorders>
          </w:tcPr>
          <w:p>
            <w:pPr>
              <w:spacing w:after="0"/>
              <w:rPr>
                <w:sz w:val="10"/>
                <w:szCs w:val="10"/>
                <w:color w:val="auto"/>
              </w:rPr>
            </w:pPr>
          </w:p>
        </w:tc>
        <w:tc>
          <w:tcPr>
            <w:tcW w:w="59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7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assumptions used to develop actuarial present value of the projected benefit obligation and net periodic pension cost as of or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2018 and 2017 are set forth below:</w:t>
      </w:r>
    </w:p>
    <w:p>
      <w:pPr>
        <w:spacing w:after="0" w:line="284" w:lineRule="exact"/>
        <w:rPr>
          <w:sz w:val="20"/>
          <w:szCs w:val="20"/>
          <w:color w:val="auto"/>
        </w:rPr>
      </w:pPr>
    </w:p>
    <w:p>
      <w:pPr>
        <w:ind w:left="8500"/>
        <w:spacing w:after="0"/>
        <w:rPr>
          <w:sz w:val="20"/>
          <w:szCs w:val="20"/>
          <w:color w:val="auto"/>
        </w:rPr>
      </w:pPr>
      <w:r>
        <w:rPr>
          <w:rFonts w:ascii="Arial" w:cs="Arial" w:eastAsia="Arial" w:hAnsi="Arial"/>
          <w:sz w:val="14"/>
          <w:szCs w:val="14"/>
          <w:b w:val="1"/>
          <w:bCs w:val="1"/>
          <w:color w:val="auto"/>
        </w:rPr>
        <w:t>Pension Plans</w:t>
      </w:r>
    </w:p>
    <w:p>
      <w:pPr>
        <w:spacing w:after="0" w:line="11" w:lineRule="exact"/>
        <w:rPr>
          <w:sz w:val="20"/>
          <w:szCs w:val="20"/>
          <w:color w:val="auto"/>
        </w:rPr>
      </w:pPr>
    </w:p>
    <w:p>
      <w:pPr>
        <w:ind w:left="8500"/>
        <w:spacing w:after="0"/>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56"/>
        </w:trPr>
        <w:tc>
          <w:tcPr>
            <w:tcW w:w="6620" w:type="dxa"/>
            <w:vAlign w:val="bottom"/>
          </w:tcPr>
          <w:p>
            <w:pPr>
              <w:spacing w:after="0"/>
              <w:rPr>
                <w:sz w:val="13"/>
                <w:szCs w:val="13"/>
                <w:color w:val="auto"/>
              </w:rPr>
            </w:pPr>
          </w:p>
        </w:tc>
        <w:tc>
          <w:tcPr>
            <w:tcW w:w="940" w:type="dxa"/>
            <w:vAlign w:val="bottom"/>
            <w:tcBorders>
              <w:top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2019</w:t>
            </w:r>
          </w:p>
        </w:tc>
        <w:tc>
          <w:tcPr>
            <w:tcW w:w="1660" w:type="dxa"/>
            <w:vAlign w:val="bottom"/>
            <w:tcBorders>
              <w:top w:val="single" w:sz="8" w:color="auto"/>
            </w:tcBorders>
            <w:gridSpan w:val="3"/>
          </w:tcPr>
          <w:p>
            <w:pPr>
              <w:jc w:val="right"/>
              <w:ind w:right="140"/>
              <w:spacing w:after="0" w:line="155"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3"/>
                <w:szCs w:val="13"/>
                <w:color w:val="auto"/>
              </w:rPr>
            </w:pPr>
          </w:p>
        </w:tc>
      </w:tr>
      <w:tr>
        <w:trPr>
          <w:trHeight w:val="209"/>
        </w:trPr>
        <w:tc>
          <w:tcPr>
            <w:tcW w:w="6620" w:type="dxa"/>
            <w:vAlign w:val="bottom"/>
            <w:tcBorders>
              <w:top w:val="single" w:sz="8" w:color="CFF0FC"/>
            </w:tcBorders>
            <w:shd w:val="clear" w:color="auto" w:fill="CFF0FC"/>
          </w:tcPr>
          <w:p>
            <w:pPr>
              <w:jc w:val="center"/>
              <w:ind w:right="3730"/>
              <w:spacing w:after="0"/>
              <w:rPr>
                <w:sz w:val="20"/>
                <w:szCs w:val="20"/>
                <w:color w:val="auto"/>
              </w:rPr>
            </w:pPr>
            <w:r>
              <w:rPr>
                <w:rFonts w:ascii="Arial" w:cs="Arial" w:eastAsia="Arial" w:hAnsi="Arial"/>
                <w:sz w:val="18"/>
                <w:szCs w:val="18"/>
                <w:color w:val="auto"/>
                <w:w w:val="88"/>
              </w:rPr>
              <w:t>Weighted average assumptions used to</w:t>
            </w:r>
          </w:p>
        </w:tc>
        <w:tc>
          <w:tcPr>
            <w:tcW w:w="94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30"/>
        </w:trPr>
        <w:tc>
          <w:tcPr>
            <w:tcW w:w="75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determine benefit obligations:</w:t>
            </w:r>
          </w:p>
        </w:tc>
        <w:tc>
          <w:tcPr>
            <w:tcW w:w="3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30"/>
        </w:trPr>
        <w:tc>
          <w:tcPr>
            <w:tcW w:w="7560" w:type="dxa"/>
            <w:vAlign w:val="bottom"/>
            <w:gridSpan w:val="2"/>
          </w:tcPr>
          <w:p>
            <w:pPr>
              <w:ind w:left="260"/>
              <w:spacing w:after="0"/>
              <w:rPr>
                <w:sz w:val="20"/>
                <w:szCs w:val="20"/>
                <w:color w:val="auto"/>
              </w:rPr>
            </w:pPr>
            <w:r>
              <w:rPr>
                <w:rFonts w:ascii="Arial" w:cs="Arial" w:eastAsia="Arial" w:hAnsi="Arial"/>
                <w:sz w:val="18"/>
                <w:szCs w:val="18"/>
                <w:color w:val="auto"/>
              </w:rPr>
              <w:t>Discount rate</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c>
          <w:tcPr>
            <w:tcW w:w="9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r>
      <w:tr>
        <w:trPr>
          <w:trHeight w:val="215"/>
        </w:trPr>
        <w:tc>
          <w:tcPr>
            <w:tcW w:w="7560" w:type="dxa"/>
            <w:vAlign w:val="bottom"/>
            <w:gridSpan w:val="2"/>
            <w:shd w:val="clear" w:color="auto" w:fill="CFF0FC"/>
          </w:tcPr>
          <w:p>
            <w:pPr>
              <w:jc w:val="center"/>
              <w:ind w:right="4688"/>
              <w:spacing w:after="0"/>
              <w:rPr>
                <w:sz w:val="20"/>
                <w:szCs w:val="20"/>
                <w:color w:val="auto"/>
              </w:rPr>
            </w:pPr>
            <w:r>
              <w:rPr>
                <w:rFonts w:ascii="Arial" w:cs="Arial" w:eastAsia="Arial" w:hAnsi="Arial"/>
                <w:sz w:val="18"/>
                <w:szCs w:val="18"/>
                <w:color w:val="auto"/>
                <w:w w:val="88"/>
              </w:rPr>
              <w:t>Weighted average assumptions used to</w:t>
            </w:r>
          </w:p>
        </w:tc>
        <w:tc>
          <w:tcPr>
            <w:tcW w:w="3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7560" w:type="dxa"/>
            <w:vAlign w:val="bottom"/>
            <w:gridSpan w:val="2"/>
            <w:shd w:val="clear" w:color="auto" w:fill="CFF0FC"/>
          </w:tcPr>
          <w:p>
            <w:pPr>
              <w:jc w:val="center"/>
              <w:ind w:right="4648"/>
              <w:spacing w:after="0"/>
              <w:rPr>
                <w:sz w:val="20"/>
                <w:szCs w:val="20"/>
                <w:color w:val="auto"/>
              </w:rPr>
            </w:pPr>
            <w:r>
              <w:rPr>
                <w:rFonts w:ascii="Arial" w:cs="Arial" w:eastAsia="Arial" w:hAnsi="Arial"/>
                <w:sz w:val="18"/>
                <w:szCs w:val="18"/>
                <w:color w:val="auto"/>
                <w:w w:val="91"/>
              </w:rPr>
              <w:t>determine net periodic benefit cost:</w:t>
            </w:r>
          </w:p>
        </w:tc>
        <w:tc>
          <w:tcPr>
            <w:tcW w:w="3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30"/>
        </w:trPr>
        <w:tc>
          <w:tcPr>
            <w:tcW w:w="7560" w:type="dxa"/>
            <w:vAlign w:val="bottom"/>
            <w:gridSpan w:val="2"/>
          </w:tcPr>
          <w:p>
            <w:pPr>
              <w:ind w:left="260"/>
              <w:spacing w:after="0"/>
              <w:rPr>
                <w:sz w:val="20"/>
                <w:szCs w:val="20"/>
                <w:color w:val="auto"/>
              </w:rPr>
            </w:pPr>
            <w:r>
              <w:rPr>
                <w:rFonts w:ascii="Arial" w:cs="Arial" w:eastAsia="Arial" w:hAnsi="Arial"/>
                <w:sz w:val="18"/>
                <w:szCs w:val="18"/>
                <w:color w:val="auto"/>
              </w:rPr>
              <w:t>Discount rate</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9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2.4%</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r>
      <w:tr>
        <w:trPr>
          <w:trHeight w:val="215"/>
        </w:trPr>
        <w:tc>
          <w:tcPr>
            <w:tcW w:w="75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Expected long-term rate of return on plan</w:t>
            </w:r>
          </w:p>
        </w:tc>
        <w:tc>
          <w:tcPr>
            <w:tcW w:w="3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75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assets</w:t>
            </w: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4.4%</w:t>
            </w:r>
          </w:p>
        </w:tc>
        <w:tc>
          <w:tcPr>
            <w:tcW w:w="9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4.4%</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w:t>
            </w:r>
          </w:p>
        </w:tc>
      </w:tr>
    </w:tbl>
    <w:p>
      <w:pPr>
        <w:spacing w:after="0" w:line="229" w:lineRule="exact"/>
        <w:rPr>
          <w:sz w:val="20"/>
          <w:szCs w:val="20"/>
          <w:color w:val="auto"/>
        </w:rPr>
      </w:pPr>
    </w:p>
    <w:p>
      <w:pPr>
        <w:jc w:val="both"/>
        <w:ind w:right="20" w:firstLine="598"/>
        <w:spacing w:after="0" w:line="277" w:lineRule="auto"/>
        <w:rPr>
          <w:sz w:val="20"/>
          <w:szCs w:val="20"/>
          <w:color w:val="auto"/>
        </w:rPr>
      </w:pPr>
      <w:r>
        <w:rPr>
          <w:rFonts w:ascii="Arial" w:cs="Arial" w:eastAsia="Arial" w:hAnsi="Arial"/>
          <w:sz w:val="18"/>
          <w:szCs w:val="18"/>
          <w:color w:val="auto"/>
        </w:rPr>
        <w:t>Generally, the Company determined the discount rates for its defined benefit plans by utilizing indices for long-term, high-quality bonds and ensuring that the discount rate does not exceed the yield reported for those indices after adjustment for the duration of the plans’ liabilities.</w:t>
      </w:r>
    </w:p>
    <w:p>
      <w:pPr>
        <w:spacing w:after="0" w:line="170"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In selecting the expected long-term rate of return on plan assets, the Company considered the average rate of earnings expected on the funds invested or to be invested to provide for the benefits of the plan, giving consideration to expected returns on different asset classes held by the plans in light of prevailing economic conditions as well as historical returns. This basis is consistent for all years presented.</w:t>
      </w:r>
    </w:p>
    <w:p>
      <w:pPr>
        <w:spacing w:after="0" w:line="222" w:lineRule="exact"/>
        <w:rPr>
          <w:sz w:val="20"/>
          <w:szCs w:val="20"/>
          <w:color w:val="auto"/>
        </w:rPr>
      </w:pPr>
    </w:p>
    <w:p>
      <w:pPr>
        <w:ind w:right="200" w:firstLine="598"/>
        <w:spacing w:after="0" w:line="277" w:lineRule="auto"/>
        <w:rPr>
          <w:sz w:val="20"/>
          <w:szCs w:val="20"/>
          <w:color w:val="auto"/>
        </w:rPr>
      </w:pPr>
      <w:r>
        <w:rPr>
          <w:rFonts w:ascii="Arial" w:cs="Arial" w:eastAsia="Arial" w:hAnsi="Arial"/>
          <w:sz w:val="18"/>
          <w:szCs w:val="18"/>
          <w:b w:val="1"/>
          <w:bCs w:val="1"/>
          <w:i w:val="1"/>
          <w:iCs w:val="1"/>
          <w:color w:val="auto"/>
        </w:rPr>
        <w:t>Expected Benefit Payments</w:t>
      </w:r>
      <w:r>
        <w:rPr>
          <w:rFonts w:ascii="Arial" w:cs="Arial" w:eastAsia="Arial" w:hAnsi="Arial"/>
          <w:sz w:val="18"/>
          <w:szCs w:val="18"/>
          <w:color w:val="auto"/>
        </w:rPr>
        <w:t>—The following table summarizes the expected benefit payments for the Company’s pension plans for each of the next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five fiscal years and in the aggregate for the five fiscal years thereafter:</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right"/>
              <w:ind w:right="534"/>
              <w:spacing w:after="0"/>
              <w:rPr>
                <w:sz w:val="20"/>
                <w:szCs w:val="20"/>
                <w:color w:val="auto"/>
              </w:rPr>
            </w:pPr>
            <w:r>
              <w:rPr>
                <w:rFonts w:ascii="Arial" w:cs="Arial" w:eastAsia="Arial" w:hAnsi="Arial"/>
                <w:sz w:val="14"/>
                <w:szCs w:val="14"/>
                <w:b w:val="1"/>
                <w:bCs w:val="1"/>
                <w:color w:val="auto"/>
              </w:rPr>
              <w:t>Pension</w:t>
            </w:r>
          </w:p>
        </w:tc>
        <w:tc>
          <w:tcPr>
            <w:tcW w:w="1140" w:type="dxa"/>
            <w:vAlign w:val="bottom"/>
          </w:tcPr>
          <w:p>
            <w:pPr>
              <w:spacing w:after="0"/>
              <w:rPr>
                <w:sz w:val="14"/>
                <w:szCs w:val="14"/>
                <w:color w:val="auto"/>
              </w:rPr>
            </w:pPr>
          </w:p>
        </w:tc>
      </w:tr>
      <w:tr>
        <w:trPr>
          <w:trHeight w:val="171"/>
        </w:trPr>
        <w:tc>
          <w:tcPr>
            <w:tcW w:w="1160" w:type="dxa"/>
            <w:vAlign w:val="bottom"/>
          </w:tcPr>
          <w:p>
            <w:pPr>
              <w:spacing w:after="0"/>
              <w:rPr>
                <w:sz w:val="14"/>
                <w:szCs w:val="14"/>
                <w:color w:val="auto"/>
              </w:rPr>
            </w:pPr>
          </w:p>
        </w:tc>
        <w:tc>
          <w:tcPr>
            <w:tcW w:w="2600" w:type="dxa"/>
            <w:vAlign w:val="bottom"/>
            <w:tcBorders>
              <w:bottom w:val="single" w:sz="8" w:color="CFF0FC"/>
            </w:tcBorders>
          </w:tcPr>
          <w:p>
            <w:pPr>
              <w:spacing w:after="0"/>
              <w:rPr>
                <w:sz w:val="14"/>
                <w:szCs w:val="14"/>
                <w:color w:val="auto"/>
              </w:rPr>
            </w:pPr>
          </w:p>
        </w:tc>
        <w:tc>
          <w:tcPr>
            <w:tcW w:w="49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Plans</w:t>
            </w:r>
          </w:p>
        </w:tc>
        <w:tc>
          <w:tcPr>
            <w:tcW w:w="1140" w:type="dxa"/>
            <w:vAlign w:val="bottom"/>
          </w:tcPr>
          <w:p>
            <w:pPr>
              <w:spacing w:after="0"/>
              <w:rPr>
                <w:sz w:val="14"/>
                <w:szCs w:val="14"/>
                <w:color w:val="auto"/>
              </w:rPr>
            </w:pPr>
          </w:p>
        </w:tc>
      </w:tr>
      <w:tr>
        <w:trPr>
          <w:trHeight w:val="223"/>
        </w:trPr>
        <w:tc>
          <w:tcPr>
            <w:tcW w:w="1160" w:type="dxa"/>
            <w:vAlign w:val="bottom"/>
          </w:tcPr>
          <w:p>
            <w:pPr>
              <w:spacing w:after="0"/>
              <w:rPr>
                <w:sz w:val="19"/>
                <w:szCs w:val="19"/>
                <w:color w:val="auto"/>
              </w:rPr>
            </w:pPr>
          </w:p>
        </w:tc>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49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25,184</w:t>
            </w:r>
          </w:p>
        </w:tc>
        <w:tc>
          <w:tcPr>
            <w:tcW w:w="114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2021</w:t>
            </w:r>
          </w:p>
        </w:tc>
        <w:tc>
          <w:tcPr>
            <w:tcW w:w="4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27,505</w:t>
            </w:r>
          </w:p>
        </w:tc>
        <w:tc>
          <w:tcPr>
            <w:tcW w:w="114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4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28,771</w:t>
            </w:r>
          </w:p>
        </w:tc>
        <w:tc>
          <w:tcPr>
            <w:tcW w:w="114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2023</w:t>
            </w:r>
          </w:p>
        </w:tc>
        <w:tc>
          <w:tcPr>
            <w:tcW w:w="4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29,269</w:t>
            </w:r>
          </w:p>
        </w:tc>
        <w:tc>
          <w:tcPr>
            <w:tcW w:w="114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4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30,938</w:t>
            </w:r>
          </w:p>
        </w:tc>
        <w:tc>
          <w:tcPr>
            <w:tcW w:w="114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2025-2029</w:t>
            </w:r>
          </w:p>
        </w:tc>
        <w:tc>
          <w:tcPr>
            <w:tcW w:w="4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156,960</w:t>
            </w:r>
          </w:p>
        </w:tc>
        <w:tc>
          <w:tcPr>
            <w:tcW w:w="1140" w:type="dxa"/>
            <w:vAlign w:val="bottom"/>
          </w:tcPr>
          <w:p>
            <w:pPr>
              <w:spacing w:after="0"/>
              <w:rPr>
                <w:sz w:val="20"/>
                <w:szCs w:val="20"/>
                <w:color w:val="auto"/>
              </w:rPr>
            </w:pPr>
          </w:p>
        </w:tc>
      </w:tr>
      <w:tr>
        <w:trPr>
          <w:trHeight w:val="647"/>
        </w:trPr>
        <w:tc>
          <w:tcPr>
            <w:tcW w:w="11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900" w:type="dxa"/>
            <w:vAlign w:val="bottom"/>
          </w:tcPr>
          <w:p>
            <w:pPr>
              <w:jc w:val="right"/>
              <w:ind w:right="2730"/>
              <w:spacing w:after="0"/>
              <w:rPr>
                <w:sz w:val="20"/>
                <w:szCs w:val="20"/>
                <w:color w:val="auto"/>
              </w:rPr>
            </w:pPr>
            <w:r>
              <w:rPr>
                <w:rFonts w:ascii="Arial" w:cs="Arial" w:eastAsia="Arial" w:hAnsi="Arial"/>
                <w:sz w:val="18"/>
                <w:szCs w:val="18"/>
                <w:color w:val="auto"/>
              </w:rPr>
              <w:t>116</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49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8" w:name="page119"/>
    <w:bookmarkEnd w:id="118"/>
    <w:p>
      <w:pPr>
        <w:jc w:val="center"/>
        <w:ind w:right="-19"/>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73"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b w:val="1"/>
          <w:bCs w:val="1"/>
          <w:i w:val="1"/>
          <w:iCs w:val="1"/>
          <w:color w:val="auto"/>
        </w:rPr>
        <w:t>Plan Assets</w:t>
      </w:r>
      <w:r>
        <w:rPr>
          <w:rFonts w:ascii="Arial" w:cs="Arial" w:eastAsia="Arial" w:hAnsi="Arial"/>
          <w:sz w:val="18"/>
          <w:szCs w:val="18"/>
          <w:color w:val="auto"/>
        </w:rPr>
        <w:t>—The following tables present the categorization of our pension plans’ assets as of December 31, 2019 and 2018, measured at fair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into a fair value hierarchy and investments measured at NAV or its equivalent as a practical expedient in accordance with fair value measurement disclosure requirements: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80" w:type="dxa"/>
            <w:vAlign w:val="bottom"/>
            <w:gridSpan w:val="6"/>
          </w:tcPr>
          <w:p>
            <w:pPr>
              <w:jc w:val="center"/>
              <w:ind w:left="594"/>
              <w:spacing w:after="0"/>
              <w:rPr>
                <w:sz w:val="20"/>
                <w:szCs w:val="20"/>
                <w:color w:val="auto"/>
              </w:rPr>
            </w:pPr>
            <w:r>
              <w:rPr>
                <w:rFonts w:ascii="Arial" w:cs="Arial" w:eastAsia="Arial" w:hAnsi="Arial"/>
                <w:sz w:val="14"/>
                <w:szCs w:val="14"/>
                <w:b w:val="1"/>
                <w:bCs w:val="1"/>
                <w:color w:val="auto"/>
                <w:w w:val="92"/>
              </w:rPr>
              <w:t>As of December 31, 2019</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6"/>
        </w:trPr>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r>
      <w:tr>
        <w:trPr>
          <w:trHeight w:val="156"/>
        </w:trPr>
        <w:tc>
          <w:tcPr>
            <w:tcW w:w="580" w:type="dxa"/>
            <w:vAlign w:val="bottom"/>
          </w:tcPr>
          <w:p>
            <w:pPr>
              <w:spacing w:after="0"/>
              <w:rPr>
                <w:sz w:val="13"/>
                <w:szCs w:val="13"/>
                <w:color w:val="auto"/>
              </w:rPr>
            </w:pPr>
          </w:p>
        </w:tc>
        <w:tc>
          <w:tcPr>
            <w:tcW w:w="1180" w:type="dxa"/>
            <w:vAlign w:val="bottom"/>
            <w:tcBorders>
              <w:bottom w:val="single" w:sz="8" w:color="CFF0FC"/>
            </w:tcBorders>
          </w:tcPr>
          <w:p>
            <w:pPr>
              <w:spacing w:after="0"/>
              <w:rPr>
                <w:sz w:val="13"/>
                <w:szCs w:val="13"/>
                <w:color w:val="auto"/>
              </w:rPr>
            </w:pPr>
          </w:p>
        </w:tc>
        <w:tc>
          <w:tcPr>
            <w:tcW w:w="2000" w:type="dxa"/>
            <w:vAlign w:val="bottom"/>
            <w:tcBorders>
              <w:bottom w:val="single" w:sz="8" w:color="CFF0FC"/>
            </w:tcBorders>
          </w:tcPr>
          <w:p>
            <w:pPr>
              <w:spacing w:after="0"/>
              <w:rPr>
                <w:sz w:val="13"/>
                <w:szCs w:val="13"/>
                <w:color w:val="auto"/>
              </w:rPr>
            </w:pPr>
          </w:p>
        </w:tc>
        <w:tc>
          <w:tcPr>
            <w:tcW w:w="96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center"/>
              <w:ind w:right="132"/>
              <w:spacing w:after="0" w:line="155" w:lineRule="exact"/>
              <w:rPr>
                <w:sz w:val="20"/>
                <w:szCs w:val="20"/>
                <w:color w:val="auto"/>
              </w:rPr>
            </w:pPr>
            <w:r>
              <w:rPr>
                <w:rFonts w:ascii="Arial" w:cs="Arial" w:eastAsia="Arial" w:hAnsi="Arial"/>
                <w:sz w:val="14"/>
                <w:szCs w:val="14"/>
                <w:b w:val="1"/>
                <w:bCs w:val="1"/>
                <w:color w:val="auto"/>
                <w:w w:val="92"/>
              </w:rPr>
              <w:t>Level 3</w:t>
            </w:r>
          </w:p>
        </w:tc>
        <w:tc>
          <w:tcPr>
            <w:tcW w:w="20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NAV (a)</w:t>
            </w:r>
          </w:p>
        </w:tc>
        <w:tc>
          <w:tcPr>
            <w:tcW w:w="22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FF0FC"/>
            </w:tcBorders>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31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180" w:type="dxa"/>
            <w:vAlign w:val="bottom"/>
            <w:gridSpan w:val="2"/>
          </w:tcPr>
          <w:p>
            <w:pPr>
              <w:ind w:left="240"/>
              <w:spacing w:after="0"/>
              <w:rPr>
                <w:sz w:val="20"/>
                <w:szCs w:val="20"/>
                <w:color w:val="auto"/>
              </w:rPr>
            </w:pPr>
            <w:r>
              <w:rPr>
                <w:rFonts w:ascii="Arial" w:cs="Arial" w:eastAsia="Arial" w:hAnsi="Arial"/>
                <w:sz w:val="18"/>
                <w:szCs w:val="18"/>
                <w:color w:val="auto"/>
              </w:rPr>
              <w:t>Cash</w:t>
            </w:r>
          </w:p>
        </w:tc>
        <w:tc>
          <w:tcPr>
            <w:tcW w:w="11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11,742</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11,742</w:t>
            </w: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1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Debt</w:t>
            </w: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77,940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77,940</w:t>
            </w:r>
          </w:p>
        </w:tc>
        <w:tc>
          <w:tcPr>
            <w:tcW w:w="12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180" w:type="dxa"/>
            <w:vAlign w:val="bottom"/>
            <w:gridSpan w:val="2"/>
          </w:tcPr>
          <w:p>
            <w:pPr>
              <w:ind w:left="240"/>
              <w:spacing w:after="0"/>
              <w:rPr>
                <w:sz w:val="20"/>
                <w:szCs w:val="20"/>
                <w:color w:val="auto"/>
              </w:rPr>
            </w:pPr>
            <w:r>
              <w:rPr>
                <w:rFonts w:ascii="Arial" w:cs="Arial" w:eastAsia="Arial" w:hAnsi="Arial"/>
                <w:sz w:val="18"/>
                <w:szCs w:val="18"/>
                <w:color w:val="auto"/>
              </w:rPr>
              <w:t>Equities</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37,898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37,898</w:t>
            </w: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1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Funds:</w:t>
            </w: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180" w:type="dxa"/>
            <w:vAlign w:val="bottom"/>
            <w:gridSpan w:val="2"/>
          </w:tcPr>
          <w:p>
            <w:pPr>
              <w:ind w:left="500"/>
              <w:spacing w:after="0"/>
              <w:rPr>
                <w:sz w:val="20"/>
                <w:szCs w:val="20"/>
                <w:color w:val="auto"/>
              </w:rPr>
            </w:pPr>
            <w:r>
              <w:rPr>
                <w:rFonts w:ascii="Arial" w:cs="Arial" w:eastAsia="Arial" w:hAnsi="Arial"/>
                <w:sz w:val="18"/>
                <w:szCs w:val="18"/>
                <w:color w:val="auto"/>
              </w:rPr>
              <w:t>Alternative investments</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26,692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26,692</w:t>
            </w: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1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Debt</w:t>
            </w: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81,898</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269,183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359,909</w:t>
            </w:r>
          </w:p>
        </w:tc>
        <w:tc>
          <w:tcPr>
            <w:tcW w:w="12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180" w:type="dxa"/>
            <w:vAlign w:val="bottom"/>
            <w:gridSpan w:val="2"/>
          </w:tcPr>
          <w:p>
            <w:pPr>
              <w:ind w:left="500"/>
              <w:spacing w:after="0"/>
              <w:rPr>
                <w:sz w:val="20"/>
                <w:szCs w:val="20"/>
                <w:color w:val="auto"/>
              </w:rPr>
            </w:pPr>
            <w:r>
              <w:rPr>
                <w:rFonts w:ascii="Arial" w:cs="Arial" w:eastAsia="Arial" w:hAnsi="Arial"/>
                <w:sz w:val="18"/>
                <w:szCs w:val="18"/>
                <w:color w:val="auto"/>
              </w:rPr>
              <w:t>Equity</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183,727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4,697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6,442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194,866</w:t>
            </w: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1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Derivatives</w:t>
            </w:r>
          </w:p>
        </w:tc>
        <w:tc>
          <w:tcPr>
            <w:tcW w:w="9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1,545</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1,545</w:t>
            </w:r>
          </w:p>
        </w:tc>
        <w:tc>
          <w:tcPr>
            <w:tcW w:w="120" w:type="dxa"/>
            <w:vAlign w:val="bottom"/>
            <w:shd w:val="clear" w:color="auto" w:fill="CFF0FC"/>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18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96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320,135</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88,140</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302,317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710,592</w:t>
            </w:r>
          </w:p>
        </w:tc>
        <w:tc>
          <w:tcPr>
            <w:tcW w:w="12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01"/>
        </w:trPr>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gridSpan w:val="6"/>
          </w:tcPr>
          <w:p>
            <w:pPr>
              <w:jc w:val="center"/>
              <w:ind w:left="594"/>
              <w:spacing w:after="0"/>
              <w:rPr>
                <w:sz w:val="20"/>
                <w:szCs w:val="20"/>
                <w:color w:val="auto"/>
              </w:rPr>
            </w:pPr>
            <w:r>
              <w:rPr>
                <w:rFonts w:ascii="Arial" w:cs="Arial" w:eastAsia="Arial" w:hAnsi="Arial"/>
                <w:sz w:val="14"/>
                <w:szCs w:val="14"/>
                <w:b w:val="1"/>
                <w:bCs w:val="1"/>
                <w:color w:val="auto"/>
                <w:w w:val="92"/>
              </w:rPr>
              <w:t>As of December 31, 2018</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
        </w:trPr>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r>
      <w:tr>
        <w:trPr>
          <w:trHeight w:val="156"/>
        </w:trPr>
        <w:tc>
          <w:tcPr>
            <w:tcW w:w="580" w:type="dxa"/>
            <w:vAlign w:val="bottom"/>
          </w:tcPr>
          <w:p>
            <w:pPr>
              <w:spacing w:after="0"/>
              <w:rPr>
                <w:sz w:val="13"/>
                <w:szCs w:val="13"/>
                <w:color w:val="auto"/>
              </w:rPr>
            </w:pPr>
          </w:p>
        </w:tc>
        <w:tc>
          <w:tcPr>
            <w:tcW w:w="1180" w:type="dxa"/>
            <w:vAlign w:val="bottom"/>
            <w:tcBorders>
              <w:bottom w:val="single" w:sz="8" w:color="CFF0FC"/>
            </w:tcBorders>
          </w:tcPr>
          <w:p>
            <w:pPr>
              <w:spacing w:after="0"/>
              <w:rPr>
                <w:sz w:val="13"/>
                <w:szCs w:val="13"/>
                <w:color w:val="auto"/>
              </w:rPr>
            </w:pPr>
          </w:p>
        </w:tc>
        <w:tc>
          <w:tcPr>
            <w:tcW w:w="2000" w:type="dxa"/>
            <w:vAlign w:val="bottom"/>
            <w:tcBorders>
              <w:bottom w:val="single" w:sz="8" w:color="CFF0FC"/>
            </w:tcBorders>
          </w:tcPr>
          <w:p>
            <w:pPr>
              <w:spacing w:after="0"/>
              <w:rPr>
                <w:sz w:val="13"/>
                <w:szCs w:val="13"/>
                <w:color w:val="auto"/>
              </w:rPr>
            </w:pPr>
          </w:p>
        </w:tc>
        <w:tc>
          <w:tcPr>
            <w:tcW w:w="96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center"/>
              <w:ind w:right="132"/>
              <w:spacing w:after="0" w:line="155" w:lineRule="exact"/>
              <w:rPr>
                <w:sz w:val="20"/>
                <w:szCs w:val="20"/>
                <w:color w:val="auto"/>
              </w:rPr>
            </w:pPr>
            <w:r>
              <w:rPr>
                <w:rFonts w:ascii="Arial" w:cs="Arial" w:eastAsia="Arial" w:hAnsi="Arial"/>
                <w:sz w:val="14"/>
                <w:szCs w:val="14"/>
                <w:b w:val="1"/>
                <w:bCs w:val="1"/>
                <w:color w:val="auto"/>
                <w:w w:val="92"/>
              </w:rPr>
              <w:t>Level 3</w:t>
            </w:r>
          </w:p>
        </w:tc>
        <w:tc>
          <w:tcPr>
            <w:tcW w:w="20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NAV (a)</w:t>
            </w:r>
          </w:p>
        </w:tc>
        <w:tc>
          <w:tcPr>
            <w:tcW w:w="22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FF0FC"/>
            </w:tcBorders>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31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180" w:type="dxa"/>
            <w:vAlign w:val="bottom"/>
            <w:gridSpan w:val="2"/>
          </w:tcPr>
          <w:p>
            <w:pPr>
              <w:ind w:left="240"/>
              <w:spacing w:after="0"/>
              <w:rPr>
                <w:sz w:val="20"/>
                <w:szCs w:val="20"/>
                <w:color w:val="auto"/>
              </w:rPr>
            </w:pPr>
            <w:r>
              <w:rPr>
                <w:rFonts w:ascii="Arial" w:cs="Arial" w:eastAsia="Arial" w:hAnsi="Arial"/>
                <w:sz w:val="18"/>
                <w:szCs w:val="18"/>
                <w:color w:val="auto"/>
              </w:rPr>
              <w:t>Cash</w:t>
            </w:r>
          </w:p>
        </w:tc>
        <w:tc>
          <w:tcPr>
            <w:tcW w:w="11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6,619</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6,619</w:t>
            </w: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1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Debt</w:t>
            </w: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81,533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81,533</w:t>
            </w:r>
          </w:p>
        </w:tc>
        <w:tc>
          <w:tcPr>
            <w:tcW w:w="12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180" w:type="dxa"/>
            <w:vAlign w:val="bottom"/>
            <w:gridSpan w:val="2"/>
          </w:tcPr>
          <w:p>
            <w:pPr>
              <w:ind w:left="240"/>
              <w:spacing w:after="0"/>
              <w:rPr>
                <w:sz w:val="20"/>
                <w:szCs w:val="20"/>
                <w:color w:val="auto"/>
              </w:rPr>
            </w:pPr>
            <w:r>
              <w:rPr>
                <w:rFonts w:ascii="Arial" w:cs="Arial" w:eastAsia="Arial" w:hAnsi="Arial"/>
                <w:sz w:val="18"/>
                <w:szCs w:val="18"/>
                <w:color w:val="auto"/>
              </w:rPr>
              <w:t>Equities</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27,585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27,585</w:t>
            </w: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1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Funds:</w:t>
            </w: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180" w:type="dxa"/>
            <w:vAlign w:val="bottom"/>
            <w:gridSpan w:val="2"/>
          </w:tcPr>
          <w:p>
            <w:pPr>
              <w:ind w:left="500"/>
              <w:spacing w:after="0"/>
              <w:rPr>
                <w:sz w:val="20"/>
                <w:szCs w:val="20"/>
                <w:color w:val="auto"/>
              </w:rPr>
            </w:pPr>
            <w:r>
              <w:rPr>
                <w:rFonts w:ascii="Arial" w:cs="Arial" w:eastAsia="Arial" w:hAnsi="Arial"/>
                <w:sz w:val="18"/>
                <w:szCs w:val="18"/>
                <w:color w:val="auto"/>
              </w:rPr>
              <w:t>Alternative investments</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29,975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29,975</w:t>
            </w: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1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Debt</w:t>
            </w: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10,593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322,739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333,332</w:t>
            </w:r>
          </w:p>
        </w:tc>
        <w:tc>
          <w:tcPr>
            <w:tcW w:w="12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180" w:type="dxa"/>
            <w:vAlign w:val="bottom"/>
            <w:gridSpan w:val="2"/>
          </w:tcPr>
          <w:p>
            <w:pPr>
              <w:ind w:left="500"/>
              <w:spacing w:after="0"/>
              <w:rPr>
                <w:sz w:val="20"/>
                <w:szCs w:val="20"/>
                <w:color w:val="auto"/>
              </w:rPr>
            </w:pPr>
            <w:r>
              <w:rPr>
                <w:rFonts w:ascii="Arial" w:cs="Arial" w:eastAsia="Arial" w:hAnsi="Arial"/>
                <w:sz w:val="18"/>
                <w:szCs w:val="18"/>
                <w:color w:val="auto"/>
              </w:rPr>
              <w:t>Equity</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151,199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5,572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6,031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162,802</w:t>
            </w: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1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Derivatives</w:t>
            </w:r>
          </w:p>
        </w:tc>
        <w:tc>
          <w:tcPr>
            <w:tcW w:w="9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991</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991</w:t>
            </w:r>
          </w:p>
        </w:tc>
        <w:tc>
          <w:tcPr>
            <w:tcW w:w="120" w:type="dxa"/>
            <w:vAlign w:val="bottom"/>
            <w:shd w:val="clear" w:color="auto" w:fill="CFF0FC"/>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18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96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277,529</w:t>
            </w:r>
          </w:p>
        </w:tc>
        <w:tc>
          <w:tcPr>
            <w:tcW w:w="22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6,563</w:t>
            </w:r>
          </w:p>
        </w:tc>
        <w:tc>
          <w:tcPr>
            <w:tcW w:w="20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358,745</w:t>
            </w:r>
          </w:p>
        </w:tc>
        <w:tc>
          <w:tcPr>
            <w:tcW w:w="240" w:type="dxa"/>
            <w:vAlign w:val="bottom"/>
            <w:gridSpan w:val="2"/>
          </w:tcPr>
          <w:p>
            <w:pPr>
              <w:spacing w:after="0"/>
              <w:rPr>
                <w:sz w:val="19"/>
                <w:szCs w:val="19"/>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642,837</w:t>
            </w:r>
          </w:p>
        </w:tc>
        <w:tc>
          <w:tcPr>
            <w:tcW w:w="12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6"/>
        </w:trPr>
        <w:tc>
          <w:tcPr>
            <w:tcW w:w="5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20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r>
    </w:tbl>
    <w:p>
      <w:pPr>
        <w:spacing w:after="0" w:line="26" w:lineRule="exact"/>
        <w:rPr>
          <w:sz w:val="20"/>
          <w:szCs w:val="20"/>
          <w:color w:val="auto"/>
        </w:rPr>
      </w:pPr>
    </w:p>
    <w:p>
      <w:pPr>
        <w:ind w:left="600" w:right="460" w:hanging="592"/>
        <w:spacing w:after="0" w:line="277" w:lineRule="auto"/>
        <w:tabs>
          <w:tab w:leader="none" w:pos="6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Represents certain investments measured at NAV or its equivalent as a practical expedient in determining fair value. In accordance with current accounting guidance, these investments have not been classified in the fair value hierarchy.</w:t>
      </w:r>
    </w:p>
    <w:p>
      <w:pPr>
        <w:spacing w:after="0" w:line="170" w:lineRule="exact"/>
        <w:rPr>
          <w:sz w:val="20"/>
          <w:szCs w:val="20"/>
          <w:color w:val="auto"/>
        </w:rPr>
      </w:pPr>
    </w:p>
    <w:p>
      <w:pPr>
        <w:ind w:right="620" w:firstLine="598"/>
        <w:spacing w:after="0" w:line="277" w:lineRule="auto"/>
        <w:rPr>
          <w:sz w:val="20"/>
          <w:szCs w:val="20"/>
          <w:color w:val="auto"/>
        </w:rPr>
      </w:pPr>
      <w:r>
        <w:rPr>
          <w:rFonts w:ascii="Arial" w:cs="Arial" w:eastAsia="Arial" w:hAnsi="Arial"/>
          <w:sz w:val="18"/>
          <w:szCs w:val="18"/>
          <w:color w:val="auto"/>
        </w:rPr>
        <w:t>Included in equity funds are $99,671 and $87,129 as of December 31, 2019 and 2018, respectively, that are invested in funds managed by the Company.</w:t>
      </w:r>
    </w:p>
    <w:p>
      <w:pPr>
        <w:spacing w:after="0" w:line="170"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Consistent with the plans’ investment strategies, at December 31, 2019 and 2018, the Company’s U.S. pension plan had 60% and 49%, respectively, of the plans’ assets invested in equity funds in Level 1 and measured at NAV or its equivalent as a practical expedient, 39% and 51%, respectively, invested in Level 1 debt funds and at December 31, 2019, 1% invested in cash, which is a Level 1 asset. The Company’s non-U.S. pension plans at December 31, 2019 and 2018 had 32% and 29%, respectively, of the plans’ assets invested in equities and equity funds that are primarily Level 1 and Level 2 assets; 62% and 65%, respectively, of the plans’ assets invested in debt and debt funds that are Level 1 and Level 2 assets or measured at NAV or its equivalent as a practical expedient, and 6% and 6%, respectively, of the plans’ assets invested in cash, which is a Level 1 asset, or in alternative investment funds that are primarily measured at NAV.</w:t>
      </w:r>
    </w:p>
    <w:p>
      <w:pPr>
        <w:spacing w:after="0" w:line="189" w:lineRule="exact"/>
        <w:rPr>
          <w:sz w:val="20"/>
          <w:szCs w:val="20"/>
          <w:color w:val="auto"/>
        </w:rPr>
      </w:pPr>
    </w:p>
    <w:p>
      <w:pPr>
        <w:ind w:firstLine="598"/>
        <w:spacing w:after="0" w:line="279" w:lineRule="auto"/>
        <w:rPr>
          <w:sz w:val="20"/>
          <w:szCs w:val="20"/>
          <w:color w:val="auto"/>
        </w:rPr>
      </w:pPr>
      <w:r>
        <w:rPr>
          <w:rFonts w:ascii="Arial" w:cs="Arial" w:eastAsia="Arial" w:hAnsi="Arial"/>
          <w:sz w:val="17"/>
          <w:szCs w:val="17"/>
          <w:b w:val="1"/>
          <w:bCs w:val="1"/>
          <w:i w:val="1"/>
          <w:iCs w:val="1"/>
          <w:color w:val="auto"/>
        </w:rPr>
        <w:t>Investment Policies and Strategies</w:t>
      </w:r>
      <w:r>
        <w:rPr>
          <w:rFonts w:ascii="Arial" w:cs="Arial" w:eastAsia="Arial" w:hAnsi="Arial"/>
          <w:sz w:val="17"/>
          <w:szCs w:val="17"/>
          <w:color w:val="auto"/>
        </w:rPr>
        <w:t>—The primary investment goal is to ensure that the pension plans remain well funded, taking account of the likely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future risks to investment returns and contributions. As a result, a portfolio of assets is maintained with appropriate liquidity and diversification that can be expected to generate long-term future returns that minimize the long-term costs of the pension plans without exposing the plans to an unacceptable risk of under-funding. The Company’s likely future ability to pay such contributions as are required to maintain the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right="500"/>
        <w:spacing w:after="0" w:line="312" w:lineRule="auto"/>
        <w:rPr>
          <w:sz w:val="20"/>
          <w:szCs w:val="20"/>
          <w:color w:val="auto"/>
        </w:rPr>
      </w:pPr>
      <w:r>
        <w:rPr>
          <w:rFonts w:ascii="Arial" w:cs="Arial" w:eastAsia="Arial" w:hAnsi="Arial"/>
          <w:sz w:val="16"/>
          <w:szCs w:val="16"/>
          <w:color w:val="auto"/>
        </w:rPr>
        <w:t>funded status of the plans over a reasonable time period is considered when determining the level of risk that is appropriate. The fair value of plan investments classified as Level 1 assets are based on market quotes. The fair value of plan investments measured at NAV or its equivalent as a practical expedient is determined based on information provided by external fund administrators and such investments are redeemable in the near term.</w:t>
      </w:r>
    </w:p>
    <w:p>
      <w:pPr>
        <w:spacing w:after="0" w:line="147" w:lineRule="exact"/>
        <w:rPr>
          <w:sz w:val="20"/>
          <w:szCs w:val="20"/>
          <w:color w:val="auto"/>
        </w:rPr>
      </w:pPr>
    </w:p>
    <w:p>
      <w:pPr>
        <w:ind w:right="420" w:firstLine="598"/>
        <w:spacing w:after="0" w:line="264" w:lineRule="auto"/>
        <w:rPr>
          <w:sz w:val="20"/>
          <w:szCs w:val="20"/>
          <w:color w:val="auto"/>
        </w:rPr>
      </w:pPr>
      <w:r>
        <w:rPr>
          <w:rFonts w:ascii="Arial" w:cs="Arial" w:eastAsia="Arial" w:hAnsi="Arial"/>
          <w:sz w:val="18"/>
          <w:szCs w:val="18"/>
          <w:b w:val="1"/>
          <w:bCs w:val="1"/>
          <w:i w:val="1"/>
          <w:iCs w:val="1"/>
          <w:color w:val="auto"/>
        </w:rPr>
        <w:t>Defined Contribution Plans</w:t>
      </w:r>
      <w:r>
        <w:rPr>
          <w:rFonts w:ascii="Arial" w:cs="Arial" w:eastAsia="Arial" w:hAnsi="Arial"/>
          <w:sz w:val="18"/>
          <w:szCs w:val="18"/>
          <w:color w:val="auto"/>
        </w:rPr>
        <w:t>—Pursuant to certain matching contributions, the Company contributes to employer sponsored defined contribution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plans. Such contributions amounted to $16,905, $15,765 and $15,064 for the years ended December 31, 2019, 2018 and 2017, respectively, which are included in “compensation and benefits” expense on the consolidated statements of operations.</w:t>
      </w:r>
    </w:p>
    <w:p>
      <w:pPr>
        <w:spacing w:after="0" w:line="370" w:lineRule="exact"/>
        <w:rPr>
          <w:sz w:val="20"/>
          <w:szCs w:val="20"/>
          <w:color w:val="auto"/>
        </w:rPr>
      </w:pPr>
    </w:p>
    <w:p>
      <w:pPr>
        <w:ind w:left="600" w:hanging="592"/>
        <w:spacing w:after="0"/>
        <w:tabs>
          <w:tab w:leader="none" w:pos="600" w:val="left"/>
        </w:tabs>
        <w:numPr>
          <w:ilvl w:val="0"/>
          <w:numId w:val="8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BUSINESS REALIGNMENT</w:t>
      </w:r>
    </w:p>
    <w:p>
      <w:pPr>
        <w:spacing w:after="0" w:line="117" w:lineRule="exact"/>
        <w:rPr>
          <w:sz w:val="20"/>
          <w:szCs w:val="20"/>
          <w:color w:val="auto"/>
        </w:rPr>
      </w:pPr>
    </w:p>
    <w:p>
      <w:pPr>
        <w:ind w:right="340" w:firstLine="598"/>
        <w:spacing w:after="0" w:line="277" w:lineRule="auto"/>
        <w:rPr>
          <w:sz w:val="20"/>
          <w:szCs w:val="20"/>
          <w:color w:val="auto"/>
        </w:rPr>
      </w:pPr>
      <w:r>
        <w:rPr>
          <w:rFonts w:ascii="Arial" w:cs="Arial" w:eastAsia="Arial" w:hAnsi="Arial"/>
          <w:sz w:val="18"/>
          <w:szCs w:val="18"/>
          <w:color w:val="auto"/>
        </w:rPr>
        <w:t>The Company conducted a review of our business, which resulted in a realignment that included employee reductions and the closing of subscale offices and investment strategies, most of which were completed during the third quarter of 2019.</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Expenses and losses associated with business realignment for the year ended December 31, 2019 were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6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Financial</w:t>
            </w:r>
          </w:p>
        </w:tc>
        <w:tc>
          <w:tcPr>
            <w:tcW w:w="140" w:type="dxa"/>
            <w:vAlign w:val="bottom"/>
          </w:tcPr>
          <w:p>
            <w:pPr>
              <w:spacing w:after="0"/>
              <w:rPr>
                <w:sz w:val="16"/>
                <w:szCs w:val="16"/>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Asset</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17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Advisory</w:t>
            </w:r>
          </w:p>
        </w:tc>
        <w:tc>
          <w:tcPr>
            <w:tcW w:w="140" w:type="dxa"/>
            <w:vAlign w:val="bottom"/>
          </w:tcPr>
          <w:p>
            <w:pPr>
              <w:spacing w:after="0"/>
              <w:rPr>
                <w:sz w:val="18"/>
                <w:szCs w:val="18"/>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5"/>
              </w:rPr>
              <w:t>Management</w:t>
            </w:r>
          </w:p>
        </w:tc>
        <w:tc>
          <w:tcPr>
            <w:tcW w:w="16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Corporate</w:t>
            </w:r>
          </w:p>
        </w:tc>
        <w:tc>
          <w:tcPr>
            <w:tcW w:w="26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223"/>
        </w:trPr>
        <w:tc>
          <w:tcPr>
            <w:tcW w:w="58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Compensation and benefits</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39,476</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14,480</w:t>
            </w:r>
          </w:p>
        </w:tc>
        <w:tc>
          <w:tcPr>
            <w:tcW w:w="4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2,679</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56,635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(a)</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4,371</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4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5,054</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11,175</w:t>
            </w:r>
          </w:p>
        </w:tc>
        <w:tc>
          <w:tcPr>
            <w:tcW w:w="100" w:type="dxa"/>
            <w:vAlign w:val="bottom"/>
            <w:tcBorders>
              <w:bottom w:val="single" w:sz="8" w:color="CFF0FC"/>
            </w:tcBorders>
          </w:tcPr>
          <w:p>
            <w:pPr>
              <w:spacing w:after="0"/>
              <w:rPr>
                <w:sz w:val="19"/>
                <w:szCs w:val="19"/>
                <w:color w:val="auto"/>
              </w:rPr>
            </w:pPr>
          </w:p>
        </w:tc>
      </w:tr>
      <w:tr>
        <w:trPr>
          <w:trHeight w:val="223"/>
        </w:trPr>
        <w:tc>
          <w:tcPr>
            <w:tcW w:w="58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43,847</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16,230</w:t>
            </w:r>
          </w:p>
        </w:tc>
        <w:tc>
          <w:tcPr>
            <w:tcW w:w="4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7,733</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67,810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17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4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6" w:lineRule="exact"/>
        <w:rPr>
          <w:sz w:val="20"/>
          <w:szCs w:val="20"/>
          <w:color w:val="auto"/>
        </w:rPr>
      </w:pPr>
    </w:p>
    <w:p>
      <w:pPr>
        <w:ind w:left="600" w:right="1760" w:hanging="592"/>
        <w:spacing w:after="0" w:line="602" w:lineRule="auto"/>
        <w:tabs>
          <w:tab w:leader="none" w:pos="596" w:val="left"/>
        </w:tabs>
        <w:numPr>
          <w:ilvl w:val="0"/>
          <w:numId w:val="85"/>
        </w:numPr>
        <w:rPr>
          <w:rFonts w:ascii="Arial" w:cs="Arial" w:eastAsia="Arial" w:hAnsi="Arial"/>
          <w:sz w:val="16"/>
          <w:szCs w:val="16"/>
          <w:color w:val="auto"/>
        </w:rPr>
      </w:pPr>
      <w:r>
        <w:rPr>
          <w:rFonts w:ascii="Arial" w:cs="Arial" w:eastAsia="Arial" w:hAnsi="Arial"/>
          <w:sz w:val="16"/>
          <w:szCs w:val="16"/>
          <w:color w:val="auto"/>
        </w:rPr>
        <w:t>Financial Advisory includes losses of $3,727 associated with the closing of certain offices as part of business realignment. Activity related to the obligations pursuant to business realignment during the year ended December 31, 2019 was as follows:</w:t>
      </w:r>
    </w:p>
    <w:tbl>
      <w:tblPr>
        <w:tblLayout w:type="fixed"/>
        <w:tblInd w:w="0" w:type="dxa"/>
        <w:tblCellMar>
          <w:top w:w="0" w:type="dxa"/>
          <w:left w:w="0" w:type="dxa"/>
          <w:bottom w:w="0" w:type="dxa"/>
          <w:right w:w="0" w:type="dxa"/>
        </w:tblCellMar>
      </w:tblPr>
      <w:tr>
        <w:trPr>
          <w:trHeight w:val="186"/>
        </w:trPr>
        <w:tc>
          <w:tcPr>
            <w:tcW w:w="6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Accrued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3"/>
        </w:trPr>
        <w:tc>
          <w:tcPr>
            <w:tcW w:w="6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Compensation</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88"/>
        </w:trPr>
        <w:tc>
          <w:tcPr>
            <w:tcW w:w="6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and Benefits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Liabilities</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Total</w:t>
            </w:r>
          </w:p>
        </w:tc>
      </w:tr>
      <w:tr>
        <w:trPr>
          <w:trHeight w:val="223"/>
        </w:trPr>
        <w:tc>
          <w:tcPr>
            <w:tcW w:w="6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2019</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New charges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56,635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11,175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67,810</w:t>
            </w:r>
          </w:p>
        </w:tc>
        <w:tc>
          <w:tcPr>
            <w:tcW w:w="100" w:type="dxa"/>
            <w:vAlign w:val="bottom"/>
          </w:tcPr>
          <w:p>
            <w:pPr>
              <w:spacing w:after="0"/>
              <w:rPr>
                <w:sz w:val="19"/>
                <w:szCs w:val="19"/>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Less:</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ind w:left="380"/>
              <w:spacing w:after="0"/>
              <w:rPr>
                <w:sz w:val="20"/>
                <w:szCs w:val="20"/>
                <w:color w:val="auto"/>
              </w:rPr>
            </w:pPr>
            <w:r>
              <w:rPr>
                <w:rFonts w:ascii="Arial" w:cs="Arial" w:eastAsia="Arial" w:hAnsi="Arial"/>
                <w:sz w:val="18"/>
                <w:szCs w:val="18"/>
                <w:color w:val="auto"/>
              </w:rPr>
              <w:t>Non-cash charges</w:t>
            </w:r>
          </w:p>
        </w:tc>
        <w:tc>
          <w:tcPr>
            <w:tcW w:w="16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(16,596)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(5,456)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(22,052)</w:t>
            </w:r>
          </w:p>
        </w:tc>
      </w:tr>
      <w:tr>
        <w:trPr>
          <w:trHeight w:val="230"/>
        </w:trPr>
        <w:tc>
          <w:tcPr>
            <w:tcW w:w="6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Payments</w:t>
            </w: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(19,829)</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(651)</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(20,480)</w:t>
            </w: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Balance, December 31, 2019</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5,068</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25,278</w:t>
            </w:r>
          </w:p>
        </w:tc>
        <w:tc>
          <w:tcPr>
            <w:tcW w:w="10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600" w:hanging="592"/>
        <w:spacing w:after="0"/>
        <w:tabs>
          <w:tab w:leader="none" w:pos="600" w:val="left"/>
        </w:tabs>
        <w:numPr>
          <w:ilvl w:val="0"/>
          <w:numId w:val="8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Although a portion of Lazard Group's income is subject to U.S. federal income taxes, 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its partners. Lazard Group, through its subsidiaries, is subject to state and local taxes on its income apportioned to various state and local jurisdictions. Outside the U.S., Lazard Group operates principally through subsidiary corporations that are subject to local income taxes in foreign jurisdictions. Lazard Group is also subject to Unincorporated Business Tax ("UBT") attributable to its operations apportioned to New York City.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right="120" w:firstLine="598"/>
        <w:spacing w:after="0" w:line="276" w:lineRule="auto"/>
        <w:rPr>
          <w:sz w:val="20"/>
          <w:szCs w:val="20"/>
          <w:color w:val="auto"/>
        </w:rPr>
      </w:pPr>
      <w:r>
        <w:rPr>
          <w:rFonts w:ascii="Arial" w:cs="Arial" w:eastAsia="Arial" w:hAnsi="Arial"/>
          <w:sz w:val="17"/>
          <w:szCs w:val="17"/>
          <w:color w:val="auto"/>
        </w:rPr>
        <w:t>On December 22, 2017, the Tax Cuts and Jobs Act (the “Tax Act”) was enacted. The Tax Act significantly revised the U.S. corporate income tax system by, among other changes, lowering the corporate income tax rate from 35% to 21%, implementing a partial territorial tax system and imposing a one-time repatriation tax on the deemed repatriated earnings of foreign subsidiaries. The Tax Act also included several provisions that limited the benefit of the tax rate reduction, such as restricting the deductibility of interest expense and other corporate business expenses. The Tax Act further included anti-base erosion provisions such as the base erosion and anti-abuse tax and tax on global intangible low-taxed income.</w:t>
      </w:r>
    </w:p>
    <w:p>
      <w:pPr>
        <w:spacing w:after="0" w:line="173"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As a result of the reduction of the U.S. federal corporate tax rate to 21%, the Company was required to remeasure its deferred tax assets and liabilities at the new federal income tax rate of 21% based on the balances that existed on the date of the enactment of the Tax Act. The impact of the remeasurement was immaterial to the Company.</w:t>
      </w:r>
    </w:p>
    <w:p>
      <w:pPr>
        <w:spacing w:after="0" w:line="181"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The Tax Act also required companies to pay a one-time repatriation tax on previously unremitted earnings of certain non-U.S. corporate subsidiaries. Most of the Company’s operations outside the U.S. are conducted in “pass-through” entities for U.S. income tax purposes, and, as a result, the deemed repatriation transition tax did not apply to these pass-through entities or their earnings. The Company instead provides for U.S. income taxes on a current basis for the relevant portion of those earnings. The Company also conducts operations outside the U.S. through foreign corporate subsidiaries. The impact of the one-time repatriation tax was immaterial to the Company.</w:t>
      </w:r>
    </w:p>
    <w:p>
      <w:pPr>
        <w:spacing w:after="0" w:line="188"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In accordance with the guidance provided by Staff Accounting Bulletin No. 118, the Company recognized the provisional tax impact related to the one-time deemed repatriation tax on certain foreign earnings and the remeasurement of our deferred tax assets in the year ended December 31, 2017. In 2018, we finalized our analysis of the provisional items, including the one-time repatriation tax, and adjustments to previously recorded provisional amounts related to the Tax Act were not material to the Company’s consolidated financial statements.</w:t>
      </w:r>
    </w:p>
    <w:p>
      <w:pPr>
        <w:spacing w:after="0" w:line="187" w:lineRule="exact"/>
        <w:rPr>
          <w:sz w:val="20"/>
          <w:szCs w:val="20"/>
          <w:color w:val="auto"/>
        </w:rPr>
      </w:pPr>
    </w:p>
    <w:p>
      <w:pPr>
        <w:ind w:right="80" w:firstLine="598"/>
        <w:spacing w:after="0" w:line="255" w:lineRule="auto"/>
        <w:rPr>
          <w:sz w:val="20"/>
          <w:szCs w:val="20"/>
          <w:color w:val="auto"/>
        </w:rPr>
      </w:pPr>
      <w:r>
        <w:rPr>
          <w:rFonts w:ascii="Arial" w:cs="Arial" w:eastAsia="Arial" w:hAnsi="Arial"/>
          <w:sz w:val="18"/>
          <w:szCs w:val="18"/>
          <w:color w:val="auto"/>
        </w:rPr>
        <w:t>On January 1, 2017, the Company adopted new accounting guidance on share-based incentive compensation. As a result of the adoption of this new guidance, the Company recognized excess tax benefits of approximately $5,000, $14,000 and $2,000 from the vesting of share-based incentive compensation in the provision for income taxes in the consolidated statements of operations for the years ended December 31, 2019, 2018, and 2017, respectively. The Company also recorded deferred tax assets of $4,945, net of a valuation allowance of $12,090, as of January 1, 2017, for previously unrecognized excess tax benefits (including tax benefits from dividends or dividend equivalents) on share-based incentive compensation, with an offsetting adjustment to retained earnings.</w:t>
      </w:r>
    </w:p>
    <w:p>
      <w:pPr>
        <w:spacing w:after="0" w:line="193" w:lineRule="exact"/>
        <w:rPr>
          <w:sz w:val="20"/>
          <w:szCs w:val="20"/>
          <w:color w:val="auto"/>
        </w:rPr>
      </w:pPr>
    </w:p>
    <w:p>
      <w:pPr>
        <w:ind w:right="320" w:firstLine="598"/>
        <w:spacing w:after="0" w:line="277" w:lineRule="auto"/>
        <w:rPr>
          <w:sz w:val="20"/>
          <w:szCs w:val="20"/>
          <w:color w:val="auto"/>
        </w:rPr>
      </w:pPr>
      <w:r>
        <w:rPr>
          <w:rFonts w:ascii="Arial" w:cs="Arial" w:eastAsia="Arial" w:hAnsi="Arial"/>
          <w:sz w:val="18"/>
          <w:szCs w:val="18"/>
          <w:color w:val="auto"/>
        </w:rPr>
        <w:t>The components of the Company’s provision for income taxes for the years ended December 31, 2019, 2018 and 2017, and a reconciliation of the U.S. federal statutory income tax rate to the Company’s effective tax rates for such years, are shown below.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7"/>
          </w:tcPr>
          <w:p>
            <w:pPr>
              <w:jc w:val="right"/>
              <w:ind w:right="105"/>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2860" w:type="dxa"/>
            <w:vAlign w:val="bottom"/>
            <w:tcBorders>
              <w:bottom w:val="single" w:sz="8" w:color="CFF0FC"/>
            </w:tcBorders>
          </w:tcPr>
          <w:p>
            <w:pPr>
              <w:spacing w:after="0"/>
              <w:rPr>
                <w:sz w:val="13"/>
                <w:szCs w:val="13"/>
                <w:color w:val="auto"/>
              </w:rPr>
            </w:pPr>
          </w:p>
        </w:tc>
        <w:tc>
          <w:tcPr>
            <w:tcW w:w="25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2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860" w:type="dxa"/>
            <w:vAlign w:val="bottom"/>
          </w:tcPr>
          <w:p>
            <w:pPr>
              <w:ind w:left="240"/>
              <w:spacing w:after="0"/>
              <w:rPr>
                <w:sz w:val="20"/>
                <w:szCs w:val="20"/>
                <w:color w:val="auto"/>
              </w:rPr>
            </w:pPr>
            <w:r>
              <w:rPr>
                <w:rFonts w:ascii="Arial" w:cs="Arial" w:eastAsia="Arial" w:hAnsi="Arial"/>
                <w:sz w:val="18"/>
                <w:szCs w:val="18"/>
                <w:color w:val="auto"/>
              </w:rPr>
              <w:t>Federal</w:t>
            </w:r>
          </w:p>
        </w:tc>
        <w:tc>
          <w:tcPr>
            <w:tcW w:w="27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3,871</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1,569</w:t>
            </w:r>
          </w:p>
        </w:tc>
        <w:tc>
          <w:tcPr>
            <w:tcW w:w="140" w:type="dxa"/>
            <w:vAlign w:val="bottom"/>
          </w:tcPr>
          <w:p>
            <w:pPr>
              <w:spacing w:after="0"/>
              <w:rPr>
                <w:sz w:val="19"/>
                <w:szCs w:val="19"/>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774</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2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57,220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91,073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62,666</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8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State and local</w:t>
            </w:r>
          </w:p>
        </w:tc>
        <w:tc>
          <w:tcPr>
            <w:tcW w:w="25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3,934</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w:t>
            </w:r>
          </w:p>
        </w:tc>
        <w:tc>
          <w:tcPr>
            <w:tcW w:w="8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Total current</w:t>
            </w:r>
          </w:p>
        </w:tc>
        <w:tc>
          <w:tcPr>
            <w:tcW w:w="25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65,025</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97,700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65,478</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gridSpan w:val="2"/>
          </w:tcPr>
          <w:p>
            <w:pPr>
              <w:ind w:left="1140"/>
              <w:spacing w:after="0"/>
              <w:rPr>
                <w:sz w:val="20"/>
                <w:szCs w:val="20"/>
                <w:color w:val="auto"/>
              </w:rPr>
            </w:pPr>
            <w:r>
              <w:rPr>
                <w:rFonts w:ascii="Arial" w:cs="Arial" w:eastAsia="Arial" w:hAnsi="Arial"/>
                <w:sz w:val="18"/>
                <w:szCs w:val="18"/>
                <w:color w:val="auto"/>
              </w:rPr>
              <w:t>Deferred:</w:t>
            </w:r>
          </w:p>
        </w:tc>
        <w:tc>
          <w:tcPr>
            <w:tcW w:w="2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w:t>
            </w:r>
          </w:p>
        </w:tc>
        <w:tc>
          <w:tcPr>
            <w:tcW w:w="2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860" w:type="dxa"/>
            <w:vAlign w:val="bottom"/>
          </w:tcPr>
          <w:p>
            <w:pPr>
              <w:ind w:left="240"/>
              <w:spacing w:after="0"/>
              <w:rPr>
                <w:sz w:val="20"/>
                <w:szCs w:val="20"/>
                <w:color w:val="auto"/>
              </w:rPr>
            </w:pPr>
            <w:r>
              <w:rPr>
                <w:rFonts w:ascii="Arial" w:cs="Arial" w:eastAsia="Arial" w:hAnsi="Arial"/>
                <w:sz w:val="18"/>
                <w:szCs w:val="18"/>
                <w:color w:val="auto"/>
              </w:rPr>
              <w:t>Foreign</w:t>
            </w:r>
          </w:p>
        </w:tc>
        <w:tc>
          <w:tcPr>
            <w:tcW w:w="2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(10,227)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12,961</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 and local</w:t>
            </w:r>
          </w:p>
        </w:tc>
        <w:tc>
          <w:tcPr>
            <w:tcW w:w="25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1,299</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2,379</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gridSpan w:val="2"/>
          </w:tcPr>
          <w:p>
            <w:pPr>
              <w:ind w:left="1140"/>
              <w:spacing w:after="0"/>
              <w:rPr>
                <w:sz w:val="20"/>
                <w:szCs w:val="20"/>
                <w:color w:val="auto"/>
              </w:rPr>
            </w:pPr>
            <w:r>
              <w:rPr>
                <w:rFonts w:ascii="Arial" w:cs="Arial" w:eastAsia="Arial" w:hAnsi="Arial"/>
                <w:sz w:val="18"/>
                <w:szCs w:val="18"/>
                <w:color w:val="auto"/>
              </w:rPr>
              <w:t>Total deferred</w:t>
            </w:r>
          </w:p>
        </w:tc>
        <w:tc>
          <w:tcPr>
            <w:tcW w:w="2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1,573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(9,337)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16,385</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5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66,598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88,363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81,863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520" w:type="dxa"/>
            <w:vAlign w:val="bottom"/>
            <w:vMerge w:val="restart"/>
          </w:tcPr>
          <w:p>
            <w:pPr>
              <w:jc w:val="right"/>
              <w:ind w:right="610"/>
              <w:spacing w:after="0"/>
              <w:rPr>
                <w:sz w:val="20"/>
                <w:szCs w:val="20"/>
                <w:color w:val="auto"/>
              </w:rPr>
            </w:pPr>
            <w:r>
              <w:rPr>
                <w:rFonts w:ascii="Arial" w:cs="Arial" w:eastAsia="Arial" w:hAnsi="Arial"/>
                <w:sz w:val="18"/>
                <w:szCs w:val="18"/>
                <w:color w:val="auto"/>
              </w:rPr>
              <w:t>119</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286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1"/>
              </w:rPr>
              <w:t>Year Ended December 31,</w:t>
            </w: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24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U.S. federal statutory income tax rate</w:t>
            </w:r>
          </w:p>
        </w:tc>
        <w:tc>
          <w:tcPr>
            <w:tcW w:w="134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21.0%</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21.0%</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35.0%</w:t>
            </w: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Rate benefit for U.S. Partnership operations</w:t>
            </w:r>
          </w:p>
        </w:tc>
        <w:tc>
          <w:tcPr>
            <w:tcW w:w="1340" w:type="dxa"/>
            <w:vAlign w:val="bottom"/>
            <w:gridSpan w:val="2"/>
          </w:tcPr>
          <w:p>
            <w:pPr>
              <w:jc w:val="right"/>
              <w:ind w:right="188"/>
              <w:spacing w:after="0"/>
              <w:rPr>
                <w:sz w:val="20"/>
                <w:szCs w:val="20"/>
                <w:color w:val="auto"/>
              </w:rPr>
            </w:pPr>
            <w:r>
              <w:rPr>
                <w:rFonts w:ascii="Arial" w:cs="Arial" w:eastAsia="Arial" w:hAnsi="Arial"/>
                <w:sz w:val="18"/>
                <w:szCs w:val="18"/>
                <w:color w:val="auto"/>
              </w:rPr>
              <w:t>(21.0)</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(21.0)</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(35.0)</w:t>
            </w: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Foreign taxes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State and local taxes</w:t>
            </w:r>
          </w:p>
        </w:tc>
        <w:tc>
          <w:tcPr>
            <w:tcW w:w="1040" w:type="dxa"/>
            <w:vAlign w:val="bottom"/>
          </w:tcPr>
          <w:p>
            <w:pPr>
              <w:jc w:val="right"/>
              <w:spacing w:after="0"/>
              <w:rPr>
                <w:sz w:val="20"/>
                <w:szCs w:val="20"/>
                <w:color w:val="auto"/>
              </w:rPr>
            </w:pPr>
            <w:r>
              <w:rPr>
                <w:rFonts w:ascii="Arial" w:cs="Arial" w:eastAsia="Arial" w:hAnsi="Arial"/>
                <w:sz w:val="18"/>
                <w:szCs w:val="18"/>
                <w:color w:val="auto"/>
              </w:rPr>
              <w:t>0.9</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Uncertain tax positions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(0.3)</w:t>
            </w:r>
          </w:p>
        </w:tc>
      </w:tr>
      <w:tr>
        <w:trPr>
          <w:trHeight w:val="230"/>
        </w:trPr>
        <w:tc>
          <w:tcPr>
            <w:tcW w:w="20" w:type="dxa"/>
            <w:vAlign w:val="bottom"/>
          </w:tcPr>
          <w:p>
            <w:pPr>
              <w:spacing w:after="0"/>
              <w:rPr>
                <w:sz w:val="19"/>
                <w:szCs w:val="19"/>
                <w:color w:val="auto"/>
              </w:rPr>
            </w:pPr>
          </w:p>
        </w:tc>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30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30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Effective income tax rate</w:t>
            </w:r>
          </w:p>
        </w:tc>
        <w:tc>
          <w:tcPr>
            <w:tcW w:w="134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16.6%</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13.4%</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12.9%</w:t>
            </w: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See Note 22 regarding “operating income (loss)” by geographic region.</w:t>
      </w:r>
    </w:p>
    <w:p>
      <w:pPr>
        <w:spacing w:after="0" w:line="225" w:lineRule="exact"/>
        <w:rPr>
          <w:sz w:val="20"/>
          <w:szCs w:val="20"/>
          <w:color w:val="auto"/>
        </w:rPr>
      </w:pPr>
    </w:p>
    <w:p>
      <w:pPr>
        <w:ind w:right="260" w:firstLine="598"/>
        <w:spacing w:after="0" w:line="264" w:lineRule="auto"/>
        <w:rPr>
          <w:sz w:val="20"/>
          <w:szCs w:val="20"/>
          <w:color w:val="auto"/>
        </w:rPr>
      </w:pPr>
      <w:r>
        <w:rPr>
          <w:rFonts w:ascii="Arial" w:cs="Arial" w:eastAsia="Arial" w:hAnsi="Arial"/>
          <w:sz w:val="18"/>
          <w:szCs w:val="18"/>
          <w:color w:val="auto"/>
        </w:rPr>
        <w:t>Deferred income taxes are provided for the effects of temporary differences between the tax basis of an asset or liability and its reported amount in the consolidated statements of financial condition. These temporary differences result in taxable or deductible amounts in future years. Details of the Company’s deferred tax assets and liabilities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6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6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6"/>
        </w:trPr>
        <w:tc>
          <w:tcPr>
            <w:tcW w:w="17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0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56"/>
        </w:trPr>
        <w:tc>
          <w:tcPr>
            <w:tcW w:w="1760" w:type="dxa"/>
            <w:vAlign w:val="bottom"/>
            <w:tcBorders>
              <w:bottom w:val="single" w:sz="8" w:color="CFF0FC"/>
            </w:tcBorders>
          </w:tcPr>
          <w:p>
            <w:pPr>
              <w:spacing w:after="0"/>
              <w:rPr>
                <w:sz w:val="13"/>
                <w:szCs w:val="13"/>
                <w:color w:val="auto"/>
              </w:rPr>
            </w:pPr>
          </w:p>
        </w:tc>
        <w:tc>
          <w:tcPr>
            <w:tcW w:w="4020" w:type="dxa"/>
            <w:vAlign w:val="bottom"/>
            <w:tcBorders>
              <w:bottom w:val="single" w:sz="8" w:color="CFF0FC"/>
            </w:tcBorders>
          </w:tcPr>
          <w:p>
            <w:pPr>
              <w:spacing w:after="0"/>
              <w:rPr>
                <w:sz w:val="13"/>
                <w:szCs w:val="13"/>
                <w:color w:val="auto"/>
              </w:rPr>
            </w:pPr>
          </w:p>
        </w:tc>
        <w:tc>
          <w:tcPr>
            <w:tcW w:w="208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57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Deferred Tax Assets:</w:t>
            </w:r>
          </w:p>
        </w:tc>
        <w:tc>
          <w:tcPr>
            <w:tcW w:w="20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780" w:type="dxa"/>
            <w:vAlign w:val="bottom"/>
            <w:gridSpan w:val="2"/>
          </w:tcPr>
          <w:p>
            <w:pPr>
              <w:ind w:left="260"/>
              <w:spacing w:after="0"/>
              <w:rPr>
                <w:sz w:val="20"/>
                <w:szCs w:val="20"/>
                <w:color w:val="auto"/>
              </w:rPr>
            </w:pPr>
            <w:r>
              <w:rPr>
                <w:rFonts w:ascii="Arial" w:cs="Arial" w:eastAsia="Arial" w:hAnsi="Arial"/>
                <w:sz w:val="18"/>
                <w:szCs w:val="18"/>
                <w:color w:val="auto"/>
              </w:rPr>
              <w:t>Basis adjustments (a)</w:t>
            </w:r>
          </w:p>
        </w:tc>
        <w:tc>
          <w:tcPr>
            <w:tcW w:w="304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2,218</w:t>
            </w:r>
          </w:p>
        </w:tc>
        <w:tc>
          <w:tcPr>
            <w:tcW w:w="280" w:type="dxa"/>
            <w:vAlign w:val="bottom"/>
          </w:tcPr>
          <w:p>
            <w:pPr>
              <w:spacing w:after="0"/>
              <w:rPr>
                <w:sz w:val="19"/>
                <w:szCs w:val="19"/>
                <w:color w:val="auto"/>
              </w:rPr>
            </w:pPr>
          </w:p>
        </w:tc>
        <w:tc>
          <w:tcPr>
            <w:tcW w:w="460" w:type="dxa"/>
            <w:vAlign w:val="bottom"/>
            <w:gridSpan w:val="2"/>
          </w:tcPr>
          <w:p>
            <w:pPr>
              <w:jc w:val="right"/>
              <w:ind w:right="330"/>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5,334</w:t>
            </w:r>
          </w:p>
        </w:tc>
        <w:tc>
          <w:tcPr>
            <w:tcW w:w="120" w:type="dxa"/>
            <w:vAlign w:val="bottom"/>
          </w:tcPr>
          <w:p>
            <w:pPr>
              <w:spacing w:after="0"/>
              <w:rPr>
                <w:sz w:val="19"/>
                <w:szCs w:val="19"/>
                <w:color w:val="auto"/>
              </w:rPr>
            </w:pPr>
          </w:p>
        </w:tc>
      </w:tr>
      <w:tr>
        <w:trPr>
          <w:trHeight w:val="230"/>
        </w:trPr>
        <w:tc>
          <w:tcPr>
            <w:tcW w:w="5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Compensation and benefits</w:t>
            </w:r>
          </w:p>
        </w:tc>
        <w:tc>
          <w:tcPr>
            <w:tcW w:w="20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63,057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60,185</w:t>
            </w:r>
          </w:p>
        </w:tc>
        <w:tc>
          <w:tcPr>
            <w:tcW w:w="120" w:type="dxa"/>
            <w:vAlign w:val="bottom"/>
            <w:shd w:val="clear" w:color="auto" w:fill="CFF0FC"/>
          </w:tcPr>
          <w:p>
            <w:pPr>
              <w:spacing w:after="0"/>
              <w:rPr>
                <w:sz w:val="19"/>
                <w:szCs w:val="19"/>
                <w:color w:val="auto"/>
              </w:rPr>
            </w:pPr>
          </w:p>
        </w:tc>
      </w:tr>
      <w:tr>
        <w:trPr>
          <w:trHeight w:val="230"/>
        </w:trPr>
        <w:tc>
          <w:tcPr>
            <w:tcW w:w="5780" w:type="dxa"/>
            <w:vAlign w:val="bottom"/>
            <w:gridSpan w:val="2"/>
          </w:tcPr>
          <w:p>
            <w:pPr>
              <w:ind w:left="260"/>
              <w:spacing w:after="0"/>
              <w:rPr>
                <w:sz w:val="20"/>
                <w:szCs w:val="20"/>
                <w:color w:val="auto"/>
              </w:rPr>
            </w:pPr>
            <w:r>
              <w:rPr>
                <w:rFonts w:ascii="Arial" w:cs="Arial" w:eastAsia="Arial" w:hAnsi="Arial"/>
                <w:sz w:val="18"/>
                <w:szCs w:val="18"/>
                <w:color w:val="auto"/>
              </w:rPr>
              <w:t>Net operating loss and tax credit carryforwards</w:t>
            </w:r>
          </w:p>
        </w:tc>
        <w:tc>
          <w:tcPr>
            <w:tcW w:w="2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62,629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66,962</w:t>
            </w:r>
          </w:p>
        </w:tc>
        <w:tc>
          <w:tcPr>
            <w:tcW w:w="120" w:type="dxa"/>
            <w:vAlign w:val="bottom"/>
          </w:tcPr>
          <w:p>
            <w:pPr>
              <w:spacing w:after="0"/>
              <w:rPr>
                <w:sz w:val="19"/>
                <w:szCs w:val="19"/>
                <w:color w:val="auto"/>
              </w:rPr>
            </w:pPr>
          </w:p>
        </w:tc>
      </w:tr>
      <w:tr>
        <w:trPr>
          <w:trHeight w:val="230"/>
        </w:trPr>
        <w:tc>
          <w:tcPr>
            <w:tcW w:w="5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20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1,637</w:t>
            </w:r>
          </w:p>
        </w:tc>
        <w:tc>
          <w:tcPr>
            <w:tcW w:w="120" w:type="dxa"/>
            <w:vAlign w:val="bottom"/>
            <w:shd w:val="clear" w:color="auto" w:fill="CFF0FC"/>
          </w:tcPr>
          <w:p>
            <w:pPr>
              <w:spacing w:after="0"/>
              <w:rPr>
                <w:sz w:val="19"/>
                <w:szCs w:val="19"/>
                <w:color w:val="auto"/>
              </w:rPr>
            </w:pPr>
          </w:p>
        </w:tc>
      </w:tr>
      <w:tr>
        <w:trPr>
          <w:trHeight w:val="230"/>
        </w:trPr>
        <w:tc>
          <w:tcPr>
            <w:tcW w:w="57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Other</w:t>
            </w:r>
          </w:p>
        </w:tc>
        <w:tc>
          <w:tcPr>
            <w:tcW w:w="20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5,523</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10,024</w:t>
            </w:r>
          </w:p>
        </w:tc>
        <w:tc>
          <w:tcPr>
            <w:tcW w:w="120" w:type="dxa"/>
            <w:vAlign w:val="bottom"/>
            <w:tcBorders>
              <w:bottom w:val="single" w:sz="8" w:color="CFF0FC"/>
            </w:tcBorders>
          </w:tcPr>
          <w:p>
            <w:pPr>
              <w:spacing w:after="0"/>
              <w:rPr>
                <w:sz w:val="19"/>
                <w:szCs w:val="19"/>
                <w:color w:val="auto"/>
              </w:rPr>
            </w:pPr>
          </w:p>
        </w:tc>
      </w:tr>
      <w:tr>
        <w:trPr>
          <w:trHeight w:val="223"/>
        </w:trPr>
        <w:tc>
          <w:tcPr>
            <w:tcW w:w="5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Gross deferred tax assets</w:t>
            </w:r>
          </w:p>
        </w:tc>
        <w:tc>
          <w:tcPr>
            <w:tcW w:w="20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139,455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144,142</w:t>
            </w:r>
          </w:p>
        </w:tc>
        <w:tc>
          <w:tcPr>
            <w:tcW w:w="120" w:type="dxa"/>
            <w:vAlign w:val="bottom"/>
            <w:shd w:val="clear" w:color="auto" w:fill="CFF0FC"/>
          </w:tcPr>
          <w:p>
            <w:pPr>
              <w:spacing w:after="0"/>
              <w:rPr>
                <w:sz w:val="19"/>
                <w:szCs w:val="19"/>
                <w:color w:val="auto"/>
              </w:rPr>
            </w:pPr>
          </w:p>
        </w:tc>
      </w:tr>
      <w:tr>
        <w:trPr>
          <w:trHeight w:val="230"/>
        </w:trPr>
        <w:tc>
          <w:tcPr>
            <w:tcW w:w="5780" w:type="dxa"/>
            <w:vAlign w:val="bottom"/>
            <w:gridSpan w:val="2"/>
          </w:tcPr>
          <w:p>
            <w:pPr>
              <w:ind w:left="260"/>
              <w:spacing w:after="0"/>
              <w:rPr>
                <w:sz w:val="20"/>
                <w:szCs w:val="20"/>
                <w:color w:val="auto"/>
              </w:rPr>
            </w:pPr>
            <w:r>
              <w:rPr>
                <w:rFonts w:ascii="Arial" w:cs="Arial" w:eastAsia="Arial" w:hAnsi="Arial"/>
                <w:sz w:val="18"/>
                <w:szCs w:val="18"/>
                <w:color w:val="auto"/>
              </w:rPr>
              <w:t>Valuation allowance</w:t>
            </w:r>
          </w:p>
        </w:tc>
        <w:tc>
          <w:tcPr>
            <w:tcW w:w="2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(70,429)</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(67,997)</w:t>
            </w:r>
          </w:p>
        </w:tc>
      </w:tr>
      <w:tr>
        <w:trPr>
          <w:trHeight w:val="223"/>
        </w:trPr>
        <w:tc>
          <w:tcPr>
            <w:tcW w:w="578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Deferred tax assets (net of valuation allowance)</w:t>
            </w:r>
          </w:p>
        </w:tc>
        <w:tc>
          <w:tcPr>
            <w:tcW w:w="20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69,026</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76,145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Deferred Tax Liabilities:</w:t>
            </w:r>
          </w:p>
        </w:tc>
        <w:tc>
          <w:tcPr>
            <w:tcW w:w="2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20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1,478</w:t>
            </w:r>
          </w:p>
        </w:tc>
        <w:tc>
          <w:tcPr>
            <w:tcW w:w="120" w:type="dxa"/>
            <w:vAlign w:val="bottom"/>
            <w:shd w:val="clear" w:color="auto" w:fill="CFF0FC"/>
          </w:tcPr>
          <w:p>
            <w:pPr>
              <w:spacing w:after="0"/>
              <w:rPr>
                <w:sz w:val="19"/>
                <w:szCs w:val="19"/>
                <w:color w:val="auto"/>
              </w:rPr>
            </w:pPr>
          </w:p>
        </w:tc>
      </w:tr>
      <w:tr>
        <w:trPr>
          <w:trHeight w:val="230"/>
        </w:trPr>
        <w:tc>
          <w:tcPr>
            <w:tcW w:w="5780" w:type="dxa"/>
            <w:vAlign w:val="bottom"/>
            <w:gridSpan w:val="2"/>
          </w:tcPr>
          <w:p>
            <w:pPr>
              <w:ind w:left="260"/>
              <w:spacing w:after="0"/>
              <w:rPr>
                <w:sz w:val="20"/>
                <w:szCs w:val="20"/>
                <w:color w:val="auto"/>
              </w:rPr>
            </w:pPr>
            <w:r>
              <w:rPr>
                <w:rFonts w:ascii="Arial" w:cs="Arial" w:eastAsia="Arial" w:hAnsi="Arial"/>
                <w:sz w:val="18"/>
                <w:szCs w:val="18"/>
                <w:color w:val="auto"/>
              </w:rPr>
              <w:t>Compensation and benefits</w:t>
            </w:r>
          </w:p>
        </w:tc>
        <w:tc>
          <w:tcPr>
            <w:tcW w:w="2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7,058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9,806</w:t>
            </w:r>
          </w:p>
        </w:tc>
        <w:tc>
          <w:tcPr>
            <w:tcW w:w="120" w:type="dxa"/>
            <w:vAlign w:val="bottom"/>
          </w:tcPr>
          <w:p>
            <w:pPr>
              <w:spacing w:after="0"/>
              <w:rPr>
                <w:sz w:val="19"/>
                <w:szCs w:val="19"/>
                <w:color w:val="auto"/>
              </w:rPr>
            </w:pPr>
          </w:p>
        </w:tc>
      </w:tr>
      <w:tr>
        <w:trPr>
          <w:trHeight w:val="230"/>
        </w:trPr>
        <w:tc>
          <w:tcPr>
            <w:tcW w:w="5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20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120" w:type="dxa"/>
            <w:vAlign w:val="bottom"/>
            <w:shd w:val="clear" w:color="auto" w:fill="CFF0FC"/>
          </w:tcPr>
          <w:p>
            <w:pPr>
              <w:spacing w:after="0"/>
              <w:rPr>
                <w:sz w:val="19"/>
                <w:szCs w:val="19"/>
                <w:color w:val="auto"/>
              </w:rPr>
            </w:pPr>
          </w:p>
        </w:tc>
      </w:tr>
      <w:tr>
        <w:trPr>
          <w:trHeight w:val="230"/>
        </w:trPr>
        <w:tc>
          <w:tcPr>
            <w:tcW w:w="57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Other</w:t>
            </w:r>
          </w:p>
        </w:tc>
        <w:tc>
          <w:tcPr>
            <w:tcW w:w="20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3,307</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14,878</w:t>
            </w:r>
          </w:p>
        </w:tc>
        <w:tc>
          <w:tcPr>
            <w:tcW w:w="120" w:type="dxa"/>
            <w:vAlign w:val="bottom"/>
            <w:tcBorders>
              <w:bottom w:val="single" w:sz="8" w:color="CFF0FC"/>
            </w:tcBorders>
          </w:tcPr>
          <w:p>
            <w:pPr>
              <w:spacing w:after="0"/>
              <w:rPr>
                <w:sz w:val="19"/>
                <w:szCs w:val="19"/>
                <w:color w:val="auto"/>
              </w:rPr>
            </w:pPr>
          </w:p>
        </w:tc>
      </w:tr>
      <w:tr>
        <w:trPr>
          <w:trHeight w:val="223"/>
        </w:trPr>
        <w:tc>
          <w:tcPr>
            <w:tcW w:w="5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Deferred tax liabilities</w:t>
            </w:r>
          </w:p>
        </w:tc>
        <w:tc>
          <w:tcPr>
            <w:tcW w:w="20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16,795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26,642</w:t>
            </w:r>
          </w:p>
        </w:tc>
        <w:tc>
          <w:tcPr>
            <w:tcW w:w="120" w:type="dxa"/>
            <w:vAlign w:val="bottom"/>
            <w:shd w:val="clear" w:color="auto" w:fill="CFF0FC"/>
          </w:tcPr>
          <w:p>
            <w:pPr>
              <w:spacing w:after="0"/>
              <w:rPr>
                <w:sz w:val="19"/>
                <w:szCs w:val="19"/>
                <w:color w:val="auto"/>
              </w:rPr>
            </w:pPr>
          </w:p>
        </w:tc>
      </w:tr>
      <w:tr>
        <w:trPr>
          <w:trHeight w:val="223"/>
        </w:trPr>
        <w:tc>
          <w:tcPr>
            <w:tcW w:w="5780" w:type="dxa"/>
            <w:vAlign w:val="bottom"/>
            <w:gridSpan w:val="2"/>
          </w:tcPr>
          <w:p>
            <w:pPr>
              <w:ind w:left="500"/>
              <w:spacing w:after="0"/>
              <w:rPr>
                <w:sz w:val="20"/>
                <w:szCs w:val="20"/>
                <w:color w:val="auto"/>
              </w:rPr>
            </w:pPr>
            <w:r>
              <w:rPr>
                <w:rFonts w:ascii="Arial" w:cs="Arial" w:eastAsia="Arial" w:hAnsi="Arial"/>
                <w:sz w:val="18"/>
                <w:szCs w:val="18"/>
                <w:color w:val="auto"/>
              </w:rPr>
              <w:t>Net deferred tax assets</w:t>
            </w:r>
          </w:p>
        </w:tc>
        <w:tc>
          <w:tcPr>
            <w:tcW w:w="2080" w:type="dxa"/>
            <w:vAlign w:val="bottom"/>
          </w:tcPr>
          <w:p>
            <w:pPr>
              <w:spacing w:after="0"/>
              <w:rPr>
                <w:sz w:val="19"/>
                <w:szCs w:val="19"/>
                <w:color w:val="auto"/>
              </w:rPr>
            </w:pP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52,231</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49,503</w:t>
            </w:r>
          </w:p>
        </w:tc>
        <w:tc>
          <w:tcPr>
            <w:tcW w:w="120" w:type="dxa"/>
            <w:vAlign w:val="bottom"/>
          </w:tcPr>
          <w:p>
            <w:pPr>
              <w:spacing w:after="0"/>
              <w:rPr>
                <w:sz w:val="19"/>
                <w:szCs w:val="19"/>
                <w:color w:val="auto"/>
              </w:rPr>
            </w:pPr>
          </w:p>
        </w:tc>
      </w:tr>
      <w:tr>
        <w:trPr>
          <w:trHeight w:val="20"/>
        </w:trPr>
        <w:tc>
          <w:tcPr>
            <w:tcW w:w="17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40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r>
    </w:tbl>
    <w:p>
      <w:pPr>
        <w:spacing w:after="0" w:line="26" w:lineRule="exact"/>
        <w:rPr>
          <w:sz w:val="20"/>
          <w:szCs w:val="20"/>
          <w:color w:val="auto"/>
        </w:rPr>
      </w:pPr>
    </w:p>
    <w:p>
      <w:pPr>
        <w:ind w:left="600" w:hanging="592"/>
        <w:spacing w:after="0"/>
        <w:tabs>
          <w:tab w:leader="none" w:pos="6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basis adjustments recorded as of December 31, 2019 and 2018 are primarily the result of additional basis from acquisitions of interests.</w:t>
      </w:r>
    </w:p>
    <w:p>
      <w:pPr>
        <w:spacing w:after="0" w:line="237"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The historical profitability of each tax paying entity is an important factor in determining whether to record a valuation allowance and when to release any such allowance. Certain of our tax-paying entities have individually experienced losses on a cumulative three year basis or have tax attributes that may expire unused. In addition, one of our tax paying entities has recorded a valuation allowance on substantially all of its deferred tax assets due to the combined effect of operating losses in certain subsidiaries of that entity as well as foreign taxes that together substantially offset any U.S. tax liability. Taking into account all available information, we cannot determine that it is more likely than not that deferred tax assets held by these entities will be realized. Consequently, we have recorded valuation allowances on $70,429 and $67,997 of deferred tax assets held by these entities as of December 31, 2019 and 2018, respectively.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Changes in the deferred tax assets valuation allowance for the years ended December 31, 2019, 2018 and 2017 was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4"/>
              </w:rPr>
              <w:t>Year Ended December 31,</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1180" w:type="dxa"/>
            <w:vAlign w:val="bottom"/>
            <w:tcBorders>
              <w:bottom w:val="single" w:sz="8" w:color="CFF0FC"/>
            </w:tcBorders>
          </w:tcPr>
          <w:p>
            <w:pPr>
              <w:spacing w:after="0"/>
              <w:rPr>
                <w:sz w:val="13"/>
                <w:szCs w:val="13"/>
                <w:color w:val="auto"/>
              </w:rPr>
            </w:pPr>
          </w:p>
        </w:tc>
        <w:tc>
          <w:tcPr>
            <w:tcW w:w="49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6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67,997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54,487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55,194</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Charged (credited) to provision for income taxes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2,575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15,789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(15,998)</w:t>
            </w:r>
          </w:p>
        </w:tc>
      </w:tr>
      <w:tr>
        <w:trPr>
          <w:trHeight w:val="215"/>
        </w:trPr>
        <w:tc>
          <w:tcPr>
            <w:tcW w:w="580" w:type="dxa"/>
            <w:vAlign w:val="bottom"/>
          </w:tcPr>
          <w:p>
            <w:pPr>
              <w:spacing w:after="0"/>
              <w:rPr>
                <w:sz w:val="18"/>
                <w:szCs w:val="18"/>
                <w:color w:val="auto"/>
              </w:rPr>
            </w:pPr>
          </w:p>
        </w:tc>
        <w:tc>
          <w:tcPr>
            <w:tcW w:w="6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Charged (credited) to other comprehensive income and</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60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other (a)</w:t>
            </w:r>
          </w:p>
        </w:tc>
        <w:tc>
          <w:tcPr>
            <w:tcW w:w="2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(143)</w:t>
            </w:r>
          </w:p>
        </w:tc>
        <w:tc>
          <w:tcPr>
            <w:tcW w:w="2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(2,279)</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15,291</w:t>
            </w:r>
          </w:p>
        </w:tc>
        <w:tc>
          <w:tcPr>
            <w:tcW w:w="100" w:type="dxa"/>
            <w:vAlign w:val="bottom"/>
            <w:shd w:val="clear" w:color="auto" w:fill="CFF0FC"/>
          </w:tcPr>
          <w:p>
            <w:pPr>
              <w:spacing w:after="0"/>
              <w:rPr>
                <w:sz w:val="20"/>
                <w:szCs w:val="20"/>
                <w:color w:val="auto"/>
              </w:rPr>
            </w:pPr>
          </w:p>
        </w:tc>
      </w:tr>
      <w:tr>
        <w:trPr>
          <w:trHeight w:val="223"/>
        </w:trPr>
        <w:tc>
          <w:tcPr>
            <w:tcW w:w="6660" w:type="dxa"/>
            <w:vAlign w:val="bottom"/>
            <w:gridSpan w:val="3"/>
          </w:tcPr>
          <w:p>
            <w:pPr>
              <w:ind w:left="580"/>
              <w:spacing w:after="0"/>
              <w:rPr>
                <w:sz w:val="20"/>
                <w:szCs w:val="20"/>
                <w:color w:val="auto"/>
              </w:rPr>
            </w:pPr>
            <w:r>
              <w:rPr>
                <w:rFonts w:ascii="Arial" w:cs="Arial" w:eastAsia="Arial" w:hAnsi="Arial"/>
                <w:sz w:val="18"/>
                <w:szCs w:val="18"/>
                <w:color w:val="auto"/>
              </w:rPr>
              <w:t>Ending Balance</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70,429</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67,997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54,487</w:t>
            </w:r>
          </w:p>
        </w:tc>
        <w:tc>
          <w:tcPr>
            <w:tcW w:w="10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5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4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6" w:lineRule="exact"/>
        <w:rPr>
          <w:sz w:val="20"/>
          <w:szCs w:val="20"/>
          <w:color w:val="auto"/>
        </w:rPr>
      </w:pPr>
    </w:p>
    <w:p>
      <w:pPr>
        <w:ind w:left="600" w:right="280" w:hanging="592"/>
        <w:spacing w:after="0" w:line="277" w:lineRule="auto"/>
        <w:tabs>
          <w:tab w:leader="none" w:pos="6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accordance with the accounting guidance described above, 2017 includes recognition of previously unrecognized excess tax benefits offset by a valuation allowance of $12,090 recorded to retained earnings.</w:t>
      </w:r>
    </w:p>
    <w:p>
      <w:pPr>
        <w:spacing w:after="0" w:line="170" w:lineRule="exact"/>
        <w:rPr>
          <w:sz w:val="20"/>
          <w:szCs w:val="20"/>
          <w:color w:val="auto"/>
        </w:rPr>
      </w:pPr>
    </w:p>
    <w:p>
      <w:pPr>
        <w:ind w:right="320" w:firstLine="598"/>
        <w:spacing w:after="0" w:line="277" w:lineRule="auto"/>
        <w:rPr>
          <w:sz w:val="20"/>
          <w:szCs w:val="20"/>
          <w:color w:val="auto"/>
        </w:rPr>
      </w:pPr>
      <w:r>
        <w:rPr>
          <w:rFonts w:ascii="Arial" w:cs="Arial" w:eastAsia="Arial" w:hAnsi="Arial"/>
          <w:sz w:val="18"/>
          <w:szCs w:val="18"/>
          <w:color w:val="auto"/>
        </w:rPr>
        <w:t>The Company had net operating loss and tax credit carryforwards for which related deferred tax assets of $62,629 were recorded at December 31, 2019 primarily relating to:</w:t>
      </w:r>
    </w:p>
    <w:p>
      <w:pPr>
        <w:spacing w:after="0" w:line="62" w:lineRule="exact"/>
        <w:rPr>
          <w:sz w:val="20"/>
          <w:szCs w:val="20"/>
          <w:color w:val="auto"/>
        </w:rPr>
      </w:pPr>
    </w:p>
    <w:p>
      <w:pPr>
        <w:ind w:left="1200" w:right="160" w:hanging="598"/>
        <w:spacing w:after="0" w:line="277" w:lineRule="auto"/>
        <w:tabs>
          <w:tab w:leader="none" w:pos="12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indefinite-lived carryforwards (subject to various limitations) of approximately $21,000 in Australia, Germany, Hong Kong, and Singapore; and</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certain carryforwards of approximately $36,000 in the U.S., which begin expiring in 2024.</w:t>
      </w:r>
    </w:p>
    <w:p>
      <w:pPr>
        <w:spacing w:after="0" w:line="225" w:lineRule="exact"/>
        <w:rPr>
          <w:sz w:val="20"/>
          <w:szCs w:val="20"/>
          <w:color w:val="auto"/>
        </w:rPr>
      </w:pPr>
    </w:p>
    <w:p>
      <w:pPr>
        <w:ind w:right="180" w:firstLine="598"/>
        <w:spacing w:after="0" w:line="302" w:lineRule="auto"/>
        <w:rPr>
          <w:sz w:val="20"/>
          <w:szCs w:val="20"/>
          <w:color w:val="auto"/>
        </w:rPr>
      </w:pPr>
      <w:r>
        <w:rPr>
          <w:rFonts w:ascii="Arial" w:cs="Arial" w:eastAsia="Arial" w:hAnsi="Arial"/>
          <w:sz w:val="16"/>
          <w:szCs w:val="16"/>
          <w:color w:val="auto"/>
        </w:rPr>
        <w:t>With few exceptions, the Company is no longer subject to income tax examination by foreign tax authorities and by U.S. federal, state and local tax authorities for years prior to 2014. While we are under examination in various tax jurisdictions with respect to certain open years, the Company does not expect that the result of any final determination related to these examinations will have a material impact on its financial statements. Developments with respect to such examinations are monitored on an ongoing basis and adjustments to tax liabilities are made as appropriate.</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 reconciliation of the beginning to the ending amount of gross unrecognized tax benefits (excluding interest and penalties)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2018 and 2017 is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w w:val="94"/>
              </w:rPr>
              <w:t>Year Ended December 31,</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380" w:type="dxa"/>
            <w:vAlign w:val="bottom"/>
            <w:tcBorders>
              <w:bottom w:val="single" w:sz="8" w:color="CFF0FC"/>
            </w:tcBorders>
          </w:tcPr>
          <w:p>
            <w:pPr>
              <w:spacing w:after="0"/>
              <w:rPr>
                <w:sz w:val="13"/>
                <w:szCs w:val="13"/>
                <w:color w:val="auto"/>
              </w:rPr>
            </w:pPr>
          </w:p>
        </w:tc>
        <w:tc>
          <w:tcPr>
            <w:tcW w:w="17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 (excluding interest and penalties</w:t>
            </w:r>
          </w:p>
        </w:tc>
        <w:tc>
          <w:tcPr>
            <w:tcW w:w="1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 $15,830, $15,136 and $15,392, respectively)</w:t>
            </w:r>
          </w:p>
        </w:tc>
        <w:tc>
          <w:tcPr>
            <w:tcW w:w="1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47,674</w:t>
            </w:r>
          </w:p>
        </w:tc>
        <w:tc>
          <w:tcPr>
            <w:tcW w:w="14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47,426</w:t>
            </w:r>
          </w:p>
        </w:tc>
        <w:tc>
          <w:tcPr>
            <w:tcW w:w="20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47,901</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Increases in gross unrecognized tax benefits relating</w:t>
            </w: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380" w:type="dxa"/>
            <w:vAlign w:val="bottom"/>
          </w:tcPr>
          <w:p>
            <w:pPr>
              <w:ind w:left="140"/>
              <w:spacing w:after="0"/>
              <w:rPr>
                <w:sz w:val="20"/>
                <w:szCs w:val="20"/>
                <w:color w:val="auto"/>
              </w:rPr>
            </w:pPr>
            <w:r>
              <w:rPr>
                <w:rFonts w:ascii="Arial" w:cs="Arial" w:eastAsia="Arial" w:hAnsi="Arial"/>
                <w:sz w:val="18"/>
                <w:szCs w:val="18"/>
                <w:color w:val="auto"/>
              </w:rPr>
              <w:t>to tax positions taken during:</w:t>
            </w:r>
          </w:p>
        </w:tc>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Prior years</w:t>
            </w:r>
          </w:p>
        </w:tc>
        <w:tc>
          <w:tcPr>
            <w:tcW w:w="1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11,764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1,598</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80" w:type="dxa"/>
            <w:vAlign w:val="bottom"/>
          </w:tcPr>
          <w:p>
            <w:pPr>
              <w:ind w:left="240"/>
              <w:spacing w:after="0"/>
              <w:rPr>
                <w:sz w:val="20"/>
                <w:szCs w:val="20"/>
                <w:color w:val="auto"/>
              </w:rPr>
            </w:pPr>
            <w:r>
              <w:rPr>
                <w:rFonts w:ascii="Arial" w:cs="Arial" w:eastAsia="Arial" w:hAnsi="Arial"/>
                <w:sz w:val="18"/>
                <w:szCs w:val="18"/>
                <w:color w:val="auto"/>
              </w:rPr>
              <w:t>Current year</w:t>
            </w:r>
          </w:p>
        </w:tc>
        <w:tc>
          <w:tcPr>
            <w:tcW w:w="1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16,795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11,960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12,608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Decreases in gross unrecognized tax benefits</w:t>
            </w:r>
          </w:p>
        </w:tc>
        <w:tc>
          <w:tcPr>
            <w:tcW w:w="1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relating to:</w:t>
            </w:r>
          </w:p>
        </w:tc>
        <w:tc>
          <w:tcPr>
            <w:tcW w:w="17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80" w:type="dxa"/>
            <w:vAlign w:val="bottom"/>
          </w:tcPr>
          <w:p>
            <w:pPr>
              <w:ind w:left="240"/>
              <w:spacing w:after="0"/>
              <w:rPr>
                <w:sz w:val="20"/>
                <w:szCs w:val="20"/>
                <w:color w:val="auto"/>
              </w:rPr>
            </w:pPr>
            <w:r>
              <w:rPr>
                <w:rFonts w:ascii="Arial" w:cs="Arial" w:eastAsia="Arial" w:hAnsi="Arial"/>
                <w:sz w:val="18"/>
                <w:szCs w:val="18"/>
                <w:color w:val="auto"/>
              </w:rPr>
              <w:t>Tax positions taken during prior years</w:t>
            </w:r>
          </w:p>
        </w:tc>
        <w:tc>
          <w:tcPr>
            <w:tcW w:w="1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8"/>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(699)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(2,961)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Settlements with tax authorities</w:t>
            </w:r>
          </w:p>
        </w:tc>
        <w:tc>
          <w:tcPr>
            <w:tcW w:w="1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(7,251)</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(1,218)</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80" w:type="dxa"/>
            <w:vAlign w:val="bottom"/>
          </w:tcPr>
          <w:p>
            <w:pPr>
              <w:ind w:left="240"/>
              <w:spacing w:after="0"/>
              <w:rPr>
                <w:sz w:val="20"/>
                <w:szCs w:val="20"/>
                <w:color w:val="auto"/>
              </w:rPr>
            </w:pPr>
            <w:r>
              <w:rPr>
                <w:rFonts w:ascii="Arial" w:cs="Arial" w:eastAsia="Arial" w:hAnsi="Arial"/>
                <w:sz w:val="18"/>
                <w:szCs w:val="18"/>
                <w:color w:val="auto"/>
              </w:rPr>
              <w:t>Lapse of the applicable statute of limitations</w:t>
            </w:r>
          </w:p>
        </w:tc>
        <w:tc>
          <w:tcPr>
            <w:tcW w:w="1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8"/>
              <w:spacing w:after="0"/>
              <w:rPr>
                <w:sz w:val="20"/>
                <w:szCs w:val="20"/>
                <w:color w:val="auto"/>
              </w:rPr>
            </w:pPr>
            <w:r>
              <w:rPr>
                <w:rFonts w:ascii="Arial" w:cs="Arial" w:eastAsia="Arial" w:hAnsi="Arial"/>
                <w:sz w:val="18"/>
                <w:szCs w:val="18"/>
                <w:color w:val="auto"/>
              </w:rPr>
              <w:t>(8,125)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(10,447)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(11,720)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(excluding interest and</w:t>
            </w:r>
          </w:p>
        </w:tc>
        <w:tc>
          <w:tcPr>
            <w:tcW w:w="17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penalties of $18,161, $15,830 and $15,136,</w:t>
            </w:r>
          </w:p>
        </w:tc>
        <w:tc>
          <w:tcPr>
            <w:tcW w:w="1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respectively)</w:t>
            </w:r>
          </w:p>
        </w:tc>
        <w:tc>
          <w:tcPr>
            <w:tcW w:w="1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60,838</w:t>
            </w:r>
          </w:p>
        </w:tc>
        <w:tc>
          <w:tcPr>
            <w:tcW w:w="14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47,674</w:t>
            </w:r>
          </w:p>
        </w:tc>
        <w:tc>
          <w:tcPr>
            <w:tcW w:w="20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47,426</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80" w:type="dxa"/>
            <w:vAlign w:val="bottom"/>
            <w:tcBorders>
              <w:top w:val="single" w:sz="8" w:color="CFF0FC"/>
            </w:tcBorders>
          </w:tcPr>
          <w:p>
            <w:pPr>
              <w:spacing w:after="0" w:line="20" w:lineRule="exact"/>
              <w:rPr>
                <w:sz w:val="1"/>
                <w:szCs w:val="1"/>
                <w:color w:val="auto"/>
              </w:rPr>
            </w:pPr>
          </w:p>
        </w:tc>
        <w:tc>
          <w:tcPr>
            <w:tcW w:w="1700" w:type="dxa"/>
            <w:vAlign w:val="bottom"/>
            <w:tcBorders>
              <w:top w:val="single" w:sz="8" w:color="CFF0FC"/>
              <w:bottom w:val="single" w:sz="8" w:color="CFF0FC"/>
            </w:tcBorders>
            <w:vMerge w:val="restart"/>
          </w:tcPr>
          <w:p>
            <w:pPr>
              <w:jc w:val="right"/>
              <w:ind w:right="730"/>
              <w:spacing w:after="0"/>
              <w:rPr>
                <w:sz w:val="20"/>
                <w:szCs w:val="20"/>
                <w:color w:val="auto"/>
              </w:rPr>
            </w:pPr>
            <w:r>
              <w:rPr>
                <w:rFonts w:ascii="Arial" w:cs="Arial" w:eastAsia="Arial" w:hAnsi="Arial"/>
                <w:sz w:val="18"/>
                <w:szCs w:val="18"/>
                <w:color w:val="auto"/>
              </w:rPr>
              <w:t>121</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3" w:name="page124"/>
    <w:bookmarkEnd w:id="123"/>
    <w:p>
      <w:pPr>
        <w:jc w:val="center"/>
        <w:ind w:right="-99"/>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7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Additional information with respect to unrecognized tax benefits is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060" w:type="dxa"/>
            <w:vAlign w:val="bottom"/>
            <w:tcBorders>
              <w:bottom w:val="single" w:sz="8" w:color="CFF0FC"/>
            </w:tcBorders>
          </w:tcPr>
          <w:p>
            <w:pPr>
              <w:spacing w:after="0"/>
              <w:rPr>
                <w:sz w:val="13"/>
                <w:szCs w:val="13"/>
                <w:color w:val="auto"/>
              </w:rPr>
            </w:pPr>
          </w:p>
        </w:tc>
        <w:tc>
          <w:tcPr>
            <w:tcW w:w="10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09"/>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Unrecognized tax benefits at the end of the year that,</w:t>
            </w: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if recognized, would favorably affect the effective</w:t>
            </w: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tax rate (includes interest and penalties of $18,161,</w:t>
            </w: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$15,830 and $15,136, respectively)</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65,193</w:t>
            </w:r>
          </w:p>
        </w:tc>
        <w:tc>
          <w:tcPr>
            <w:tcW w:w="4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53,854</w:t>
            </w:r>
          </w:p>
        </w:tc>
        <w:tc>
          <w:tcPr>
            <w:tcW w:w="20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52,007</w:t>
            </w:r>
          </w:p>
        </w:tc>
        <w:tc>
          <w:tcPr>
            <w:tcW w:w="100" w:type="dxa"/>
            <w:vAlign w:val="bottom"/>
            <w:shd w:val="clear" w:color="auto" w:fill="CFF0FC"/>
          </w:tcPr>
          <w:p>
            <w:pPr>
              <w:spacing w:after="0"/>
              <w:rPr>
                <w:sz w:val="20"/>
                <w:szCs w:val="20"/>
                <w:color w:val="auto"/>
              </w:rPr>
            </w:pPr>
          </w:p>
        </w:tc>
      </w:tr>
      <w:tr>
        <w:trPr>
          <w:trHeight w:val="215"/>
        </w:trPr>
        <w:tc>
          <w:tcPr>
            <w:tcW w:w="5060" w:type="dxa"/>
            <w:vAlign w:val="bottom"/>
          </w:tcPr>
          <w:p>
            <w:pPr>
              <w:spacing w:after="0"/>
              <w:rPr>
                <w:sz w:val="20"/>
                <w:szCs w:val="20"/>
                <w:color w:val="auto"/>
              </w:rPr>
            </w:pPr>
            <w:r>
              <w:rPr>
                <w:rFonts w:ascii="Arial" w:cs="Arial" w:eastAsia="Arial" w:hAnsi="Arial"/>
                <w:sz w:val="18"/>
                <w:szCs w:val="18"/>
                <w:color w:val="auto"/>
              </w:rPr>
              <w:t>Unrecognized tax benefits that, if recognized, would not</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060" w:type="dxa"/>
            <w:vAlign w:val="bottom"/>
          </w:tcPr>
          <w:p>
            <w:pPr>
              <w:ind w:left="140"/>
              <w:spacing w:after="0"/>
              <w:rPr>
                <w:sz w:val="20"/>
                <w:szCs w:val="20"/>
                <w:color w:val="auto"/>
              </w:rPr>
            </w:pPr>
            <w:r>
              <w:rPr>
                <w:rFonts w:ascii="Arial" w:cs="Arial" w:eastAsia="Arial" w:hAnsi="Arial"/>
                <w:sz w:val="18"/>
                <w:szCs w:val="18"/>
                <w:color w:val="auto"/>
              </w:rPr>
              <w:t>affect the effective tax rate</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13,806</w:t>
            </w:r>
          </w:p>
        </w:tc>
        <w:tc>
          <w:tcPr>
            <w:tcW w:w="4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9,650</w:t>
            </w:r>
          </w:p>
        </w:tc>
        <w:tc>
          <w:tcPr>
            <w:tcW w:w="200" w:type="dxa"/>
            <w:vAlign w:val="bottom"/>
          </w:tcPr>
          <w:p>
            <w:pPr>
              <w:spacing w:after="0"/>
              <w:rPr>
                <w:sz w:val="20"/>
                <w:szCs w:val="20"/>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10,555</w:t>
            </w:r>
          </w:p>
        </w:tc>
        <w:tc>
          <w:tcPr>
            <w:tcW w:w="100" w:type="dxa"/>
            <w:vAlign w:val="bottom"/>
          </w:tcPr>
          <w:p>
            <w:pPr>
              <w:spacing w:after="0"/>
              <w:rPr>
                <w:sz w:val="20"/>
                <w:szCs w:val="20"/>
                <w:color w:val="auto"/>
              </w:rPr>
            </w:pPr>
          </w:p>
        </w:tc>
      </w:tr>
      <w:tr>
        <w:trPr>
          <w:trHeight w:val="215"/>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Interest and penalties recognized in current income</w:t>
            </w: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tax expense (after giving effect to the reversal of</w:t>
            </w: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and penalties of $3,455, $4,889 and</w:t>
            </w: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$6,185, respectively)</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2,331</w:t>
            </w:r>
          </w:p>
        </w:tc>
        <w:tc>
          <w:tcPr>
            <w:tcW w:w="4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w:t>
            </w:r>
          </w:p>
        </w:tc>
        <w:tc>
          <w:tcPr>
            <w:tcW w:w="20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(256)</w:t>
            </w:r>
          </w:p>
        </w:tc>
      </w:tr>
    </w:tbl>
    <w:p>
      <w:pPr>
        <w:spacing w:after="0" w:line="229" w:lineRule="exact"/>
        <w:rPr>
          <w:sz w:val="20"/>
          <w:szCs w:val="20"/>
          <w:color w:val="auto"/>
        </w:rPr>
      </w:pPr>
    </w:p>
    <w:p>
      <w:pPr>
        <w:ind w:right="440" w:firstLine="598"/>
        <w:spacing w:after="0" w:line="342" w:lineRule="auto"/>
        <w:rPr>
          <w:sz w:val="20"/>
          <w:szCs w:val="20"/>
          <w:color w:val="auto"/>
        </w:rPr>
      </w:pPr>
      <w:r>
        <w:rPr>
          <w:rFonts w:ascii="Arial" w:cs="Arial" w:eastAsia="Arial" w:hAnsi="Arial"/>
          <w:sz w:val="16"/>
          <w:szCs w:val="16"/>
          <w:color w:val="auto"/>
        </w:rPr>
        <w:t>The Company anticipates that it is reasonably possible that approximately $8,100 of unrecognized tax benefits, including interest and penalties recorded at December 31, 2019, may be recognized within 12 months as a result of the lapse of the statute of limitations in various tax jurisdictions.</w:t>
      </w:r>
    </w:p>
    <w:p>
      <w:pPr>
        <w:spacing w:after="0" w:line="200" w:lineRule="exact"/>
        <w:rPr>
          <w:sz w:val="20"/>
          <w:szCs w:val="20"/>
          <w:color w:val="auto"/>
        </w:rPr>
      </w:pPr>
    </w:p>
    <w:p>
      <w:pPr>
        <w:spacing w:after="0" w:line="262" w:lineRule="exact"/>
        <w:rPr>
          <w:sz w:val="20"/>
          <w:szCs w:val="20"/>
          <w:color w:val="auto"/>
        </w:rPr>
      </w:pPr>
    </w:p>
    <w:p>
      <w:pPr>
        <w:ind w:left="600" w:hanging="592"/>
        <w:spacing w:after="0"/>
        <w:tabs>
          <w:tab w:leader="none" w:pos="600" w:val="left"/>
        </w:tabs>
        <w:numPr>
          <w:ilvl w:val="0"/>
          <w:numId w:val="9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RELATED PARTIES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Receivable from and Payable to Lazard Ltd Subsidiaries</w:t>
      </w:r>
    </w:p>
    <w:p>
      <w:pPr>
        <w:spacing w:after="0" w:line="117" w:lineRule="exact"/>
        <w:rPr>
          <w:sz w:val="20"/>
          <w:szCs w:val="20"/>
          <w:color w:val="auto"/>
        </w:rPr>
      </w:pPr>
    </w:p>
    <w:p>
      <w:pPr>
        <w:ind w:right="60" w:firstLine="598"/>
        <w:spacing w:after="0" w:line="277" w:lineRule="auto"/>
        <w:rPr>
          <w:sz w:val="20"/>
          <w:szCs w:val="20"/>
          <w:color w:val="auto"/>
        </w:rPr>
      </w:pPr>
      <w:r>
        <w:rPr>
          <w:rFonts w:ascii="Arial" w:cs="Arial" w:eastAsia="Arial" w:hAnsi="Arial"/>
          <w:sz w:val="18"/>
          <w:szCs w:val="18"/>
          <w:color w:val="auto"/>
        </w:rPr>
        <w:t>Interest income relating to interest-bearing loans with subsidiaries of Lazard Ltd amounted to $90, $452 and $165 for the years ended December 31, 2019, 2018 and 2017, respectively.</w:t>
      </w:r>
    </w:p>
    <w:p>
      <w:pPr>
        <w:spacing w:after="0" w:line="170" w:lineRule="exact"/>
        <w:rPr>
          <w:sz w:val="20"/>
          <w:szCs w:val="20"/>
          <w:color w:val="auto"/>
        </w:rPr>
      </w:pPr>
    </w:p>
    <w:p>
      <w:pPr>
        <w:jc w:val="both"/>
        <w:ind w:right="20" w:firstLine="598"/>
        <w:spacing w:after="0" w:line="264" w:lineRule="auto"/>
        <w:rPr>
          <w:sz w:val="20"/>
          <w:szCs w:val="20"/>
          <w:color w:val="auto"/>
        </w:rPr>
      </w:pPr>
      <w:r>
        <w:rPr>
          <w:rFonts w:ascii="Arial" w:cs="Arial" w:eastAsia="Arial" w:hAnsi="Arial"/>
          <w:sz w:val="18"/>
          <w:szCs w:val="18"/>
          <w:color w:val="auto"/>
        </w:rPr>
        <w:t>Lazard Group’s payables to subsidiaries of Lazard Ltd at December 31, 2019 and 2018 included interest-bearing loans, including interest thereon, of $57,160 and $60,875, respectively. Interest expense relating to interest-bearing loans with subsidiaries of Lazard Ltd amounted to $3,573, $3,687 and $3,835 for the years ended December 31, 2019, 2018 and 2017, respectively.</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Sponsored Funds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Company serves as an investment advisor for certain affiliated investment companies and fund entities and receives management fees and, for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alternative investment funds, performance-based incentive fees for providing such services. Investment advisory fees relating to such services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$587,665, $654,561 and $649,089 for the years ended December 31, 2019, 2018 and 2017, respectively, and are included in “asset management fees” 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statements of operations. Of such amounts, $54,561 and $59,304 remained as receivables at December 31, 2019 and 2018, respectively, and 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included in “fees receivable” on the consolidated statements of financial condition.</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firstLine="598"/>
        <w:spacing w:after="0" w:line="312" w:lineRule="auto"/>
        <w:rPr>
          <w:sz w:val="20"/>
          <w:szCs w:val="20"/>
          <w:color w:val="auto"/>
        </w:rPr>
      </w:pPr>
      <w:r>
        <w:rPr>
          <w:rFonts w:ascii="Arial" w:cs="Arial" w:eastAsia="Arial" w:hAnsi="Arial"/>
          <w:sz w:val="16"/>
          <w:szCs w:val="16"/>
          <w:color w:val="auto"/>
        </w:rPr>
        <w:t>During the year ended December 31, 2019, the Company recognized approximately $9,000 of investment banking and other advisory fees pertaining to financial advisory services provided to clients of which a member of the Company’s Board of Directors also served as a member of the client’s board of directors or in a management capacity. The engagement terms were negotiated in the ordinary course of business on an arms-length basis.</w:t>
      </w:r>
    </w:p>
    <w:p>
      <w:pPr>
        <w:spacing w:after="0" w:line="147" w:lineRule="exact"/>
        <w:rPr>
          <w:sz w:val="20"/>
          <w:szCs w:val="20"/>
          <w:color w:val="auto"/>
        </w:rPr>
      </w:pPr>
    </w:p>
    <w:p>
      <w:pPr>
        <w:ind w:right="700" w:firstLine="598"/>
        <w:spacing w:after="0" w:line="277" w:lineRule="auto"/>
        <w:rPr>
          <w:sz w:val="20"/>
          <w:szCs w:val="20"/>
          <w:color w:val="auto"/>
        </w:rPr>
      </w:pPr>
      <w:r>
        <w:rPr>
          <w:rFonts w:ascii="Arial" w:cs="Arial" w:eastAsia="Arial" w:hAnsi="Arial"/>
          <w:sz w:val="18"/>
          <w:szCs w:val="18"/>
          <w:color w:val="auto"/>
        </w:rPr>
        <w:t>See Note 15 for information regarding related party transactions pertaining to shares repurchased from certain of our executive officers and subsidiaries of Lazard Ltd.</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124" w:name="page125"/>
    <w:bookmarkEnd w:id="124"/>
    <w:p>
      <w:pPr>
        <w:jc w:val="center"/>
        <w:ind w:right="-19"/>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0" w:hanging="592"/>
        <w:spacing w:after="0"/>
        <w:tabs>
          <w:tab w:leader="none" w:pos="600" w:val="left"/>
        </w:tabs>
        <w:numPr>
          <w:ilvl w:val="0"/>
          <w:numId w:val="9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117"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LFNY is a U.S. registered broker-dealer and is subject to the net capital requirements of Rule 15c3-1 under the Exchange Act. Under the basic method permitted by this rule, the minimum required net capital, as defined, is a specified fixed percentage (6 2/3%) of total aggregate indebtedness recorded in LFNY’s Financial and Operational Combined Uniform Single (“FOCUS”) report filed with the Financial Industry Regulatory Authority (“FINRA”), or $5, whichever is greater. In addition, the ratio of aggregate indebtedness (as defined) to net capital may not exceed 15:1. At December 31, 2019, LFNY’s regulatory net capital was $134,374, which exceeded the minimum requirement by $127,427. LFNY’s aggregate indebtedness to net capital ratio was 0.78:1 as of December 31, 2019.</w:t>
      </w:r>
    </w:p>
    <w:p>
      <w:pPr>
        <w:spacing w:after="0" w:line="193" w:lineRule="exact"/>
        <w:rPr>
          <w:sz w:val="20"/>
          <w:szCs w:val="20"/>
          <w:color w:val="auto"/>
        </w:rPr>
      </w:pPr>
    </w:p>
    <w:p>
      <w:pPr>
        <w:jc w:val="both"/>
        <w:ind w:right="140" w:firstLine="598"/>
        <w:spacing w:after="0" w:line="264"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(collectively, the “U.K. Subsidiaries”) are regulated by the Financial Conduct Authority. At December 31, 2019, the aggregate regulatory net capital of the U.K. Subsidiaries was $175,890, which exceeded the minimum requirement by $158,700.</w:t>
      </w:r>
    </w:p>
    <w:p>
      <w:pPr>
        <w:spacing w:after="0" w:line="181" w:lineRule="exact"/>
        <w:rPr>
          <w:sz w:val="20"/>
          <w:szCs w:val="20"/>
          <w:color w:val="auto"/>
        </w:rPr>
      </w:pPr>
    </w:p>
    <w:p>
      <w:pPr>
        <w:ind w:firstLine="598"/>
        <w:spacing w:after="0" w:line="286" w:lineRule="auto"/>
        <w:rPr>
          <w:sz w:val="20"/>
          <w:szCs w:val="20"/>
          <w:color w:val="auto"/>
        </w:rPr>
      </w:pPr>
      <w:r>
        <w:rPr>
          <w:rFonts w:ascii="Arial" w:cs="Arial" w:eastAsia="Arial" w:hAnsi="Arial"/>
          <w:sz w:val="16"/>
          <w:szCs w:val="16"/>
          <w:color w:val="auto"/>
        </w:rPr>
        <w:t>CFLF, under which asset management and commercial banking activities are carried out in France, is subject to regulation by the Autorité de Contrôle Prudentiel et de Résolution (“ACPR”) for its banking activities conducted through its subsidiary, LFB. LFB, as a registered bank, is engaged primarily in commercial and private banking services for clients and funds managed by LFG (asset management) and other clients, and asset-liability management. The investment services activities of the Paris group, exercised through LFB and other subsidiaries of CFLF, primarily LFG, also are subject to regulation and supervision by the Autorité des Marchés Financiers. At December 31, 2019, the consolidated regulatory net capital of CFLF was $127,935, which exceeded the minimum requirement set for regulatory capital levels by $69,150. In addition, pursuant to the consolidated supervision rules in the European Union, LFB, in particular, as a French credit institution, is required to be supervised by a regulatory body, either in the U.S. or in the European Union. During the third quarter of 2013, the Company and the ACPR agreed on terms for the consolidated supervision of LFB and certain other non-Financial Advisory European subsidiaries of the Company (referred to herein, on a combined basis, as the “combined European regulated group”) under such rules. Under this supervision, the combined European regulated group is required to comply with minimum requirements for regulatory net capital to be reported on a quarterly basis and satisfy periodic financial and other reporting obligations. At December 31, 2019, the regulatory net capital of the combined European regulated group was $182,054, which exceeded the minimum requirement set for regulatory capital levels by $75,566.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w:t>
      </w:r>
    </w:p>
    <w:p>
      <w:pPr>
        <w:spacing w:after="0" w:line="172" w:lineRule="exact"/>
        <w:rPr>
          <w:sz w:val="20"/>
          <w:szCs w:val="20"/>
          <w:color w:val="auto"/>
        </w:rPr>
      </w:pPr>
    </w:p>
    <w:p>
      <w:pPr>
        <w:ind w:right="220" w:firstLine="598"/>
        <w:spacing w:after="0" w:line="264"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December 31, 2019, for those subsidiaries with regulatory capital requirements, their aggregate net capital was $153,707, which exceeded the minimum required capital by $124,392.</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At December 31, 2019, each of these subsidiaries individually was in compliance with its regulatory capital requirements.</w:t>
      </w:r>
    </w:p>
    <w:p>
      <w:pPr>
        <w:spacing w:after="0" w:line="225" w:lineRule="exact"/>
        <w:rPr>
          <w:sz w:val="20"/>
          <w:szCs w:val="20"/>
          <w:color w:val="auto"/>
        </w:rPr>
      </w:pPr>
    </w:p>
    <w:p>
      <w:pPr>
        <w:ind w:right="540" w:firstLine="598"/>
        <w:spacing w:after="0" w:line="277" w:lineRule="auto"/>
        <w:rPr>
          <w:sz w:val="20"/>
          <w:szCs w:val="20"/>
          <w:color w:val="auto"/>
        </w:rPr>
      </w:pPr>
      <w:r>
        <w:rPr>
          <w:rFonts w:ascii="Arial" w:cs="Arial" w:eastAsia="Arial" w:hAnsi="Arial"/>
          <w:sz w:val="18"/>
          <w:szCs w:val="18"/>
          <w:color w:val="auto"/>
        </w:rPr>
        <w:t>Any new or expanded rules and regulations that may be adopted in countries in which we operate (including regulations that have not yet been proposed) could affect us in other ways.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5" w:name="page126"/>
    <w:bookmarkEnd w:id="125"/>
    <w:p>
      <w:pPr>
        <w:jc w:val="center"/>
        <w:ind w:right="-39"/>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32" w:lineRule="exact"/>
        <w:rPr>
          <w:sz w:val="20"/>
          <w:szCs w:val="20"/>
          <w:color w:val="auto"/>
        </w:rPr>
      </w:pPr>
    </w:p>
    <w:p>
      <w:pPr>
        <w:ind w:left="600" w:hanging="592"/>
        <w:spacing w:after="0"/>
        <w:tabs>
          <w:tab w:leader="none" w:pos="600" w:val="left"/>
        </w:tabs>
        <w:numPr>
          <w:ilvl w:val="0"/>
          <w:numId w:val="9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200" w:firstLine="598"/>
        <w:spacing w:after="0" w:line="279" w:lineRule="auto"/>
        <w:rPr>
          <w:sz w:val="20"/>
          <w:szCs w:val="20"/>
          <w:color w:val="auto"/>
        </w:rPr>
      </w:pPr>
      <w:r>
        <w:rPr>
          <w:rFonts w:ascii="Arial" w:cs="Arial" w:eastAsia="Arial" w:hAnsi="Arial"/>
          <w:sz w:val="17"/>
          <w:szCs w:val="17"/>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its Financial Advisory and Asset Management business segments as described in Note 1. In addition, as described in Note 1, the Company records selected other activities in its Corporate segment.</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Company’s segment information for the years ended December 31, 2019, 2018 and 2017 is prepared using the following methodology:</w:t>
      </w:r>
    </w:p>
    <w:p>
      <w:pPr>
        <w:spacing w:after="0" w:line="129" w:lineRule="exact"/>
        <w:rPr>
          <w:sz w:val="20"/>
          <w:szCs w:val="20"/>
          <w:color w:val="auto"/>
        </w:rPr>
      </w:pPr>
    </w:p>
    <w:p>
      <w:pPr>
        <w:ind w:left="1200" w:hanging="598"/>
        <w:spacing w:after="0"/>
        <w:tabs>
          <w:tab w:leader="none" w:pos="12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117" w:lineRule="exact"/>
        <w:rPr>
          <w:rFonts w:ascii="Arial" w:cs="Arial" w:eastAsia="Arial" w:hAnsi="Arial"/>
          <w:sz w:val="18"/>
          <w:szCs w:val="18"/>
          <w:color w:val="auto"/>
        </w:rPr>
      </w:pPr>
    </w:p>
    <w:p>
      <w:pPr>
        <w:ind w:left="1200" w:right="160" w:hanging="598"/>
        <w:spacing w:after="0" w:line="277" w:lineRule="auto"/>
        <w:tabs>
          <w:tab w:leader="none" w:pos="12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62" w:lineRule="exact"/>
        <w:rPr>
          <w:rFonts w:ascii="Arial" w:cs="Arial" w:eastAsia="Arial" w:hAnsi="Arial"/>
          <w:sz w:val="18"/>
          <w:szCs w:val="18"/>
          <w:color w:val="auto"/>
        </w:rPr>
      </w:pPr>
    </w:p>
    <w:p>
      <w:pPr>
        <w:ind w:left="1200" w:right="540" w:hanging="598"/>
        <w:spacing w:after="0" w:line="308" w:lineRule="auto"/>
        <w:tabs>
          <w:tab w:leader="none" w:pos="12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47"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70"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human resources, legal, facilities management and senior management activities.</w:t>
      </w:r>
    </w:p>
    <w:p>
      <w:pPr>
        <w:spacing w:after="0" w:line="188"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For the years ended December 31, 2019, 2018 and 2017, no individual client constituted more than 10% of the net revenue of any of the Company’s business segments.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right="440" w:firstLine="598"/>
        <w:spacing w:after="0" w:line="308" w:lineRule="auto"/>
        <w:rPr>
          <w:sz w:val="20"/>
          <w:szCs w:val="20"/>
          <w:color w:val="auto"/>
        </w:rPr>
      </w:pPr>
      <w:r>
        <w:rPr>
          <w:rFonts w:ascii="Arial" w:cs="Arial" w:eastAsia="Arial" w:hAnsi="Arial"/>
          <w:sz w:val="17"/>
          <w:szCs w:val="17"/>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As of or for the Year Ended December 31,</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60" w:type="dxa"/>
            <w:vAlign w:val="bottom"/>
            <w:tcBorders>
              <w:bottom w:val="single" w:sz="8" w:color="CFF0FC"/>
            </w:tcBorders>
          </w:tcPr>
          <w:p>
            <w:pPr>
              <w:spacing w:after="0"/>
              <w:rPr>
                <w:sz w:val="13"/>
                <w:szCs w:val="13"/>
                <w:color w:val="auto"/>
              </w:rPr>
            </w:pPr>
          </w:p>
        </w:tc>
        <w:tc>
          <w:tcPr>
            <w:tcW w:w="10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74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8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Financial Advisory</w:t>
            </w:r>
          </w:p>
        </w:tc>
        <w:tc>
          <w:tcPr>
            <w:tcW w:w="140" w:type="dxa"/>
            <w:vAlign w:val="bottom"/>
            <w:shd w:val="clear" w:color="auto" w:fill="CFF0FC"/>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1,352,168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1,548,918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1,386,688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 (a)/(b)</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1,196,906</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1,206,511</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1,130,186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155,262</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342,407</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256,502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1,113,266</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829,898</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817,185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Asset Management</w:t>
            </w:r>
          </w:p>
        </w:tc>
        <w:tc>
          <w:tcPr>
            <w:tcW w:w="14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Net Revenue</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1,237,390</w:t>
            </w:r>
          </w:p>
        </w:tc>
        <w:tc>
          <w:tcPr>
            <w:tcW w:w="26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1,331,801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1,255,820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Operating Expenses (a)/(b)</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887,522</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912,110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810,870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349,868</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419,691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444,950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6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821,641</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728,220</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756,398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Corporate</w:t>
            </w:r>
          </w:p>
        </w:tc>
        <w:tc>
          <w:tcPr>
            <w:tcW w:w="140" w:type="dxa"/>
            <w:vAlign w:val="bottom"/>
            <w:shd w:val="clear" w:color="auto" w:fill="CFF0FC"/>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(26,865)</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(63,858)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 (a)/(b)</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78,071</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38,957</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64,788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(104,936)</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(102,815)</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(67,699)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3,116,721</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2,831,357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2,726,990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Net Revenue</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2,562,693</w:t>
            </w:r>
          </w:p>
        </w:tc>
        <w:tc>
          <w:tcPr>
            <w:tcW w:w="26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2,816,861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2,639,597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Operating Expenses (a)/(b)</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2,162,499</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2,157,578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2,005,844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400,194</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659,283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633,753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40" w:type="dxa"/>
            <w:vAlign w:val="bottom"/>
            <w:vMerge w:val="restart"/>
          </w:tcPr>
          <w:p>
            <w:pPr>
              <w:spacing w:after="0"/>
              <w:rPr>
                <w:sz w:val="20"/>
                <w:szCs w:val="20"/>
                <w:color w:val="auto"/>
              </w:rPr>
            </w:pPr>
            <w:r>
              <w:rPr>
                <w:rFonts w:ascii="Arial" w:cs="Arial" w:eastAsia="Arial" w:hAnsi="Arial"/>
                <w:sz w:val="18"/>
                <w:szCs w:val="18"/>
                <w:color w:val="auto"/>
              </w:rPr>
              <w:t>Total Assets</w:t>
            </w:r>
          </w:p>
        </w:tc>
        <w:tc>
          <w:tcPr>
            <w:tcW w:w="4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5,051,628</w:t>
            </w:r>
          </w:p>
        </w:tc>
        <w:tc>
          <w:tcPr>
            <w:tcW w:w="2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4,389,475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4,300,573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hanging="592"/>
        <w:spacing w:after="0"/>
        <w:tabs>
          <w:tab w:leader="none" w:pos="6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Operating expenses include depreciation and amortization of property as set forth in table below.</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0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6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Financial Advisory</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6,589</w:t>
            </w:r>
          </w:p>
        </w:tc>
        <w:tc>
          <w:tcPr>
            <w:tcW w:w="100" w:type="dxa"/>
            <w:vAlign w:val="bottom"/>
            <w:shd w:val="clear" w:color="auto" w:fill="CFF0FC"/>
          </w:tcPr>
          <w:p>
            <w:pPr>
              <w:spacing w:after="0"/>
              <w:rPr>
                <w:sz w:val="19"/>
                <w:szCs w:val="19"/>
                <w:color w:val="auto"/>
              </w:rPr>
            </w:pPr>
          </w:p>
        </w:tc>
      </w:tr>
      <w:tr>
        <w:trPr>
          <w:trHeight w:val="230"/>
        </w:trPr>
        <w:tc>
          <w:tcPr>
            <w:tcW w:w="6080" w:type="dxa"/>
            <w:vAlign w:val="bottom"/>
          </w:tcPr>
          <w:p>
            <w:pPr>
              <w:ind w:left="240"/>
              <w:spacing w:after="0"/>
              <w:rPr>
                <w:sz w:val="20"/>
                <w:szCs w:val="20"/>
                <w:color w:val="auto"/>
              </w:rPr>
            </w:pPr>
            <w:r>
              <w:rPr>
                <w:rFonts w:ascii="Arial" w:cs="Arial" w:eastAsia="Arial" w:hAnsi="Arial"/>
                <w:sz w:val="18"/>
                <w:szCs w:val="18"/>
                <w:color w:val="auto"/>
              </w:rPr>
              <w:t>Asset Management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2,995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3,253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2,830</w:t>
            </w:r>
          </w:p>
        </w:tc>
        <w:tc>
          <w:tcPr>
            <w:tcW w:w="100" w:type="dxa"/>
            <w:vAlign w:val="bottom"/>
          </w:tcPr>
          <w:p>
            <w:pPr>
              <w:spacing w:after="0"/>
              <w:rPr>
                <w:sz w:val="19"/>
                <w:szCs w:val="19"/>
                <w:color w:val="auto"/>
              </w:rPr>
            </w:pPr>
          </w:p>
        </w:tc>
      </w:tr>
      <w:tr>
        <w:trPr>
          <w:trHeight w:val="230"/>
        </w:trPr>
        <w:tc>
          <w:tcPr>
            <w:tcW w:w="6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w:t>
            </w: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27,085</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23,130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22,072</w:t>
            </w:r>
          </w:p>
        </w:tc>
        <w:tc>
          <w:tcPr>
            <w:tcW w:w="100" w:type="dxa"/>
            <w:vAlign w:val="bottom"/>
            <w:shd w:val="clear" w:color="auto" w:fill="CFF0FC"/>
          </w:tcPr>
          <w:p>
            <w:pPr>
              <w:spacing w:after="0"/>
              <w:rPr>
                <w:sz w:val="19"/>
                <w:szCs w:val="19"/>
                <w:color w:val="auto"/>
              </w:rPr>
            </w:pPr>
          </w:p>
        </w:tc>
      </w:tr>
      <w:tr>
        <w:trPr>
          <w:trHeight w:val="223"/>
        </w:trPr>
        <w:tc>
          <w:tcPr>
            <w:tcW w:w="6080" w:type="dxa"/>
            <w:vAlign w:val="bottom"/>
          </w:tcPr>
          <w:p>
            <w:pPr>
              <w:ind w:left="2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35,260</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33,778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31,491</w:t>
            </w:r>
          </w:p>
        </w:tc>
        <w:tc>
          <w:tcPr>
            <w:tcW w:w="10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ind w:left="600" w:hanging="592"/>
        <w:spacing w:after="0"/>
        <w:tabs>
          <w:tab w:leader="none" w:pos="6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See Note 18 for information regarding business realignment.</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121"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Due to the highly integrated nature of international financial markets, the Company manages its business based on the profitability of the enterprise as a whole. Accordingly, management believes that profitability by geographic region is not necessarily meaningful. The Company’s revenue and identifiable assets are generally allocated based on the country or domicile of the legal entity providing the service.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right="120" w:firstLine="598"/>
        <w:spacing w:after="0" w:line="264" w:lineRule="auto"/>
        <w:rPr>
          <w:sz w:val="20"/>
          <w:szCs w:val="20"/>
          <w:color w:val="auto"/>
        </w:rPr>
      </w:pPr>
      <w:r>
        <w:rPr>
          <w:rFonts w:ascii="Arial" w:cs="Arial" w:eastAsia="Arial" w:hAnsi="Arial"/>
          <w:sz w:val="18"/>
          <w:szCs w:val="18"/>
          <w:color w:val="auto"/>
        </w:rPr>
        <w:t>The following table sets forth the net revenue from, and identifiable assets for, the Company and its consolidated subsidiaries by geographic region allocated on the basis described above. In the table below, Americas principally includes the U.S., EMEA principally includes the U.K. and France, and Asia Pacific principally includes Australia.</w:t>
      </w: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or for the Year Ended December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40" w:type="dxa"/>
            <w:vAlign w:val="bottom"/>
            <w:tcBorders>
              <w:bottom w:val="single" w:sz="8" w:color="CFF0FC"/>
            </w:tcBorders>
          </w:tcPr>
          <w:p>
            <w:pPr>
              <w:spacing w:after="0"/>
              <w:rPr>
                <w:sz w:val="13"/>
                <w:szCs w:val="13"/>
                <w:color w:val="auto"/>
              </w:rPr>
            </w:pPr>
          </w:p>
        </w:tc>
        <w:tc>
          <w:tcPr>
            <w:tcW w:w="23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2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240"/>
              <w:spacing w:after="0"/>
              <w:rPr>
                <w:sz w:val="20"/>
                <w:szCs w:val="20"/>
                <w:color w:val="auto"/>
              </w:rPr>
            </w:pPr>
            <w:r>
              <w:rPr>
                <w:rFonts w:ascii="Arial" w:cs="Arial" w:eastAsia="Arial" w:hAnsi="Arial"/>
                <w:sz w:val="18"/>
                <w:szCs w:val="18"/>
                <w:color w:val="auto"/>
              </w:rPr>
              <w:t>Americas</w:t>
            </w:r>
          </w:p>
        </w:tc>
        <w:tc>
          <w:tcPr>
            <w:tcW w:w="26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1,519,983</w:t>
            </w:r>
          </w:p>
        </w:tc>
        <w:tc>
          <w:tcPr>
            <w:tcW w:w="5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1,606,245</w:t>
            </w:r>
          </w:p>
        </w:tc>
        <w:tc>
          <w:tcPr>
            <w:tcW w:w="66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1,553,356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EMEA</w:t>
            </w:r>
          </w:p>
        </w:tc>
        <w:tc>
          <w:tcPr>
            <w:tcW w:w="2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873,007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1,022,994</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903,525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Asia Pacific</w:t>
            </w:r>
          </w:p>
        </w:tc>
        <w:tc>
          <w:tcPr>
            <w:tcW w:w="23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169,703</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187,622</w:t>
            </w:r>
          </w:p>
        </w:tc>
        <w:tc>
          <w:tcPr>
            <w:tcW w:w="2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182,716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3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2,562,693</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2,816,861</w:t>
            </w:r>
          </w:p>
        </w:tc>
        <w:tc>
          <w:tcPr>
            <w:tcW w:w="2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2,639,597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8"/>
                <w:szCs w:val="18"/>
                <w:color w:val="auto"/>
              </w:rPr>
              <w:t>Operating Income:</w:t>
            </w:r>
          </w:p>
        </w:tc>
        <w:tc>
          <w:tcPr>
            <w:tcW w:w="2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vMerge w:val="continue"/>
          </w:tcPr>
          <w:p>
            <w:pPr>
              <w:spacing w:after="0"/>
              <w:rPr>
                <w:sz w:val="18"/>
                <w:szCs w:val="18"/>
                <w:color w:val="auto"/>
              </w:rPr>
            </w:pPr>
          </w:p>
        </w:tc>
        <w:tc>
          <w:tcPr>
            <w:tcW w:w="2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Americas</w:t>
            </w:r>
          </w:p>
        </w:tc>
        <w:tc>
          <w:tcPr>
            <w:tcW w:w="260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249,488</w:t>
            </w:r>
          </w:p>
        </w:tc>
        <w:tc>
          <w:tcPr>
            <w:tcW w:w="50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412,628</w:t>
            </w:r>
          </w:p>
        </w:tc>
        <w:tc>
          <w:tcPr>
            <w:tcW w:w="66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404,351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240"/>
              <w:spacing w:after="0"/>
              <w:rPr>
                <w:sz w:val="20"/>
                <w:szCs w:val="20"/>
                <w:color w:val="auto"/>
              </w:rPr>
            </w:pPr>
            <w:r>
              <w:rPr>
                <w:rFonts w:ascii="Arial" w:cs="Arial" w:eastAsia="Arial" w:hAnsi="Arial"/>
                <w:sz w:val="18"/>
                <w:szCs w:val="18"/>
                <w:color w:val="auto"/>
              </w:rPr>
              <w:t>EMEA</w:t>
            </w:r>
          </w:p>
        </w:tc>
        <w:tc>
          <w:tcPr>
            <w:tcW w:w="2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120,481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206,578</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193,781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Asia Pacific</w:t>
            </w:r>
          </w:p>
        </w:tc>
        <w:tc>
          <w:tcPr>
            <w:tcW w:w="23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30,225</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40,077</w:t>
            </w:r>
          </w:p>
        </w:tc>
        <w:tc>
          <w:tcPr>
            <w:tcW w:w="2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7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w:t>
            </w:r>
          </w:p>
        </w:tc>
        <w:tc>
          <w:tcPr>
            <w:tcW w:w="23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400,194</w:t>
            </w:r>
          </w:p>
        </w:tc>
        <w:tc>
          <w:tcPr>
            <w:tcW w:w="2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659,283</w:t>
            </w:r>
          </w:p>
        </w:tc>
        <w:tc>
          <w:tcPr>
            <w:tcW w:w="220" w:type="dxa"/>
            <w:vAlign w:val="bottom"/>
            <w:tcBorders>
              <w:bottom w:val="single" w:sz="8" w:color="CFF0FC"/>
            </w:tcBorders>
          </w:tcPr>
          <w:p>
            <w:pPr>
              <w:spacing w:after="0"/>
              <w:rPr>
                <w:sz w:val="22"/>
                <w:szCs w:val="22"/>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633,753</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Identifiable Assets:</w:t>
            </w:r>
          </w:p>
        </w:tc>
        <w:tc>
          <w:tcPr>
            <w:tcW w:w="2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240"/>
              <w:spacing w:after="0"/>
              <w:rPr>
                <w:sz w:val="20"/>
                <w:szCs w:val="20"/>
                <w:color w:val="auto"/>
              </w:rPr>
            </w:pPr>
            <w:r>
              <w:rPr>
                <w:rFonts w:ascii="Arial" w:cs="Arial" w:eastAsia="Arial" w:hAnsi="Arial"/>
                <w:sz w:val="18"/>
                <w:szCs w:val="18"/>
                <w:color w:val="auto"/>
              </w:rPr>
              <w:t>Americas</w:t>
            </w:r>
          </w:p>
        </w:tc>
        <w:tc>
          <w:tcPr>
            <w:tcW w:w="26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2,320,957</w:t>
            </w:r>
          </w:p>
        </w:tc>
        <w:tc>
          <w:tcPr>
            <w:tcW w:w="5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1,950,138</w:t>
            </w:r>
          </w:p>
        </w:tc>
        <w:tc>
          <w:tcPr>
            <w:tcW w:w="66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1,972,308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EMEA</w:t>
            </w:r>
          </w:p>
        </w:tc>
        <w:tc>
          <w:tcPr>
            <w:tcW w:w="2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2,437,804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2,150,597</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2,039,385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Asia Pacific</w:t>
            </w:r>
          </w:p>
        </w:tc>
        <w:tc>
          <w:tcPr>
            <w:tcW w:w="23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292,867</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288,740</w:t>
            </w:r>
          </w:p>
        </w:tc>
        <w:tc>
          <w:tcPr>
            <w:tcW w:w="2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288,880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3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5,051,628</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4,389,475</w:t>
            </w:r>
          </w:p>
        </w:tc>
        <w:tc>
          <w:tcPr>
            <w:tcW w:w="2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4,300,573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23. CONSOLIDATED VIEs</w:t>
      </w:r>
    </w:p>
    <w:p>
      <w:pPr>
        <w:spacing w:after="0" w:line="117"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The Company’s consolidated VIEs as of December 31, 2019 include certain funds that were recently established for the benefit of employees participating in the Company’s existing LFI deferred compensation arrangement. Lazard invests in these funds and is the investment manager and is therefore deemed to have both the power to direct the most significant activities of the funds and the right to receive benefits (or the obligation to absorb losses) that could potentially be significant to these funds. The Company’s consolidated VIE assets and liabilities as reflected in the consolidated statements of financial condition consist of the following at December 31, 2019:</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8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6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9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660" w:type="dxa"/>
            <w:vAlign w:val="bottom"/>
            <w:shd w:val="clear" w:color="auto" w:fill="CFF0FC"/>
          </w:tcPr>
          <w:p>
            <w:pPr>
              <w:jc w:val="right"/>
              <w:ind w:right="50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3,826</w:t>
            </w:r>
          </w:p>
        </w:tc>
        <w:tc>
          <w:tcPr>
            <w:tcW w:w="120" w:type="dxa"/>
            <w:vAlign w:val="bottom"/>
            <w:shd w:val="clear" w:color="auto" w:fill="CFF0FC"/>
          </w:tcPr>
          <w:p>
            <w:pPr>
              <w:spacing w:after="0"/>
              <w:rPr>
                <w:sz w:val="21"/>
                <w:szCs w:val="21"/>
                <w:color w:val="auto"/>
              </w:rPr>
            </w:pPr>
          </w:p>
        </w:tc>
      </w:tr>
      <w:tr>
        <w:trPr>
          <w:trHeight w:val="243"/>
        </w:trPr>
        <w:tc>
          <w:tcPr>
            <w:tcW w:w="9480" w:type="dxa"/>
            <w:vAlign w:val="bottom"/>
            <w:gridSpan w:val="2"/>
          </w:tcPr>
          <w:p>
            <w:pPr>
              <w:spacing w:after="0"/>
              <w:rPr>
                <w:sz w:val="20"/>
                <w:szCs w:val="20"/>
                <w:color w:val="auto"/>
              </w:rPr>
            </w:pPr>
            <w:r>
              <w:rPr>
                <w:rFonts w:ascii="Arial" w:cs="Arial" w:eastAsia="Arial" w:hAnsi="Arial"/>
                <w:sz w:val="18"/>
                <w:szCs w:val="18"/>
                <w:color w:val="auto"/>
              </w:rPr>
              <w:t>Customers and other receivables</w:t>
            </w:r>
          </w:p>
        </w:tc>
        <w:tc>
          <w:tcPr>
            <w:tcW w:w="6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r>
      <w:tr>
        <w:trPr>
          <w:trHeight w:val="243"/>
        </w:trPr>
        <w:tc>
          <w:tcPr>
            <w:tcW w:w="9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Investments (a)</w:t>
            </w:r>
          </w:p>
        </w:tc>
        <w:tc>
          <w:tcPr>
            <w:tcW w:w="6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97,474</w:t>
            </w:r>
          </w:p>
        </w:tc>
        <w:tc>
          <w:tcPr>
            <w:tcW w:w="120" w:type="dxa"/>
            <w:vAlign w:val="bottom"/>
            <w:shd w:val="clear" w:color="auto" w:fill="CFF0FC"/>
          </w:tcPr>
          <w:p>
            <w:pPr>
              <w:spacing w:after="0"/>
              <w:rPr>
                <w:sz w:val="21"/>
                <w:szCs w:val="21"/>
                <w:color w:val="auto"/>
              </w:rPr>
            </w:pPr>
          </w:p>
        </w:tc>
      </w:tr>
      <w:tr>
        <w:trPr>
          <w:trHeight w:val="243"/>
        </w:trPr>
        <w:tc>
          <w:tcPr>
            <w:tcW w:w="94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assets</w:t>
            </w:r>
          </w:p>
        </w:tc>
        <w:tc>
          <w:tcPr>
            <w:tcW w:w="6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FF0FC"/>
            </w:tcBorders>
          </w:tcPr>
          <w:p>
            <w:pPr>
              <w:spacing w:after="0"/>
              <w:rPr>
                <w:sz w:val="21"/>
                <w:szCs w:val="21"/>
                <w:color w:val="auto"/>
              </w:rPr>
            </w:pPr>
          </w:p>
        </w:tc>
      </w:tr>
      <w:tr>
        <w:trPr>
          <w:trHeight w:val="237"/>
        </w:trPr>
        <w:tc>
          <w:tcPr>
            <w:tcW w:w="9480" w:type="dxa"/>
            <w:vAlign w:val="bottom"/>
            <w:tcBorders>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660" w:type="dxa"/>
            <w:vAlign w:val="bottom"/>
            <w:tcBorders>
              <w:bottom w:val="single" w:sz="8" w:color="auto"/>
            </w:tcBorders>
            <w:shd w:val="clear" w:color="auto" w:fill="CFF0FC"/>
          </w:tcPr>
          <w:p>
            <w:pPr>
              <w:jc w:val="right"/>
              <w:ind w:right="50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101,647</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0"/>
        </w:trPr>
        <w:tc>
          <w:tcPr>
            <w:tcW w:w="176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0"/>
        </w:trPr>
        <w:tc>
          <w:tcPr>
            <w:tcW w:w="176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43"/>
        </w:trPr>
        <w:tc>
          <w:tcPr>
            <w:tcW w:w="94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66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9480" w:type="dxa"/>
            <w:vAlign w:val="bottom"/>
            <w:gridSpan w:val="2"/>
          </w:tcPr>
          <w:p>
            <w:pPr>
              <w:spacing w:after="0"/>
              <w:rPr>
                <w:sz w:val="20"/>
                <w:szCs w:val="20"/>
                <w:color w:val="auto"/>
              </w:rPr>
            </w:pPr>
            <w:r>
              <w:rPr>
                <w:rFonts w:ascii="Arial" w:cs="Arial" w:eastAsia="Arial" w:hAnsi="Arial"/>
                <w:sz w:val="18"/>
                <w:szCs w:val="18"/>
                <w:color w:val="auto"/>
              </w:rPr>
              <w:t>Deposits and other customer payables</w:t>
            </w:r>
          </w:p>
        </w:tc>
        <w:tc>
          <w:tcPr>
            <w:tcW w:w="660" w:type="dxa"/>
            <w:vAlign w:val="bottom"/>
          </w:tcPr>
          <w:p>
            <w:pPr>
              <w:jc w:val="right"/>
              <w:ind w:right="50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r>
      <w:tr>
        <w:trPr>
          <w:trHeight w:val="243"/>
        </w:trPr>
        <w:tc>
          <w:tcPr>
            <w:tcW w:w="9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6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w:t>
            </w:r>
          </w:p>
        </w:tc>
        <w:tc>
          <w:tcPr>
            <w:tcW w:w="120" w:type="dxa"/>
            <w:vAlign w:val="bottom"/>
            <w:shd w:val="clear" w:color="auto" w:fill="CFF0FC"/>
          </w:tcPr>
          <w:p>
            <w:pPr>
              <w:spacing w:after="0"/>
              <w:rPr>
                <w:sz w:val="21"/>
                <w:szCs w:val="21"/>
                <w:color w:val="auto"/>
              </w:rPr>
            </w:pPr>
          </w:p>
        </w:tc>
      </w:tr>
      <w:tr>
        <w:trPr>
          <w:trHeight w:val="237"/>
        </w:trPr>
        <w:tc>
          <w:tcPr>
            <w:tcW w:w="9480" w:type="dxa"/>
            <w:vAlign w:val="bottom"/>
            <w:gridSpan w:val="2"/>
          </w:tcPr>
          <w:p>
            <w:pPr>
              <w:ind w:left="500"/>
              <w:spacing w:after="0"/>
              <w:rPr>
                <w:sz w:val="20"/>
                <w:szCs w:val="20"/>
                <w:color w:val="auto"/>
              </w:rPr>
            </w:pPr>
            <w:r>
              <w:rPr>
                <w:rFonts w:ascii="Arial" w:cs="Arial" w:eastAsia="Arial" w:hAnsi="Arial"/>
                <w:sz w:val="18"/>
                <w:szCs w:val="18"/>
                <w:color w:val="auto"/>
              </w:rPr>
              <w:t>Total Liabilities</w:t>
            </w:r>
          </w:p>
        </w:tc>
        <w:tc>
          <w:tcPr>
            <w:tcW w:w="660" w:type="dxa"/>
            <w:vAlign w:val="bottom"/>
            <w:tcBorders>
              <w:bottom w:val="single" w:sz="8" w:color="auto"/>
            </w:tcBorders>
          </w:tcPr>
          <w:p>
            <w:pPr>
              <w:jc w:val="right"/>
              <w:ind w:right="50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20"/>
                <w:szCs w:val="20"/>
                <w:color w:val="auto"/>
              </w:rPr>
            </w:pPr>
          </w:p>
        </w:tc>
      </w:tr>
      <w:tr>
        <w:trPr>
          <w:trHeight w:val="20"/>
        </w:trPr>
        <w:tc>
          <w:tcPr>
            <w:tcW w:w="176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7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r>
    </w:tbl>
    <w:p>
      <w:pPr>
        <w:spacing w:after="0" w:line="26" w:lineRule="exact"/>
        <w:rPr>
          <w:sz w:val="20"/>
          <w:szCs w:val="20"/>
          <w:color w:val="auto"/>
        </w:rPr>
      </w:pPr>
    </w:p>
    <w:p>
      <w:pPr>
        <w:ind w:left="600" w:hanging="592"/>
        <w:spacing w:after="0"/>
        <w:tabs>
          <w:tab w:leader="none" w:pos="600" w:val="left"/>
        </w:tabs>
        <w:numPr>
          <w:ilvl w:val="0"/>
          <w:numId w:val="96"/>
        </w:numPr>
        <w:rPr>
          <w:rFonts w:ascii="Arial" w:cs="Arial" w:eastAsia="Arial" w:hAnsi="Arial"/>
          <w:sz w:val="16"/>
          <w:szCs w:val="16"/>
          <w:color w:val="auto"/>
        </w:rPr>
      </w:pPr>
      <w:r>
        <w:rPr>
          <w:rFonts w:ascii="Arial" w:cs="Arial" w:eastAsia="Arial" w:hAnsi="Arial"/>
          <w:sz w:val="18"/>
          <w:szCs w:val="18"/>
          <w:color w:val="auto"/>
        </w:rPr>
        <w:t>Includes $83,036 of LFI held by Lazard Group which is eliminated in the consolidated statements of financial condition</w:t>
      </w:r>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SUPPLEMENTAL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RESULTS (UNAUDITED)</w:t>
      </w:r>
    </w:p>
    <w:p>
      <w:pPr>
        <w:spacing w:after="0" w:line="117" w:lineRule="exact"/>
        <w:rPr>
          <w:sz w:val="20"/>
          <w:szCs w:val="20"/>
          <w:color w:val="auto"/>
        </w:rPr>
      </w:pPr>
    </w:p>
    <w:p>
      <w:pPr>
        <w:jc w:val="both"/>
        <w:ind w:right="180" w:firstLine="598"/>
        <w:spacing w:after="0" w:line="264" w:lineRule="auto"/>
        <w:rPr>
          <w:sz w:val="20"/>
          <w:szCs w:val="20"/>
          <w:color w:val="auto"/>
        </w:rPr>
      </w:pPr>
      <w:r>
        <w:rPr>
          <w:rFonts w:ascii="Arial" w:cs="Arial" w:eastAsia="Arial" w:hAnsi="Arial"/>
          <w:sz w:val="18"/>
          <w:szCs w:val="18"/>
          <w:color w:val="auto"/>
        </w:rPr>
        <w:t>The following represents the Company’s unaudited quarterly results for the years ended December 31, 2019 and 2018. These quarterly results were prepared in conformity with generally accepted accounting principles and reflect all adjustments that are, in the opinion of management, necessary for a fair statement of the results. These adjustments are of a normal recurring nature.</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2019 Fiscal Quarter</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rPr>
              <w:t>First</w:t>
            </w: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Second</w:t>
            </w: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center"/>
              <w:ind w:right="440"/>
              <w:spacing w:after="0" w:line="155" w:lineRule="exact"/>
              <w:rPr>
                <w:sz w:val="20"/>
                <w:szCs w:val="20"/>
                <w:color w:val="auto"/>
              </w:rPr>
            </w:pPr>
            <w:r>
              <w:rPr>
                <w:rFonts w:ascii="Arial" w:cs="Arial" w:eastAsia="Arial" w:hAnsi="Arial"/>
                <w:sz w:val="14"/>
                <w:szCs w:val="14"/>
                <w:b w:val="1"/>
                <w:bCs w:val="1"/>
                <w:color w:val="auto"/>
              </w:rPr>
              <w:t>Third</w:t>
            </w: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Fourth</w:t>
            </w: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8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626,002</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628,150</w:t>
            </w:r>
          </w:p>
        </w:tc>
        <w:tc>
          <w:tcPr>
            <w:tcW w:w="44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588,018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720,523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2,562,693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517,139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520,537</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535,200</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589,623</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2,162,499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108,863</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107,613</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52,818</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130,900</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400,194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92,875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90,337</w:t>
            </w:r>
          </w:p>
        </w:tc>
        <w:tc>
          <w:tcPr>
            <w:tcW w:w="240" w:type="dxa"/>
            <w:vAlign w:val="bottom"/>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43,385</w:t>
            </w: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106,999</w:t>
            </w: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333,596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Less - net income attributable to</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noncontrolling interests</w:t>
            </w: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7,736</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1,492</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2,554</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11,216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Net income attributable to Lazard Group</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93,441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82,601</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41,893</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104,445</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322,380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2018 Fiscal Quarter</w:t>
            </w: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rPr>
              <w:t>First</w:t>
            </w: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Second</w:t>
            </w: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center"/>
              <w:ind w:right="440"/>
              <w:spacing w:after="0" w:line="155" w:lineRule="exact"/>
              <w:rPr>
                <w:sz w:val="20"/>
                <w:szCs w:val="20"/>
                <w:color w:val="auto"/>
              </w:rPr>
            </w:pPr>
            <w:r>
              <w:rPr>
                <w:rFonts w:ascii="Arial" w:cs="Arial" w:eastAsia="Arial" w:hAnsi="Arial"/>
                <w:sz w:val="14"/>
                <w:szCs w:val="14"/>
                <w:b w:val="1"/>
                <w:bCs w:val="1"/>
                <w:color w:val="auto"/>
              </w:rPr>
              <w:t>Third</w:t>
            </w: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Fourth</w:t>
            </w: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8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753,261</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754,639</w:t>
            </w:r>
          </w:p>
        </w:tc>
        <w:tc>
          <w:tcPr>
            <w:tcW w:w="44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625,012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683,949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2,816,861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566,309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562,825</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490,280</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538,164</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2,157,578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186,952</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191,814</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134,732</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145,785</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659,283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168,337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160,369</w:t>
            </w:r>
          </w:p>
        </w:tc>
        <w:tc>
          <w:tcPr>
            <w:tcW w:w="240" w:type="dxa"/>
            <w:vAlign w:val="bottom"/>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109,339</w:t>
            </w: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132,875</w:t>
            </w: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570,920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Less - net income attributable to</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1,969</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1,416</w:t>
            </w:r>
          </w:p>
        </w:tc>
        <w:tc>
          <w:tcPr>
            <w:tcW w:w="24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1,652</w:t>
            </w:r>
          </w:p>
        </w:tc>
        <w:tc>
          <w:tcPr>
            <w:tcW w:w="22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w:t>
            </w:r>
          </w:p>
        </w:tc>
        <w:tc>
          <w:tcPr>
            <w:tcW w:w="22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Net income attributable to Lazard Group</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166,368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158,953</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107,687</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132,589</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565,597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There were no changes in or disagreements with accountants on accounting and financial disclosure during the last two fiscal years.</w:t>
      </w:r>
    </w:p>
    <w:p>
      <w:pPr>
        <w:spacing w:after="0" w:line="200" w:lineRule="exact"/>
        <w:rPr>
          <w:sz w:val="20"/>
          <w:szCs w:val="20"/>
          <w:color w:val="auto"/>
        </w:rPr>
      </w:pPr>
    </w:p>
    <w:p>
      <w:pPr>
        <w:spacing w:after="0" w:line="210"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ind w:right="120" w:firstLine="598"/>
        <w:spacing w:after="0" w:line="272" w:lineRule="auto"/>
        <w:rPr>
          <w:sz w:val="20"/>
          <w:szCs w:val="20"/>
          <w:color w:val="auto"/>
        </w:rPr>
      </w:pPr>
      <w:r>
        <w:rPr>
          <w:rFonts w:ascii="Arial" w:cs="Arial" w:eastAsia="Arial" w:hAnsi="Arial"/>
          <w:sz w:val="17"/>
          <w:szCs w:val="17"/>
          <w:color w:val="auto"/>
        </w:rPr>
        <w:t>Our management, including our Chief Executive Officer and Chief Financial Officer, evaluated the effectiveness of our disclosure controls and procedures pursuant to Rule 13a-15 under the Exchange Act as of the end of the period covered by this Annual Report on Form 10-K. Based on that evaluation, our Chief Executive Officer and Chief Financial Officer have concluded that, as of the end of the period covered by this Annual Report on Form 10-K,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78" w:lineRule="exact"/>
        <w:rPr>
          <w:sz w:val="20"/>
          <w:szCs w:val="20"/>
          <w:color w:val="auto"/>
        </w:rPr>
      </w:pPr>
    </w:p>
    <w:p>
      <w:pPr>
        <w:ind w:right="400" w:firstLine="598"/>
        <w:spacing w:after="0" w:line="308" w:lineRule="auto"/>
        <w:rPr>
          <w:sz w:val="20"/>
          <w:szCs w:val="20"/>
          <w:color w:val="auto"/>
        </w:rPr>
      </w:pPr>
      <w:r>
        <w:rPr>
          <w:rFonts w:ascii="Arial" w:cs="Arial" w:eastAsia="Arial" w:hAnsi="Arial"/>
          <w:sz w:val="17"/>
          <w:szCs w:val="17"/>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9" w:name="page130"/>
    <w:bookmarkEnd w:id="129"/>
    <w:p>
      <w:pPr>
        <w:ind w:firstLine="598"/>
        <w:spacing w:after="0" w:line="264" w:lineRule="auto"/>
        <w:rPr>
          <w:sz w:val="20"/>
          <w:szCs w:val="20"/>
          <w:color w:val="auto"/>
        </w:rPr>
      </w:pPr>
      <w:r>
        <w:rPr>
          <w:rFonts w:ascii="Arial" w:cs="Arial" w:eastAsia="Arial" w:hAnsi="Arial"/>
          <w:sz w:val="18"/>
          <w:szCs w:val="18"/>
          <w:color w:val="auto"/>
        </w:rPr>
        <w:t>Management’s Report on Internal Control Over Financial Reporting (as defined in Rules 13a-15(f) and 15d-15(f) of the Exchange Act), and the related report of our independent registered public accounting firm, are set forth in Part II, Item 8 of this Annual Report on Form 10-K and are incorporated herein by reference.</w:t>
      </w:r>
    </w:p>
    <w:p>
      <w:pPr>
        <w:spacing w:after="0" w:line="36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3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20"/>
          </w:cols>
          <w:pgMar w:left="240" w:top="679" w:right="439" w:bottom="1440" w:gutter="0" w:footer="0" w:header="0"/>
        </w:sectPr>
      </w:pPr>
    </w:p>
    <w:bookmarkStart w:id="130" w:name="page131"/>
    <w:bookmarkEnd w:id="130"/>
    <w:p>
      <w:pPr>
        <w:ind w:left="5360"/>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Registrant meets the conditions set forth in General Instruction (I)(l)(a) and (b) of Form 10-K and has omitted the information called for by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Item.</w:t>
      </w:r>
    </w:p>
    <w:p>
      <w:pPr>
        <w:spacing w:after="0" w:line="39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Registrant meets the conditions set forth in General Instruction (I)(l)(a) and (b) of Form 10-K and has omitted the information called for by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Item.</w:t>
      </w:r>
    </w:p>
    <w:p>
      <w:pPr>
        <w:spacing w:after="0" w:line="39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Registrant meets the conditions set forth in General Instruction (I)(l)(a) and (b) of Form 10-K and has omitted the information called for by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Item.</w:t>
      </w:r>
    </w:p>
    <w:p>
      <w:pPr>
        <w:spacing w:after="0" w:line="39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Registrant meets the conditions set forth in General Instruction (I)(l)(a) and (b) of Form 10-K and has omitted the information called for by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Item.</w:t>
      </w:r>
    </w:p>
    <w:p>
      <w:pPr>
        <w:spacing w:after="0" w:line="193"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21" w:lineRule="exact"/>
        <w:rPr>
          <w:sz w:val="20"/>
          <w:szCs w:val="20"/>
          <w:color w:val="auto"/>
        </w:rPr>
      </w:pPr>
    </w:p>
    <w:p>
      <w:pPr>
        <w:ind w:right="140" w:firstLine="598"/>
        <w:spacing w:after="0" w:line="277" w:lineRule="auto"/>
        <w:rPr>
          <w:sz w:val="20"/>
          <w:szCs w:val="20"/>
          <w:color w:val="auto"/>
        </w:rPr>
      </w:pPr>
      <w:r>
        <w:rPr>
          <w:rFonts w:ascii="Arial" w:cs="Arial" w:eastAsia="Arial" w:hAnsi="Arial"/>
          <w:sz w:val="18"/>
          <w:szCs w:val="18"/>
          <w:color w:val="auto"/>
        </w:rPr>
        <w:t>For the fiscal years ended December 31, 2019 and 2018, fees for services provided by Deloitte &amp; Touche LLP, the member firms of Deloitte Touche Tohmatsu and their respective affiliates were as follows (in thousands of dollars):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3"/>
              </w:rPr>
              <w:t>Fees</w:t>
            </w:r>
          </w:p>
        </w:tc>
        <w:tc>
          <w:tcPr>
            <w:tcW w:w="7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3"/>
              </w:rPr>
              <w:t>2019</w:t>
            </w:r>
          </w:p>
        </w:tc>
        <w:tc>
          <w:tcPr>
            <w:tcW w:w="42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80" w:type="dxa"/>
            <w:vAlign w:val="bottom"/>
            <w:gridSpan w:val="2"/>
            <w:shd w:val="clear" w:color="auto" w:fill="CFF0FC"/>
          </w:tcPr>
          <w:p>
            <w:pPr>
              <w:spacing w:after="0" w:line="195" w:lineRule="exact"/>
              <w:rPr>
                <w:sz w:val="20"/>
                <w:szCs w:val="20"/>
                <w:color w:val="auto"/>
              </w:rPr>
            </w:pPr>
            <w:r>
              <w:rPr>
                <w:rFonts w:ascii="Arial" w:cs="Arial" w:eastAsia="Arial" w:hAnsi="Arial"/>
                <w:sz w:val="18"/>
                <w:szCs w:val="18"/>
                <w:b w:val="1"/>
                <w:bCs w:val="1"/>
                <w:color w:val="auto"/>
              </w:rPr>
              <w:t xml:space="preserve">Audit Fees </w:t>
            </w:r>
            <w:r>
              <w:rPr>
                <w:rFonts w:ascii="Arial" w:cs="Arial" w:eastAsia="Arial" w:hAnsi="Arial"/>
                <w:sz w:val="18"/>
                <w:szCs w:val="18"/>
                <w:color w:val="auto"/>
              </w:rPr>
              <w:t>for the audit of the Company's annual financial statements, the audit of the</w:t>
            </w:r>
          </w:p>
        </w:tc>
        <w:tc>
          <w:tcPr>
            <w:tcW w:w="1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effectiveness of the Company's internal controls over financial reporting and reviews</w:t>
            </w:r>
          </w:p>
        </w:tc>
        <w:tc>
          <w:tcPr>
            <w:tcW w:w="1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of the financial statements included in the Company's quarterly reports Form 10-Q,</w:t>
            </w:r>
          </w:p>
        </w:tc>
        <w:tc>
          <w:tcPr>
            <w:tcW w:w="1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including services in connection with statutory and regulatory filings or</w:t>
            </w:r>
          </w:p>
        </w:tc>
        <w:tc>
          <w:tcPr>
            <w:tcW w:w="1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4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engagements</w:t>
            </w:r>
          </w:p>
        </w:tc>
        <w:tc>
          <w:tcPr>
            <w:tcW w:w="166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8,769</w:t>
            </w:r>
          </w:p>
        </w:tc>
        <w:tc>
          <w:tcPr>
            <w:tcW w:w="4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8,371</w:t>
            </w:r>
          </w:p>
        </w:tc>
      </w:tr>
      <w:tr>
        <w:trPr>
          <w:trHeight w:val="215"/>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Audit-Related Fees, </w:t>
            </w:r>
            <w:r>
              <w:rPr>
                <w:rFonts w:ascii="Arial" w:cs="Arial" w:eastAsia="Arial" w:hAnsi="Arial"/>
                <w:sz w:val="18"/>
                <w:szCs w:val="18"/>
                <w:color w:val="auto"/>
              </w:rPr>
              <w:t>including fees for audits of employee benefit plans, computer</w:t>
            </w: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ind w:left="120"/>
              <w:spacing w:after="0"/>
              <w:rPr>
                <w:sz w:val="20"/>
                <w:szCs w:val="20"/>
                <w:color w:val="auto"/>
              </w:rPr>
            </w:pPr>
            <w:r>
              <w:rPr>
                <w:rFonts w:ascii="Arial" w:cs="Arial" w:eastAsia="Arial" w:hAnsi="Arial"/>
                <w:sz w:val="18"/>
                <w:szCs w:val="18"/>
                <w:color w:val="auto"/>
              </w:rPr>
              <w:t>and control-related attest services, agreed upon procedures, regulatory and</w:t>
            </w: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480" w:type="dxa"/>
            <w:vAlign w:val="bottom"/>
            <w:gridSpan w:val="2"/>
          </w:tcPr>
          <w:p>
            <w:pPr>
              <w:ind w:left="120"/>
              <w:spacing w:after="0"/>
              <w:rPr>
                <w:sz w:val="20"/>
                <w:szCs w:val="20"/>
                <w:color w:val="auto"/>
              </w:rPr>
            </w:pPr>
            <w:r>
              <w:rPr>
                <w:rFonts w:ascii="Arial" w:cs="Arial" w:eastAsia="Arial" w:hAnsi="Arial"/>
                <w:sz w:val="18"/>
                <w:szCs w:val="18"/>
                <w:color w:val="auto"/>
              </w:rPr>
              <w:t>compliance reviews, fund audits and other accounting research services</w:t>
            </w: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1,392</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1,398</w:t>
            </w:r>
          </w:p>
        </w:tc>
      </w:tr>
      <w:tr>
        <w:trPr>
          <w:trHeight w:val="230"/>
        </w:trPr>
        <w:tc>
          <w:tcPr>
            <w:tcW w:w="20" w:type="dxa"/>
            <w:vAlign w:val="bottom"/>
          </w:tcPr>
          <w:p>
            <w:pPr>
              <w:spacing w:after="0"/>
              <w:rPr>
                <w:sz w:val="19"/>
                <w:szCs w:val="19"/>
                <w:color w:val="auto"/>
              </w:rPr>
            </w:pPr>
          </w:p>
        </w:tc>
        <w:tc>
          <w:tcPr>
            <w:tcW w:w="74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 xml:space="preserve">Tax Fees </w:t>
            </w:r>
            <w:r>
              <w:rPr>
                <w:rFonts w:ascii="Arial" w:cs="Arial" w:eastAsia="Arial" w:hAnsi="Arial"/>
                <w:sz w:val="18"/>
                <w:szCs w:val="18"/>
                <w:color w:val="auto"/>
              </w:rPr>
              <w:t>for tax advisory and compliance services not related to the audit</w:t>
            </w:r>
          </w:p>
        </w:tc>
        <w:tc>
          <w:tcPr>
            <w:tcW w:w="166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403</w:t>
            </w:r>
          </w:p>
        </w:tc>
        <w:tc>
          <w:tcPr>
            <w:tcW w:w="4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431</w:t>
            </w:r>
          </w:p>
        </w:tc>
      </w:tr>
      <w:tr>
        <w:trPr>
          <w:trHeight w:val="234"/>
        </w:trPr>
        <w:tc>
          <w:tcPr>
            <w:tcW w:w="20" w:type="dxa"/>
            <w:vAlign w:val="bottom"/>
          </w:tcPr>
          <w:p>
            <w:pPr>
              <w:spacing w:after="0"/>
              <w:rPr>
                <w:sz w:val="20"/>
                <w:szCs w:val="20"/>
                <w:color w:val="auto"/>
              </w:rPr>
            </w:pPr>
          </w:p>
        </w:tc>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All Other Fees(1)</w:t>
            </w:r>
          </w:p>
        </w:tc>
        <w:tc>
          <w:tcPr>
            <w:tcW w:w="1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13</w:t>
            </w:r>
          </w:p>
        </w:tc>
      </w:tr>
    </w:tbl>
    <w:p>
      <w:pPr>
        <w:spacing w:after="0" w:line="197" w:lineRule="exact"/>
        <w:rPr>
          <w:sz w:val="20"/>
          <w:szCs w:val="20"/>
          <w:color w:val="auto"/>
        </w:rPr>
      </w:pPr>
    </w:p>
    <w:p>
      <w:pPr>
        <w:ind w:right="260" w:firstLine="8"/>
        <w:spacing w:after="0" w:line="277" w:lineRule="auto"/>
        <w:tabs>
          <w:tab w:leader="none" w:pos="2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Includes fees for subscriptions, training and operational assessment services that were provided to the Company by affiliates of Deloitte &amp; Touche LLP that were unrelated to the audit, audit-related and tax services described above.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31" w:name="page132"/>
    <w:bookmarkEnd w:id="131"/>
    <w:p>
      <w:pPr>
        <w:ind w:firstLine="563"/>
        <w:spacing w:after="0" w:line="269" w:lineRule="auto"/>
        <w:rPr>
          <w:sz w:val="20"/>
          <w:szCs w:val="20"/>
          <w:color w:val="auto"/>
        </w:rPr>
      </w:pPr>
      <w:r>
        <w:rPr>
          <w:rFonts w:ascii="Arial" w:cs="Arial" w:eastAsia="Arial" w:hAnsi="Arial"/>
          <w:sz w:val="17"/>
          <w:szCs w:val="17"/>
          <w:color w:val="auto"/>
        </w:rPr>
        <w:t>The Audit Committee of the Board of Directors of Lazard Ltd (the “Audit Committee”) has adopted a policy regarding pre-approval of audit and non-audit services provided by Deloitte &amp; Touche LLP to the Company and its subsidiaries. The policy provides the guidelines necessary to adhere to Lazard’s commitment to auditor independence and compliance with relevant laws, regulations and guidelines relating to auditor independence. The policy sets forth four categories of permitted services (Audit, Audit-Related, Tax and Other), listing the types of permitted services in each category. All of the permitted services require pre-approval by the Audit Committee. In lieu of Audit Committee pre-approval on an engagement-by-engagement basis, each category of permitted services, with reasonable detail as to the types of services contemplated, is pre-approved as part of the annual budget approval by the Audit Committee. Permitted services not contemplated during the budget process must be presented to the Audit Committee for approval prior to the commencement of the relevant engagement. The Audit Committee chair, or, if he is not available, any other member of the Audit Committee, may grant approval for any such engagement if approval is required prior to the next scheduled meeting of the Audit Committee. All of the fees paid to Deloitte &amp; Touche LLP in 2019 were pre-approved in accordance with these procedures, and there were no services for which the de minimus exception permitted in certain circumstances under SEC rules was utilized.</w:t>
      </w: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625" w:right="27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17" w:lineRule="exact"/>
        <w:rPr>
          <w:sz w:val="20"/>
          <w:szCs w:val="20"/>
          <w:color w:val="auto"/>
        </w:rPr>
      </w:pPr>
    </w:p>
    <w:p>
      <w:pPr>
        <w:ind w:left="600" w:hanging="592"/>
        <w:spacing w:after="0"/>
        <w:tabs>
          <w:tab w:leader="none" w:pos="60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filed as part of this Report:</w:t>
      </w:r>
    </w:p>
    <w:p>
      <w:pPr>
        <w:spacing w:after="0" w:line="117" w:lineRule="exact"/>
        <w:rPr>
          <w:rFonts w:ascii="Arial" w:cs="Arial" w:eastAsia="Arial" w:hAnsi="Arial"/>
          <w:sz w:val="18"/>
          <w:szCs w:val="18"/>
          <w:b w:val="1"/>
          <w:bCs w:val="1"/>
          <w:color w:val="auto"/>
        </w:rPr>
      </w:pPr>
    </w:p>
    <w:p>
      <w:pPr>
        <w:ind w:left="1200" w:hanging="598"/>
        <w:spacing w:after="0"/>
        <w:tabs>
          <w:tab w:leader="none" w:pos="1200" w:val="left"/>
        </w:tabs>
        <w:numPr>
          <w:ilvl w:val="1"/>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Financial Statements</w:t>
      </w:r>
    </w:p>
    <w:p>
      <w:pPr>
        <w:spacing w:after="0" w:line="121" w:lineRule="exact"/>
        <w:rPr>
          <w:rFonts w:ascii="Arial" w:cs="Arial" w:eastAsia="Arial" w:hAnsi="Arial"/>
          <w:sz w:val="18"/>
          <w:szCs w:val="18"/>
          <w:b w:val="1"/>
          <w:bCs w:val="1"/>
          <w:color w:val="auto"/>
        </w:rPr>
      </w:pPr>
    </w:p>
    <w:p>
      <w:pPr>
        <w:ind w:left="1200"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required to be filed in the Annual Report on Form 10-K are listed on page F-1 hereof and in Part II, Item 8 hereof.</w:t>
      </w:r>
    </w:p>
    <w:p>
      <w:pPr>
        <w:spacing w:after="0" w:line="166" w:lineRule="exact"/>
        <w:rPr>
          <w:rFonts w:ascii="Arial" w:cs="Arial" w:eastAsia="Arial" w:hAnsi="Arial"/>
          <w:sz w:val="18"/>
          <w:szCs w:val="18"/>
          <w:b w:val="1"/>
          <w:bCs w:val="1"/>
          <w:color w:val="auto"/>
        </w:rPr>
      </w:pPr>
    </w:p>
    <w:p>
      <w:pPr>
        <w:ind w:left="1200" w:hanging="598"/>
        <w:spacing w:after="0"/>
        <w:tabs>
          <w:tab w:leader="none" w:pos="1200" w:val="left"/>
        </w:tabs>
        <w:numPr>
          <w:ilvl w:val="1"/>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w:t>
      </w:r>
    </w:p>
    <w:p>
      <w:pPr>
        <w:spacing w:after="0" w:line="121" w:lineRule="exact"/>
        <w:rPr>
          <w:rFonts w:ascii="Arial" w:cs="Arial" w:eastAsia="Arial" w:hAnsi="Arial"/>
          <w:sz w:val="18"/>
          <w:szCs w:val="18"/>
          <w:b w:val="1"/>
          <w:bCs w:val="1"/>
          <w:color w:val="auto"/>
        </w:rPr>
      </w:pPr>
    </w:p>
    <w:p>
      <w:pPr>
        <w:jc w:val="both"/>
        <w:ind w:left="12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financial statement schedule required in the Annual Report on Form 10-K is listed on page F-1 hereof. The required schedule appears on pages F-2 through F-6 hereof. All other schedules have been omitted because they are not applicable, not required or the information required is included in the Company’s consolidated financial statements or notes thereto.</w:t>
      </w:r>
    </w:p>
    <w:p>
      <w:pPr>
        <w:spacing w:after="0" w:line="285" w:lineRule="exact"/>
        <w:rPr>
          <w:rFonts w:ascii="Arial" w:cs="Arial" w:eastAsia="Arial" w:hAnsi="Arial"/>
          <w:sz w:val="18"/>
          <w:szCs w:val="18"/>
          <w:b w:val="1"/>
          <w:bCs w:val="1"/>
          <w:color w:val="auto"/>
        </w:rPr>
      </w:pPr>
    </w:p>
    <w:p>
      <w:pPr>
        <w:ind w:left="1200" w:hanging="598"/>
        <w:spacing w:after="0"/>
        <w:tabs>
          <w:tab w:leader="none" w:pos="1200" w:val="left"/>
        </w:tabs>
        <w:numPr>
          <w:ilvl w:val="1"/>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jc w:val="right"/>
              <w:ind w:right="750"/>
              <w:spacing w:after="0"/>
              <w:rPr>
                <w:sz w:val="20"/>
                <w:szCs w:val="20"/>
                <w:color w:val="auto"/>
              </w:rPr>
            </w:pPr>
            <w:r>
              <w:rPr>
                <w:rFonts w:ascii="Arial" w:cs="Arial" w:eastAsia="Arial" w:hAnsi="Arial"/>
                <w:sz w:val="18"/>
                <w:szCs w:val="18"/>
                <w:color w:val="auto"/>
              </w:rPr>
              <w:t>3.1</w:t>
            </w:r>
          </w:p>
        </w:tc>
        <w:tc>
          <w:tcPr>
            <w:tcW w:w="10100" w:type="dxa"/>
            <w:vAlign w:val="bottom"/>
            <w:tcBorders>
              <w:bottom w:val="single" w:sz="8" w:color="0000EE"/>
            </w:tcBorders>
            <w:gridSpan w:val="26"/>
          </w:tcPr>
          <w:p>
            <w:pPr>
              <w:spacing w:after="0"/>
              <w:rPr>
                <w:rFonts w:ascii="Arial" w:cs="Arial" w:eastAsia="Arial" w:hAnsi="Arial"/>
                <w:sz w:val="18"/>
                <w:szCs w:val="18"/>
                <w:color w:val="0000EE"/>
                <w:w w:val="91"/>
              </w:rPr>
            </w:pPr>
            <w:hyperlink r:id="rId174">
              <w:r>
                <w:rPr>
                  <w:rFonts w:ascii="Arial" w:cs="Arial" w:eastAsia="Arial" w:hAnsi="Arial"/>
                  <w:sz w:val="18"/>
                  <w:szCs w:val="18"/>
                  <w:color w:val="0000EE"/>
                  <w:w w:val="91"/>
                </w:rPr>
                <w:t>Certificate of Formation of the Registrant (incorporated by reference to Exhibit 3.1 to the Registrant’s Registration Statement (File No. 333-</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0160" w:type="dxa"/>
            <w:vAlign w:val="bottom"/>
            <w:gridSpan w:val="28"/>
          </w:tcPr>
          <w:p>
            <w:pPr>
              <w:spacing w:after="0" w:line="196" w:lineRule="exact"/>
              <w:rPr>
                <w:rFonts w:ascii="Arial" w:cs="Arial" w:eastAsia="Arial" w:hAnsi="Arial"/>
                <w:sz w:val="18"/>
                <w:szCs w:val="18"/>
                <w:color w:val="0000EE"/>
              </w:rPr>
            </w:pPr>
            <w:hyperlink r:id="rId174">
              <w:r>
                <w:rPr>
                  <w:rFonts w:ascii="Arial" w:cs="Arial" w:eastAsia="Arial" w:hAnsi="Arial"/>
                  <w:sz w:val="18"/>
                  <w:szCs w:val="18"/>
                  <w:color w:val="0000EE"/>
                </w:rPr>
                <w:t>126751) on Form S-4 filed on July 21, 2005).</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60" w:type="dxa"/>
            <w:vAlign w:val="bottom"/>
          </w:tcPr>
          <w:p>
            <w:pPr>
              <w:jc w:val="right"/>
              <w:ind w:right="750"/>
              <w:spacing w:after="0"/>
              <w:rPr>
                <w:sz w:val="20"/>
                <w:szCs w:val="20"/>
                <w:color w:val="auto"/>
              </w:rPr>
            </w:pPr>
            <w:r>
              <w:rPr>
                <w:rFonts w:ascii="Arial" w:cs="Arial" w:eastAsia="Arial" w:hAnsi="Arial"/>
                <w:sz w:val="18"/>
                <w:szCs w:val="18"/>
                <w:color w:val="auto"/>
              </w:rPr>
              <w:t>3.2</w:t>
            </w:r>
          </w:p>
        </w:tc>
        <w:tc>
          <w:tcPr>
            <w:tcW w:w="10080" w:type="dxa"/>
            <w:vAlign w:val="bottom"/>
            <w:tcBorders>
              <w:bottom w:val="single" w:sz="8" w:color="0000EE"/>
            </w:tcBorders>
            <w:gridSpan w:val="25"/>
          </w:tcPr>
          <w:p>
            <w:pPr>
              <w:spacing w:after="0"/>
              <w:rPr>
                <w:rFonts w:ascii="Arial" w:cs="Arial" w:eastAsia="Arial" w:hAnsi="Arial"/>
                <w:sz w:val="18"/>
                <w:szCs w:val="18"/>
                <w:color w:val="0000EE"/>
                <w:w w:val="91"/>
              </w:rPr>
            </w:pPr>
            <w:hyperlink r:id="rId175">
              <w:r>
                <w:rPr>
                  <w:rFonts w:ascii="Arial" w:cs="Arial" w:eastAsia="Arial" w:hAnsi="Arial"/>
                  <w:sz w:val="18"/>
                  <w:szCs w:val="18"/>
                  <w:color w:val="0000EE"/>
                  <w:w w:val="91"/>
                </w:rPr>
                <w:t>Certificate of Amendment of Certificate of Formation of the Registrant, changing name to Lazard Group LLC (incorporated by reference to</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822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75">
              <w:r>
                <w:rPr>
                  <w:rFonts w:ascii="Arial" w:cs="Arial" w:eastAsia="Arial" w:hAnsi="Arial"/>
                  <w:sz w:val="18"/>
                  <w:szCs w:val="18"/>
                  <w:color w:val="0000EE"/>
                  <w:w w:val="91"/>
                </w:rPr>
                <w:t>Exhibit 3.2 to the Registrant’s Registration Statement (File No. 333-126751) on Form S-4 filed on July 21, 2005).</w:t>
              </w:r>
            </w:hyperlink>
          </w:p>
        </w:tc>
        <w:tc>
          <w:tcPr>
            <w:tcW w:w="19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jc w:val="right"/>
              <w:ind w:right="750"/>
              <w:spacing w:after="0"/>
              <w:rPr>
                <w:sz w:val="20"/>
                <w:szCs w:val="20"/>
                <w:color w:val="auto"/>
              </w:rPr>
            </w:pPr>
            <w:r>
              <w:rPr>
                <w:rFonts w:ascii="Arial" w:cs="Arial" w:eastAsia="Arial" w:hAnsi="Arial"/>
                <w:sz w:val="18"/>
                <w:szCs w:val="18"/>
                <w:color w:val="auto"/>
              </w:rPr>
              <w:t>3.3</w:t>
            </w:r>
          </w:p>
        </w:tc>
        <w:tc>
          <w:tcPr>
            <w:tcW w:w="9940" w:type="dxa"/>
            <w:vAlign w:val="bottom"/>
            <w:tcBorders>
              <w:bottom w:val="single" w:sz="8" w:color="0000EE"/>
            </w:tcBorders>
            <w:gridSpan w:val="22"/>
          </w:tcPr>
          <w:p>
            <w:pPr>
              <w:spacing w:after="0"/>
              <w:rPr>
                <w:rFonts w:ascii="Arial" w:cs="Arial" w:eastAsia="Arial" w:hAnsi="Arial"/>
                <w:sz w:val="18"/>
                <w:szCs w:val="18"/>
                <w:color w:val="0000EE"/>
                <w:w w:val="90"/>
              </w:rPr>
            </w:pPr>
            <w:hyperlink r:id="rId176">
              <w:r>
                <w:rPr>
                  <w:rFonts w:ascii="Arial" w:cs="Arial" w:eastAsia="Arial" w:hAnsi="Arial"/>
                  <w:sz w:val="18"/>
                  <w:szCs w:val="18"/>
                  <w:color w:val="0000EE"/>
                  <w:w w:val="90"/>
                </w:rPr>
                <w:t>Amended and Restated Operating Agreement of the Registrant, dated as of February 4, 2019 (incorporated by reference to Exhibit 99.1 to</w:t>
              </w:r>
            </w:hyperlink>
          </w:p>
        </w:tc>
        <w:tc>
          <w:tcPr>
            <w:tcW w:w="2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69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76">
              <w:r>
                <w:rPr>
                  <w:rFonts w:ascii="Arial" w:cs="Arial" w:eastAsia="Arial" w:hAnsi="Arial"/>
                  <w:sz w:val="18"/>
                  <w:szCs w:val="18"/>
                  <w:color w:val="0000EE"/>
                  <w:w w:val="91"/>
                </w:rPr>
                <w:t>the Registrant’s Current Report (File No. 333-126751) on Form 8-K filed on February 5, 2019).</w:t>
              </w:r>
            </w:hyperlink>
          </w:p>
        </w:tc>
        <w:tc>
          <w:tcPr>
            <w:tcW w:w="326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jc w:val="right"/>
              <w:ind w:right="750"/>
              <w:spacing w:after="0"/>
              <w:rPr>
                <w:sz w:val="20"/>
                <w:szCs w:val="20"/>
                <w:color w:val="auto"/>
              </w:rPr>
            </w:pPr>
            <w:r>
              <w:rPr>
                <w:rFonts w:ascii="Arial" w:cs="Arial" w:eastAsia="Arial" w:hAnsi="Arial"/>
                <w:sz w:val="18"/>
                <w:szCs w:val="18"/>
                <w:color w:val="auto"/>
              </w:rPr>
              <w:t>4.1</w:t>
            </w:r>
          </w:p>
        </w:tc>
        <w:tc>
          <w:tcPr>
            <w:tcW w:w="9880" w:type="dxa"/>
            <w:vAlign w:val="bottom"/>
            <w:tcBorders>
              <w:bottom w:val="single" w:sz="8" w:color="0000EE"/>
            </w:tcBorders>
            <w:gridSpan w:val="21"/>
          </w:tcPr>
          <w:p>
            <w:pPr>
              <w:spacing w:after="0"/>
              <w:rPr>
                <w:rFonts w:ascii="Arial" w:cs="Arial" w:eastAsia="Arial" w:hAnsi="Arial"/>
                <w:sz w:val="18"/>
                <w:szCs w:val="18"/>
                <w:color w:val="0000EE"/>
                <w:w w:val="90"/>
              </w:rPr>
            </w:pPr>
            <w:hyperlink r:id="rId177">
              <w:r>
                <w:rPr>
                  <w:rFonts w:ascii="Arial" w:cs="Arial" w:eastAsia="Arial" w:hAnsi="Arial"/>
                  <w:sz w:val="18"/>
                  <w:szCs w:val="18"/>
                  <w:color w:val="0000EE"/>
                  <w:w w:val="90"/>
                </w:rPr>
                <w:t>Indenture, dated as of May 10, 2005, by and between the Registrant and The Bank of New York, as Trustee (incorporated by reference to</w:t>
              </w:r>
            </w:hyperlink>
          </w:p>
        </w:tc>
        <w:tc>
          <w:tcPr>
            <w:tcW w:w="2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820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77">
              <w:r>
                <w:rPr>
                  <w:rFonts w:ascii="Arial" w:cs="Arial" w:eastAsia="Arial" w:hAnsi="Arial"/>
                  <w:sz w:val="18"/>
                  <w:szCs w:val="18"/>
                  <w:color w:val="0000EE"/>
                  <w:w w:val="91"/>
                </w:rPr>
                <w:t>Exhibit 4.1 to the Registrant’s Registration Statement (File No. 333-126751) on Form S-4 filed on July 21, 2005).</w:t>
              </w:r>
            </w:hyperlink>
          </w:p>
        </w:tc>
        <w:tc>
          <w:tcPr>
            <w:tcW w:w="19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jc w:val="right"/>
              <w:ind w:right="750"/>
              <w:spacing w:after="0"/>
              <w:rPr>
                <w:sz w:val="20"/>
                <w:szCs w:val="20"/>
                <w:color w:val="auto"/>
              </w:rPr>
            </w:pPr>
            <w:r>
              <w:rPr>
                <w:rFonts w:ascii="Arial" w:cs="Arial" w:eastAsia="Arial" w:hAnsi="Arial"/>
                <w:sz w:val="18"/>
                <w:szCs w:val="18"/>
                <w:color w:val="auto"/>
              </w:rPr>
              <w:t>4.2</w:t>
            </w:r>
          </w:p>
        </w:tc>
        <w:tc>
          <w:tcPr>
            <w:tcW w:w="9500" w:type="dxa"/>
            <w:vAlign w:val="bottom"/>
            <w:tcBorders>
              <w:bottom w:val="single" w:sz="8" w:color="0000EE"/>
            </w:tcBorders>
            <w:gridSpan w:val="16"/>
          </w:tcPr>
          <w:p>
            <w:pPr>
              <w:spacing w:after="0"/>
              <w:rPr>
                <w:rFonts w:ascii="Arial" w:cs="Arial" w:eastAsia="Arial" w:hAnsi="Arial"/>
                <w:sz w:val="18"/>
                <w:szCs w:val="18"/>
                <w:color w:val="0000EE"/>
                <w:w w:val="90"/>
              </w:rPr>
            </w:pPr>
            <w:hyperlink r:id="rId178">
              <w:r>
                <w:rPr>
                  <w:rFonts w:ascii="Arial" w:cs="Arial" w:eastAsia="Arial" w:hAnsi="Arial"/>
                  <w:sz w:val="18"/>
                  <w:szCs w:val="18"/>
                  <w:color w:val="0000EE"/>
                  <w:w w:val="90"/>
                </w:rPr>
                <w:t>Sixth Supplemental Indenture, dated as of February 13, 2015, between the Registrant and The Bank of New York Mellon, as trustee</w:t>
              </w:r>
            </w:hyperlink>
          </w:p>
        </w:tc>
        <w:tc>
          <w:tcPr>
            <w:tcW w:w="6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0160" w:type="dxa"/>
            <w:vAlign w:val="bottom"/>
            <w:gridSpan w:val="28"/>
          </w:tcPr>
          <w:p>
            <w:pPr>
              <w:spacing w:after="0" w:line="196" w:lineRule="exact"/>
              <w:rPr>
                <w:rFonts w:ascii="Arial" w:cs="Arial" w:eastAsia="Arial" w:hAnsi="Arial"/>
                <w:sz w:val="18"/>
                <w:szCs w:val="18"/>
                <w:color w:val="0000EE"/>
                <w:w w:val="96"/>
              </w:rPr>
            </w:pPr>
            <w:hyperlink r:id="rId178">
              <w:r>
                <w:rPr>
                  <w:rFonts w:ascii="Arial" w:cs="Arial" w:eastAsia="Arial" w:hAnsi="Arial"/>
                  <w:sz w:val="18"/>
                  <w:szCs w:val="18"/>
                  <w:color w:val="0000EE"/>
                  <w:w w:val="96"/>
                </w:rPr>
                <w:t>(incorporated by reference to Exhibit 4.1 of the Registrant’s Current Report on Form 8-K (File No. 333-126751) filed on February 13,</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r:id="rId178">
              <w:r>
                <w:rPr>
                  <w:rFonts w:ascii="Arial" w:cs="Arial" w:eastAsia="Arial" w:hAnsi="Arial"/>
                  <w:sz w:val="18"/>
                  <w:szCs w:val="18"/>
                  <w:color w:val="0000EE"/>
                  <w:w w:val="86"/>
                </w:rPr>
                <w:t>2015).</w:t>
              </w:r>
            </w:hyperlink>
          </w:p>
        </w:tc>
        <w:tc>
          <w:tcPr>
            <w:tcW w:w="26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38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jc w:val="right"/>
              <w:ind w:right="750"/>
              <w:spacing w:after="0"/>
              <w:rPr>
                <w:sz w:val="20"/>
                <w:szCs w:val="20"/>
                <w:color w:val="auto"/>
              </w:rPr>
            </w:pPr>
            <w:r>
              <w:rPr>
                <w:rFonts w:ascii="Arial" w:cs="Arial" w:eastAsia="Arial" w:hAnsi="Arial"/>
                <w:sz w:val="18"/>
                <w:szCs w:val="18"/>
                <w:color w:val="auto"/>
              </w:rPr>
              <w:t>4.3</w:t>
            </w:r>
          </w:p>
        </w:tc>
        <w:tc>
          <w:tcPr>
            <w:tcW w:w="10040" w:type="dxa"/>
            <w:vAlign w:val="bottom"/>
            <w:tcBorders>
              <w:bottom w:val="single" w:sz="8" w:color="0000EE"/>
            </w:tcBorders>
            <w:gridSpan w:val="24"/>
          </w:tcPr>
          <w:p>
            <w:pPr>
              <w:spacing w:after="0"/>
              <w:rPr>
                <w:rFonts w:ascii="Arial" w:cs="Arial" w:eastAsia="Arial" w:hAnsi="Arial"/>
                <w:sz w:val="18"/>
                <w:szCs w:val="18"/>
                <w:color w:val="0000EE"/>
                <w:w w:val="90"/>
              </w:rPr>
            </w:pPr>
            <w:hyperlink r:id="rId179">
              <w:r>
                <w:rPr>
                  <w:rFonts w:ascii="Arial" w:cs="Arial" w:eastAsia="Arial" w:hAnsi="Arial"/>
                  <w:sz w:val="18"/>
                  <w:szCs w:val="18"/>
                  <w:color w:val="0000EE"/>
                  <w:w w:val="90"/>
                </w:rPr>
                <w:t>Seventh Supplemental Indenture, dated as of November 4, 2016, between Lazard Group LLC and the Bank of New York Mellon, as trustee</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0160" w:type="dxa"/>
            <w:vAlign w:val="bottom"/>
            <w:gridSpan w:val="28"/>
          </w:tcPr>
          <w:p>
            <w:pPr>
              <w:spacing w:after="0" w:line="196" w:lineRule="exact"/>
              <w:rPr>
                <w:rFonts w:ascii="Arial" w:cs="Arial" w:eastAsia="Arial" w:hAnsi="Arial"/>
                <w:sz w:val="18"/>
                <w:szCs w:val="18"/>
                <w:color w:val="0000EE"/>
                <w:w w:val="96"/>
              </w:rPr>
            </w:pPr>
            <w:hyperlink r:id="rId179">
              <w:r>
                <w:rPr>
                  <w:rFonts w:ascii="Arial" w:cs="Arial" w:eastAsia="Arial" w:hAnsi="Arial"/>
                  <w:sz w:val="18"/>
                  <w:szCs w:val="18"/>
                  <w:color w:val="0000EE"/>
                  <w:w w:val="96"/>
                </w:rPr>
                <w:t>(incorporated by reference to Exhibit 4.1 of the Registrant’s Current Report on Form 8-K (File No. 333-126751) filed on November 7,</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r:id="rId179">
              <w:r>
                <w:rPr>
                  <w:rFonts w:ascii="Arial" w:cs="Arial" w:eastAsia="Arial" w:hAnsi="Arial"/>
                  <w:sz w:val="18"/>
                  <w:szCs w:val="18"/>
                  <w:color w:val="0000EE"/>
                  <w:w w:val="86"/>
                </w:rPr>
                <w:t>2016).</w:t>
              </w:r>
            </w:hyperlink>
          </w:p>
        </w:tc>
        <w:tc>
          <w:tcPr>
            <w:tcW w:w="26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38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jc w:val="right"/>
              <w:ind w:right="750"/>
              <w:spacing w:after="0"/>
              <w:rPr>
                <w:sz w:val="20"/>
                <w:szCs w:val="20"/>
                <w:color w:val="auto"/>
              </w:rPr>
            </w:pPr>
            <w:r>
              <w:rPr>
                <w:rFonts w:ascii="Arial" w:cs="Arial" w:eastAsia="Arial" w:hAnsi="Arial"/>
                <w:sz w:val="18"/>
                <w:szCs w:val="18"/>
                <w:color w:val="auto"/>
              </w:rPr>
              <w:t>4.4</w:t>
            </w:r>
          </w:p>
        </w:tc>
        <w:tc>
          <w:tcPr>
            <w:tcW w:w="10040" w:type="dxa"/>
            <w:vAlign w:val="bottom"/>
            <w:tcBorders>
              <w:bottom w:val="single" w:sz="8" w:color="0000EE"/>
            </w:tcBorders>
            <w:gridSpan w:val="24"/>
          </w:tcPr>
          <w:p>
            <w:pPr>
              <w:spacing w:after="0"/>
              <w:rPr>
                <w:rFonts w:ascii="Arial" w:cs="Arial" w:eastAsia="Arial" w:hAnsi="Arial"/>
                <w:sz w:val="18"/>
                <w:szCs w:val="18"/>
                <w:color w:val="0000EE"/>
                <w:w w:val="90"/>
              </w:rPr>
            </w:pPr>
            <w:hyperlink r:id="rId180">
              <w:r>
                <w:rPr>
                  <w:rFonts w:ascii="Arial" w:cs="Arial" w:eastAsia="Arial" w:hAnsi="Arial"/>
                  <w:sz w:val="18"/>
                  <w:szCs w:val="18"/>
                  <w:color w:val="0000EE"/>
                  <w:w w:val="90"/>
                </w:rPr>
                <w:t>Eighth Supplemental Indenture, dated as of September 19, 2018, between Lazard Group LLC and the Bank of New York Mellon, as trustee</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0160" w:type="dxa"/>
            <w:vAlign w:val="bottom"/>
            <w:gridSpan w:val="28"/>
          </w:tcPr>
          <w:p>
            <w:pPr>
              <w:spacing w:after="0" w:line="196" w:lineRule="exact"/>
              <w:rPr>
                <w:rFonts w:ascii="Arial" w:cs="Arial" w:eastAsia="Arial" w:hAnsi="Arial"/>
                <w:sz w:val="18"/>
                <w:szCs w:val="18"/>
                <w:color w:val="0000EE"/>
                <w:w w:val="95"/>
              </w:rPr>
            </w:pPr>
            <w:hyperlink r:id="rId180">
              <w:r>
                <w:rPr>
                  <w:rFonts w:ascii="Arial" w:cs="Arial" w:eastAsia="Arial" w:hAnsi="Arial"/>
                  <w:sz w:val="18"/>
                  <w:szCs w:val="18"/>
                  <w:color w:val="0000EE"/>
                  <w:w w:val="95"/>
                </w:rPr>
                <w:t>(incorporated by reference to Exhibit 4.1 to the Registrant’s Current Report on Form 8-K (File No. 333-126751) filed on September 19,</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60" w:type="dxa"/>
            <w:vAlign w:val="bottom"/>
            <w:tcBorders>
              <w:top w:val="single" w:sz="8" w:color="0000EE"/>
            </w:tcBorders>
            <w:gridSpan w:val="2"/>
          </w:tcPr>
          <w:p>
            <w:pPr>
              <w:spacing w:after="0" w:line="196" w:lineRule="exact"/>
              <w:rPr>
                <w:rFonts w:ascii="Arial" w:cs="Arial" w:eastAsia="Arial" w:hAnsi="Arial"/>
                <w:sz w:val="18"/>
                <w:szCs w:val="18"/>
                <w:color w:val="0000EE"/>
                <w:w w:val="86"/>
              </w:rPr>
            </w:pPr>
            <w:hyperlink r:id="rId180">
              <w:r>
                <w:rPr>
                  <w:rFonts w:ascii="Arial" w:cs="Arial" w:eastAsia="Arial" w:hAnsi="Arial"/>
                  <w:sz w:val="18"/>
                  <w:szCs w:val="18"/>
                  <w:color w:val="0000EE"/>
                  <w:w w:val="86"/>
                </w:rPr>
                <w:t>2018</w:t>
              </w:r>
              <w:r>
                <w:rPr>
                  <w:rFonts w:ascii="Arial" w:cs="Arial" w:eastAsia="Arial" w:hAnsi="Arial"/>
                  <w:sz w:val="18"/>
                  <w:szCs w:val="18"/>
                  <w:color w:val="000000"/>
                  <w:w w:val="86"/>
                </w:rPr>
                <w:t>).</w:t>
              </w:r>
            </w:hyperlink>
          </w:p>
        </w:tc>
        <w:tc>
          <w:tcPr>
            <w:tcW w:w="26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38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jc w:val="right"/>
              <w:ind w:right="750"/>
              <w:spacing w:after="0"/>
              <w:rPr>
                <w:sz w:val="20"/>
                <w:szCs w:val="20"/>
                <w:color w:val="auto"/>
              </w:rPr>
            </w:pPr>
            <w:r>
              <w:rPr>
                <w:rFonts w:ascii="Arial" w:cs="Arial" w:eastAsia="Arial" w:hAnsi="Arial"/>
                <w:sz w:val="18"/>
                <w:szCs w:val="18"/>
                <w:color w:val="auto"/>
              </w:rPr>
              <w:t>4.5</w:t>
            </w:r>
          </w:p>
        </w:tc>
        <w:tc>
          <w:tcPr>
            <w:tcW w:w="360" w:type="dxa"/>
            <w:vAlign w:val="bottom"/>
            <w:shd w:val="clear" w:color="auto" w:fill="0000EE"/>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360" w:type="dxa"/>
            <w:vAlign w:val="bottom"/>
            <w:gridSpan w:val="4"/>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60" w:type="dxa"/>
            <w:vAlign w:val="bottom"/>
            <w:vMerge w:val="continue"/>
          </w:tcPr>
          <w:p>
            <w:pPr>
              <w:spacing w:after="0"/>
              <w:rPr>
                <w:sz w:val="24"/>
                <w:szCs w:val="24"/>
                <w:color w:val="auto"/>
              </w:rPr>
            </w:pPr>
          </w:p>
        </w:tc>
        <w:tc>
          <w:tcPr>
            <w:tcW w:w="10160" w:type="dxa"/>
            <w:vAlign w:val="bottom"/>
            <w:gridSpan w:val="28"/>
          </w:tcPr>
          <w:p>
            <w:pPr>
              <w:spacing w:after="0"/>
              <w:rPr>
                <w:rFonts w:ascii="Arial" w:cs="Arial" w:eastAsia="Arial" w:hAnsi="Arial"/>
                <w:sz w:val="18"/>
                <w:szCs w:val="18"/>
                <w:color w:val="0000EE"/>
                <w:w w:val="95"/>
              </w:rPr>
            </w:pPr>
            <w:hyperlink r:id="rId181">
              <w:r>
                <w:rPr>
                  <w:rFonts w:ascii="Arial" w:cs="Arial" w:eastAsia="Arial" w:hAnsi="Arial"/>
                  <w:sz w:val="18"/>
                  <w:szCs w:val="18"/>
                  <w:color w:val="0000EE"/>
                  <w:w w:val="95"/>
                </w:rPr>
                <w:t>Ninth Supplemental Indenture, dated as of March 11, 2019, between Lazard Group LLC and The Bank of New York Mellon, as trustee</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10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360" w:type="dxa"/>
            <w:vAlign w:val="bottom"/>
            <w:gridSpan w:val="4"/>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8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181">
              <w:r>
                <w:rPr>
                  <w:rFonts w:ascii="Arial" w:cs="Arial" w:eastAsia="Arial" w:hAnsi="Arial"/>
                  <w:sz w:val="18"/>
                  <w:szCs w:val="18"/>
                  <w:color w:val="0000EE"/>
                  <w:w w:val="91"/>
                </w:rPr>
                <w:t>(incorporated by reference to Exhibit 4.1 to the Registrant’s Current Report on Form 8-K (File No. 333-126751) filed on March 11, 2019).</w:t>
              </w:r>
            </w:hyperlink>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jc w:val="right"/>
              <w:ind w:right="750"/>
              <w:spacing w:after="0"/>
              <w:rPr>
                <w:sz w:val="20"/>
                <w:szCs w:val="20"/>
                <w:color w:val="auto"/>
              </w:rPr>
            </w:pPr>
            <w:r>
              <w:rPr>
                <w:rFonts w:ascii="Arial" w:cs="Arial" w:eastAsia="Arial" w:hAnsi="Arial"/>
                <w:sz w:val="18"/>
                <w:szCs w:val="18"/>
                <w:color w:val="auto"/>
              </w:rPr>
              <w:t>4.6</w:t>
            </w:r>
          </w:p>
        </w:tc>
        <w:tc>
          <w:tcPr>
            <w:tcW w:w="10160" w:type="dxa"/>
            <w:vAlign w:val="bottom"/>
            <w:gridSpan w:val="28"/>
          </w:tcPr>
          <w:p>
            <w:pPr>
              <w:spacing w:after="0"/>
              <w:rPr>
                <w:rFonts w:ascii="Arial" w:cs="Arial" w:eastAsia="Arial" w:hAnsi="Arial"/>
                <w:sz w:val="18"/>
                <w:szCs w:val="18"/>
                <w:color w:val="auto"/>
              </w:rPr>
            </w:pPr>
            <w:r>
              <w:rPr>
                <w:rFonts w:ascii="Arial" w:cs="Arial" w:eastAsia="Arial" w:hAnsi="Arial"/>
                <w:sz w:val="18"/>
                <w:szCs w:val="18"/>
                <w:color w:val="auto"/>
              </w:rPr>
              <w:t xml:space="preserve">Form of Senior Note (included in Exhibits </w:t>
            </w:r>
            <w:hyperlink r:id="rId178">
              <w:r>
                <w:rPr>
                  <w:rFonts w:ascii="Arial" w:cs="Arial" w:eastAsia="Arial" w:hAnsi="Arial"/>
                  <w:sz w:val="18"/>
                  <w:szCs w:val="18"/>
                  <w:color w:val="0000EE"/>
                </w:rPr>
                <w:t>4.2</w:t>
              </w:r>
            </w:hyperlink>
            <w:r>
              <w:rPr>
                <w:rFonts w:ascii="Arial" w:cs="Arial" w:eastAsia="Arial" w:hAnsi="Arial"/>
                <w:sz w:val="18"/>
                <w:szCs w:val="18"/>
                <w:color w:val="auto"/>
              </w:rPr>
              <w:t xml:space="preserve">, </w:t>
            </w:r>
            <w:hyperlink r:id="rId179">
              <w:r>
                <w:rPr>
                  <w:rFonts w:ascii="Arial" w:cs="Arial" w:eastAsia="Arial" w:hAnsi="Arial"/>
                  <w:sz w:val="18"/>
                  <w:szCs w:val="18"/>
                  <w:color w:val="0000EE"/>
                </w:rPr>
                <w:t>4.3</w:t>
              </w:r>
            </w:hyperlink>
            <w:r>
              <w:rPr>
                <w:rFonts w:ascii="Arial" w:cs="Arial" w:eastAsia="Arial" w:hAnsi="Arial"/>
                <w:sz w:val="18"/>
                <w:szCs w:val="18"/>
                <w:color w:val="auto"/>
              </w:rPr>
              <w:t xml:space="preserve">, </w:t>
            </w:r>
            <w:hyperlink r:id="rId180">
              <w:r>
                <w:rPr>
                  <w:rFonts w:ascii="Arial" w:cs="Arial" w:eastAsia="Arial" w:hAnsi="Arial"/>
                  <w:sz w:val="18"/>
                  <w:szCs w:val="18"/>
                  <w:color w:val="0000EE"/>
                </w:rPr>
                <w:t>4.4</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and </w:t>
            </w:r>
            <w:hyperlink r:id="rId181">
              <w:r>
                <w:rPr>
                  <w:rFonts w:ascii="Arial" w:cs="Arial" w:eastAsia="Arial" w:hAnsi="Arial"/>
                  <w:sz w:val="18"/>
                  <w:szCs w:val="18"/>
                  <w:color w:val="0000EE"/>
                </w:rPr>
                <w:t>4.5</w:t>
              </w:r>
            </w:hyperlink>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360" w:type="dxa"/>
            <w:vAlign w:val="bottom"/>
            <w:gridSpan w:val="4"/>
          </w:tcPr>
          <w:p>
            <w:pPr>
              <w:spacing w:after="0" w:line="20" w:lineRule="exact"/>
              <w:rPr>
                <w:sz w:val="1"/>
                <w:szCs w:val="1"/>
                <w:color w:val="auto"/>
              </w:rPr>
            </w:pPr>
          </w:p>
        </w:tc>
        <w:tc>
          <w:tcPr>
            <w:tcW w:w="126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60" w:type="dxa"/>
            <w:vAlign w:val="bottom"/>
          </w:tcPr>
          <w:p>
            <w:pPr>
              <w:jc w:val="right"/>
              <w:ind w:right="750"/>
              <w:spacing w:after="0"/>
              <w:rPr>
                <w:sz w:val="20"/>
                <w:szCs w:val="20"/>
                <w:color w:val="auto"/>
              </w:rPr>
            </w:pPr>
            <w:r>
              <w:rPr>
                <w:rFonts w:ascii="Arial" w:cs="Arial" w:eastAsia="Arial" w:hAnsi="Arial"/>
                <w:sz w:val="18"/>
                <w:szCs w:val="18"/>
                <w:color w:val="auto"/>
              </w:rPr>
              <w:t>10.1</w:t>
            </w:r>
          </w:p>
        </w:tc>
        <w:tc>
          <w:tcPr>
            <w:tcW w:w="10160" w:type="dxa"/>
            <w:vAlign w:val="bottom"/>
            <w:gridSpan w:val="28"/>
          </w:tcPr>
          <w:p>
            <w:pPr>
              <w:spacing w:after="0"/>
              <w:rPr>
                <w:rFonts w:ascii="Arial" w:cs="Arial" w:eastAsia="Arial" w:hAnsi="Arial"/>
                <w:sz w:val="18"/>
                <w:szCs w:val="18"/>
                <w:color w:val="0000EE"/>
                <w:w w:val="90"/>
              </w:rPr>
            </w:pPr>
            <w:hyperlink r:id="rId182">
              <w:r>
                <w:rPr>
                  <w:rFonts w:ascii="Arial" w:cs="Arial" w:eastAsia="Arial" w:hAnsi="Arial"/>
                  <w:sz w:val="18"/>
                  <w:szCs w:val="18"/>
                  <w:color w:val="0000EE"/>
                  <w:w w:val="90"/>
                </w:rPr>
                <w:t>Lease, dated as of January 27, 1994, by and between Rockefeller Center Properties and Lazard Frères &amp; Co. LLC (incorporated by reference</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014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182">
              <w:r>
                <w:rPr>
                  <w:rFonts w:ascii="Arial" w:cs="Arial" w:eastAsia="Arial" w:hAnsi="Arial"/>
                  <w:sz w:val="18"/>
                  <w:szCs w:val="18"/>
                  <w:color w:val="0000EE"/>
                </w:rPr>
                <w:t>to Exhibit 10.19 to Lazard Ltd’s Registration Statement (File No. 333-121407) on Form S-1/A filed on February 11, 2005).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260" w:type="dxa"/>
            <w:vAlign w:val="bottom"/>
          </w:tcPr>
          <w:p>
            <w:pPr>
              <w:spacing w:after="0"/>
              <w:rPr>
                <w:sz w:val="24"/>
                <w:szCs w:val="24"/>
                <w:color w:val="auto"/>
              </w:rPr>
            </w:pPr>
          </w:p>
        </w:tc>
        <w:tc>
          <w:tcPr>
            <w:tcW w:w="6900" w:type="dxa"/>
            <w:vAlign w:val="bottom"/>
            <w:tcBorders>
              <w:top w:val="single" w:sz="8" w:color="0000EE"/>
            </w:tcBorders>
            <w:gridSpan w:val="12"/>
          </w:tcPr>
          <w:p>
            <w:pPr>
              <w:ind w:left="4320"/>
              <w:spacing w:after="0"/>
              <w:rPr>
                <w:sz w:val="20"/>
                <w:szCs w:val="20"/>
                <w:color w:val="auto"/>
              </w:rPr>
            </w:pPr>
            <w:r>
              <w:rPr>
                <w:rFonts w:ascii="Arial" w:cs="Arial" w:eastAsia="Arial" w:hAnsi="Arial"/>
                <w:sz w:val="18"/>
                <w:szCs w:val="18"/>
                <w:color w:val="auto"/>
              </w:rPr>
              <w:t>131</w:t>
            </w:r>
          </w:p>
        </w:tc>
        <w:tc>
          <w:tcPr>
            <w:tcW w:w="1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07"/>
        </w:trPr>
        <w:tc>
          <w:tcPr>
            <w:tcW w:w="1260" w:type="dxa"/>
            <w:vAlign w:val="bottom"/>
          </w:tcPr>
          <w:p>
            <w:pPr>
              <w:ind w:left="100"/>
              <w:spacing w:after="0"/>
              <w:rPr>
                <w:sz w:val="20"/>
                <w:szCs w:val="20"/>
                <w:color w:val="auto"/>
              </w:rPr>
            </w:pPr>
            <w:r>
              <w:rPr>
                <w:rFonts w:ascii="Arial" w:cs="Arial" w:eastAsia="Arial" w:hAnsi="Arial"/>
                <w:sz w:val="18"/>
                <w:szCs w:val="18"/>
                <w:color w:val="auto"/>
              </w:rPr>
              <w:t>10.2</w:t>
            </w:r>
          </w:p>
        </w:tc>
        <w:tc>
          <w:tcPr>
            <w:tcW w:w="10160" w:type="dxa"/>
            <w:vAlign w:val="bottom"/>
            <w:gridSpan w:val="25"/>
          </w:tcPr>
          <w:p>
            <w:pPr>
              <w:spacing w:after="0"/>
              <w:rPr>
                <w:rFonts w:ascii="Arial" w:cs="Arial" w:eastAsia="Arial" w:hAnsi="Arial"/>
                <w:sz w:val="18"/>
                <w:szCs w:val="18"/>
                <w:color w:val="0000EE"/>
                <w:w w:val="96"/>
              </w:rPr>
            </w:pPr>
            <w:hyperlink r:id="rId185">
              <w:r>
                <w:rPr>
                  <w:rFonts w:ascii="Arial" w:cs="Arial" w:eastAsia="Arial" w:hAnsi="Arial"/>
                  <w:sz w:val="18"/>
                  <w:szCs w:val="18"/>
                  <w:color w:val="0000EE"/>
                  <w:w w:val="96"/>
                </w:rPr>
                <w:t>Fourth Amendment dated as of February 16, 2011, by and among RCPI Landmark Properties, L.L.C. (as the successor in interest to</w:t>
              </w:r>
            </w:hyperlink>
          </w:p>
        </w:tc>
      </w:tr>
      <w:tr>
        <w:trPr>
          <w:trHeight w:val="20"/>
        </w:trPr>
        <w:tc>
          <w:tcPr>
            <w:tcW w:w="126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014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185">
              <w:r>
                <w:rPr>
                  <w:rFonts w:ascii="Arial" w:cs="Arial" w:eastAsia="Arial" w:hAnsi="Arial"/>
                  <w:sz w:val="18"/>
                  <w:szCs w:val="18"/>
                  <w:color w:val="0000EE"/>
                  <w:w w:val="90"/>
                </w:rPr>
                <w:t>Rockefeller Center Properties), RCPI 30 Rock 22234849, L.L.C. and Lazard Group LLC (as the successor in interest to Lazard Frères &amp; Co.</w:t>
              </w:r>
            </w:hyperlink>
          </w:p>
        </w:tc>
        <w:tc>
          <w:tcPr>
            <w:tcW w:w="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000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185">
              <w:r>
                <w:rPr>
                  <w:rFonts w:ascii="Arial" w:cs="Arial" w:eastAsia="Arial" w:hAnsi="Arial"/>
                  <w:sz w:val="18"/>
                  <w:szCs w:val="18"/>
                  <w:color w:val="0000EE"/>
                  <w:w w:val="90"/>
                </w:rPr>
                <w:t>LLC), to the Lease dated as of January 27, 1994, by and among Rockefeller Center Properties and Lazard Frères &amp; Co. LLC (incorporated</w:t>
              </w:r>
            </w:hyperlink>
          </w:p>
        </w:tc>
        <w:tc>
          <w:tcPr>
            <w:tcW w:w="160" w:type="dxa"/>
            <w:vAlign w:val="bottom"/>
            <w:gridSpan w:val="5"/>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928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85">
              <w:r>
                <w:rPr>
                  <w:rFonts w:ascii="Arial" w:cs="Arial" w:eastAsia="Arial" w:hAnsi="Arial"/>
                  <w:sz w:val="18"/>
                  <w:szCs w:val="18"/>
                  <w:color w:val="0000EE"/>
                  <w:w w:val="92"/>
                </w:rPr>
                <w:t>by reference to Exhibit 10.15 to the Registrant’s Quarterly Report (File No. 333-126751) on Form 10-Q filed on April 29, 2011).</w:t>
              </w:r>
            </w:hyperlink>
          </w:p>
        </w:tc>
        <w:tc>
          <w:tcPr>
            <w:tcW w:w="880" w:type="dxa"/>
            <w:vAlign w:val="bottom"/>
            <w:gridSpan w:val="16"/>
          </w:tcPr>
          <w:p>
            <w:pPr>
              <w:spacing w:after="0"/>
              <w:rPr>
                <w:sz w:val="17"/>
                <w:szCs w:val="17"/>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10.3*</w:t>
            </w:r>
          </w:p>
        </w:tc>
        <w:tc>
          <w:tcPr>
            <w:tcW w:w="10000" w:type="dxa"/>
            <w:vAlign w:val="bottom"/>
            <w:tcBorders>
              <w:bottom w:val="single" w:sz="8" w:color="0000EE"/>
            </w:tcBorders>
            <w:gridSpan w:val="20"/>
          </w:tcPr>
          <w:p>
            <w:pPr>
              <w:spacing w:after="0"/>
              <w:rPr>
                <w:rFonts w:ascii="Arial" w:cs="Arial" w:eastAsia="Arial" w:hAnsi="Arial"/>
                <w:sz w:val="18"/>
                <w:szCs w:val="18"/>
                <w:color w:val="0000EE"/>
                <w:w w:val="91"/>
              </w:rPr>
            </w:pPr>
            <w:hyperlink r:id="rId186">
              <w:r>
                <w:rPr>
                  <w:rFonts w:ascii="Arial" w:cs="Arial" w:eastAsia="Arial" w:hAnsi="Arial"/>
                  <w:sz w:val="18"/>
                  <w:szCs w:val="18"/>
                  <w:color w:val="0000EE"/>
                  <w:w w:val="91"/>
                </w:rPr>
                <w:t>Lazard Ltd’s 2005 Equity Incentive Plan (incorporated by reference to Exhibit 10.21 to Lazard Ltd’s Registration Statement (File No. 333-</w:t>
              </w:r>
            </w:hyperlink>
          </w:p>
        </w:tc>
        <w:tc>
          <w:tcPr>
            <w:tcW w:w="160" w:type="dxa"/>
            <w:vAlign w:val="bottom"/>
            <w:gridSpan w:val="5"/>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160" w:type="dxa"/>
            <w:vAlign w:val="bottom"/>
            <w:gridSpan w:val="25"/>
          </w:tcPr>
          <w:p>
            <w:pPr>
              <w:spacing w:after="0" w:line="196" w:lineRule="exact"/>
              <w:rPr>
                <w:rFonts w:ascii="Arial" w:cs="Arial" w:eastAsia="Arial" w:hAnsi="Arial"/>
                <w:sz w:val="18"/>
                <w:szCs w:val="18"/>
                <w:color w:val="0000EE"/>
              </w:rPr>
            </w:pPr>
            <w:hyperlink r:id="rId186">
              <w:r>
                <w:rPr>
                  <w:rFonts w:ascii="Arial" w:cs="Arial" w:eastAsia="Arial" w:hAnsi="Arial"/>
                  <w:sz w:val="18"/>
                  <w:szCs w:val="18"/>
                  <w:color w:val="0000EE"/>
                </w:rPr>
                <w:t>121407) on Form S-1/A filed on May 2, 2005).</w:t>
              </w:r>
            </w:hyperlink>
          </w:p>
        </w:tc>
      </w:tr>
      <w:tr>
        <w:trPr>
          <w:trHeight w:val="20"/>
        </w:trPr>
        <w:tc>
          <w:tcPr>
            <w:tcW w:w="126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10.4*</w:t>
            </w:r>
          </w:p>
        </w:tc>
        <w:tc>
          <w:tcPr>
            <w:tcW w:w="10160" w:type="dxa"/>
            <w:vAlign w:val="bottom"/>
            <w:gridSpan w:val="25"/>
          </w:tcPr>
          <w:p>
            <w:pPr>
              <w:spacing w:after="0"/>
              <w:rPr>
                <w:rFonts w:ascii="Arial" w:cs="Arial" w:eastAsia="Arial" w:hAnsi="Arial"/>
                <w:sz w:val="18"/>
                <w:szCs w:val="18"/>
                <w:color w:val="0000EE"/>
                <w:w w:val="95"/>
              </w:rPr>
            </w:pPr>
            <w:hyperlink r:id="rId187">
              <w:r>
                <w:rPr>
                  <w:rFonts w:ascii="Arial" w:cs="Arial" w:eastAsia="Arial" w:hAnsi="Arial"/>
                  <w:sz w:val="18"/>
                  <w:szCs w:val="18"/>
                  <w:color w:val="0000EE"/>
                  <w:w w:val="95"/>
                </w:rPr>
                <w:t>Lazard Ltd’s 2008 Incentive Compensation Plan (incorporated by reference to Annex B to Lazard Ltd’s Definitive Proxy Statement on</w:t>
              </w:r>
            </w:hyperlink>
          </w:p>
        </w:tc>
      </w:tr>
      <w:tr>
        <w:trPr>
          <w:trHeight w:val="196"/>
        </w:trPr>
        <w:tc>
          <w:tcPr>
            <w:tcW w:w="1260" w:type="dxa"/>
            <w:vAlign w:val="bottom"/>
          </w:tcPr>
          <w:p>
            <w:pPr>
              <w:spacing w:after="0"/>
              <w:rPr>
                <w:sz w:val="17"/>
                <w:szCs w:val="17"/>
                <w:color w:val="auto"/>
              </w:rPr>
            </w:pPr>
          </w:p>
        </w:tc>
        <w:tc>
          <w:tcPr>
            <w:tcW w:w="45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187">
              <w:r>
                <w:rPr>
                  <w:rFonts w:ascii="Arial" w:cs="Arial" w:eastAsia="Arial" w:hAnsi="Arial"/>
                  <w:sz w:val="18"/>
                  <w:szCs w:val="18"/>
                  <w:color w:val="0000EE"/>
                  <w:w w:val="92"/>
                </w:rPr>
                <w:t>Schedule 14A (File No. 001-32492) filed on March 24, 2008).</w:t>
              </w:r>
            </w:hyperlink>
          </w:p>
        </w:tc>
        <w:tc>
          <w:tcPr>
            <w:tcW w:w="5200" w:type="dxa"/>
            <w:vAlign w:val="bottom"/>
            <w:tcBorders>
              <w:top w:val="single" w:sz="8" w:color="0000EE"/>
            </w:tcBorders>
            <w:gridSpan w:val="7"/>
          </w:tcPr>
          <w:p>
            <w:pPr>
              <w:spacing w:after="0"/>
              <w:rPr>
                <w:sz w:val="17"/>
                <w:szCs w:val="17"/>
                <w:color w:val="auto"/>
              </w:rPr>
            </w:pPr>
          </w:p>
        </w:tc>
        <w:tc>
          <w:tcPr>
            <w:tcW w:w="460" w:type="dxa"/>
            <w:vAlign w:val="bottom"/>
            <w:gridSpan w:val="12"/>
          </w:tcPr>
          <w:p>
            <w:pPr>
              <w:spacing w:after="0"/>
              <w:rPr>
                <w:sz w:val="17"/>
                <w:szCs w:val="17"/>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10.5*</w:t>
            </w:r>
          </w:p>
        </w:tc>
        <w:tc>
          <w:tcPr>
            <w:tcW w:w="9840" w:type="dxa"/>
            <w:vAlign w:val="bottom"/>
            <w:tcBorders>
              <w:bottom w:val="single" w:sz="8" w:color="0000EE"/>
            </w:tcBorders>
            <w:gridSpan w:val="16"/>
          </w:tcPr>
          <w:p>
            <w:pPr>
              <w:spacing w:after="0"/>
              <w:rPr>
                <w:rFonts w:ascii="Arial" w:cs="Arial" w:eastAsia="Arial" w:hAnsi="Arial"/>
                <w:sz w:val="18"/>
                <w:szCs w:val="18"/>
                <w:color w:val="0000EE"/>
                <w:w w:val="91"/>
              </w:rPr>
            </w:pPr>
            <w:hyperlink r:id="rId188">
              <w:r>
                <w:rPr>
                  <w:rFonts w:ascii="Arial" w:cs="Arial" w:eastAsia="Arial" w:hAnsi="Arial"/>
                  <w:sz w:val="18"/>
                  <w:szCs w:val="18"/>
                  <w:color w:val="0000EE"/>
                  <w:w w:val="91"/>
                </w:rPr>
                <w:t>Lazard Ltd’s 2016 French Sub-plan (incorporated by reference to Annex B to Lazard Ltd’s Definitive Proxy Statement on Schedule 14A</w:t>
              </w:r>
            </w:hyperlink>
          </w:p>
        </w:tc>
        <w:tc>
          <w:tcPr>
            <w:tcW w:w="320" w:type="dxa"/>
            <w:vAlign w:val="bottom"/>
            <w:gridSpan w:val="9"/>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34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188">
              <w:r>
                <w:rPr>
                  <w:rFonts w:ascii="Arial" w:cs="Arial" w:eastAsia="Arial" w:hAnsi="Arial"/>
                  <w:sz w:val="18"/>
                  <w:szCs w:val="18"/>
                  <w:color w:val="0000EE"/>
                  <w:w w:val="92"/>
                </w:rPr>
                <w:t>(File No. 001-32492) filed on March 10, 2016).</w:t>
              </w:r>
            </w:hyperlink>
          </w:p>
        </w:tc>
        <w:tc>
          <w:tcPr>
            <w:tcW w:w="6720" w:type="dxa"/>
            <w:vAlign w:val="bottom"/>
            <w:gridSpan w:val="22"/>
          </w:tcPr>
          <w:p>
            <w:pPr>
              <w:spacing w:after="0"/>
              <w:rPr>
                <w:sz w:val="17"/>
                <w:szCs w:val="17"/>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10.6*</w:t>
            </w:r>
          </w:p>
        </w:tc>
        <w:tc>
          <w:tcPr>
            <w:tcW w:w="10160" w:type="dxa"/>
            <w:vAlign w:val="bottom"/>
            <w:gridSpan w:val="25"/>
          </w:tcPr>
          <w:p>
            <w:pPr>
              <w:spacing w:after="0"/>
              <w:rPr>
                <w:rFonts w:ascii="Arial" w:cs="Arial" w:eastAsia="Arial" w:hAnsi="Arial"/>
                <w:sz w:val="18"/>
                <w:szCs w:val="18"/>
                <w:color w:val="0000EE"/>
                <w:w w:val="97"/>
              </w:rPr>
            </w:pPr>
            <w:hyperlink r:id="rId189">
              <w:r>
                <w:rPr>
                  <w:rFonts w:ascii="Arial" w:cs="Arial" w:eastAsia="Arial" w:hAnsi="Arial"/>
                  <w:sz w:val="18"/>
                  <w:szCs w:val="18"/>
                  <w:color w:val="0000EE"/>
                  <w:w w:val="97"/>
                </w:rPr>
                <w:t>Lazard Ltd 2018 Incentive Compensation Plan (incorporated by reference to Annex B to Lazard Ltd’s Definitive Proxy Statement on</w:t>
              </w:r>
            </w:hyperlink>
          </w:p>
        </w:tc>
      </w:tr>
      <w:tr>
        <w:trPr>
          <w:trHeight w:val="196"/>
        </w:trPr>
        <w:tc>
          <w:tcPr>
            <w:tcW w:w="1260" w:type="dxa"/>
            <w:vAlign w:val="bottom"/>
          </w:tcPr>
          <w:p>
            <w:pPr>
              <w:spacing w:after="0"/>
              <w:rPr>
                <w:sz w:val="17"/>
                <w:szCs w:val="17"/>
                <w:color w:val="auto"/>
              </w:rPr>
            </w:pPr>
          </w:p>
        </w:tc>
        <w:tc>
          <w:tcPr>
            <w:tcW w:w="45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189">
              <w:r>
                <w:rPr>
                  <w:rFonts w:ascii="Arial" w:cs="Arial" w:eastAsia="Arial" w:hAnsi="Arial"/>
                  <w:sz w:val="18"/>
                  <w:szCs w:val="18"/>
                  <w:color w:val="0000EE"/>
                  <w:w w:val="92"/>
                </w:rPr>
                <w:t>Schedule 14A (File No. 001-32492) filed on March 15, 2018).</w:t>
              </w:r>
            </w:hyperlink>
          </w:p>
        </w:tc>
        <w:tc>
          <w:tcPr>
            <w:tcW w:w="5080" w:type="dxa"/>
            <w:vAlign w:val="bottom"/>
            <w:tcBorders>
              <w:top w:val="single" w:sz="8" w:color="0000EE"/>
            </w:tcBorders>
            <w:gridSpan w:val="6"/>
          </w:tcPr>
          <w:p>
            <w:pPr>
              <w:spacing w:after="0"/>
              <w:rPr>
                <w:sz w:val="17"/>
                <w:szCs w:val="17"/>
                <w:color w:val="auto"/>
              </w:rPr>
            </w:pPr>
          </w:p>
        </w:tc>
        <w:tc>
          <w:tcPr>
            <w:tcW w:w="580" w:type="dxa"/>
            <w:vAlign w:val="bottom"/>
            <w:gridSpan w:val="13"/>
          </w:tcPr>
          <w:p>
            <w:pPr>
              <w:spacing w:after="0"/>
              <w:rPr>
                <w:sz w:val="17"/>
                <w:szCs w:val="17"/>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10.7*</w:t>
            </w:r>
          </w:p>
        </w:tc>
        <w:tc>
          <w:tcPr>
            <w:tcW w:w="9780" w:type="dxa"/>
            <w:vAlign w:val="bottom"/>
            <w:tcBorders>
              <w:bottom w:val="single" w:sz="8" w:color="0000EE"/>
            </w:tcBorders>
            <w:gridSpan w:val="15"/>
          </w:tcPr>
          <w:p>
            <w:pPr>
              <w:spacing w:after="0"/>
              <w:rPr>
                <w:rFonts w:ascii="Arial" w:cs="Arial" w:eastAsia="Arial" w:hAnsi="Arial"/>
                <w:sz w:val="18"/>
                <w:szCs w:val="18"/>
                <w:color w:val="0000EE"/>
                <w:w w:val="90"/>
              </w:rPr>
            </w:pPr>
            <w:hyperlink r:id="rId190">
              <w:r>
                <w:rPr>
                  <w:rFonts w:ascii="Arial" w:cs="Arial" w:eastAsia="Arial" w:hAnsi="Arial"/>
                  <w:sz w:val="18"/>
                  <w:szCs w:val="18"/>
                  <w:color w:val="0000EE"/>
                  <w:w w:val="90"/>
                </w:rPr>
                <w:t>Amended and Restated Agreement relating to Retention and Noncompetition and Other Covenants, dated as of March 29, 2019, by and</w:t>
              </w:r>
            </w:hyperlink>
          </w:p>
        </w:tc>
        <w:tc>
          <w:tcPr>
            <w:tcW w:w="380" w:type="dxa"/>
            <w:vAlign w:val="bottom"/>
            <w:gridSpan w:val="10"/>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160" w:type="dxa"/>
            <w:vAlign w:val="bottom"/>
            <w:gridSpan w:val="25"/>
          </w:tcPr>
          <w:p>
            <w:pPr>
              <w:spacing w:after="0" w:line="196" w:lineRule="exact"/>
              <w:rPr>
                <w:rFonts w:ascii="Arial" w:cs="Arial" w:eastAsia="Arial" w:hAnsi="Arial"/>
                <w:sz w:val="18"/>
                <w:szCs w:val="18"/>
                <w:color w:val="0000EE"/>
                <w:w w:val="92"/>
              </w:rPr>
            </w:pPr>
            <w:hyperlink r:id="rId190">
              <w:r>
                <w:rPr>
                  <w:rFonts w:ascii="Arial" w:cs="Arial" w:eastAsia="Arial" w:hAnsi="Arial"/>
                  <w:sz w:val="18"/>
                  <w:szCs w:val="18"/>
                  <w:color w:val="0000EE"/>
                  <w:w w:val="92"/>
                </w:rPr>
                <w:t>among the Registrant, Lazard Ltd and Kenneth M. Jacobs (incorporated by reference to Exhibit 10.1 to the Registrant’s Current Report on</w:t>
              </w:r>
            </w:hyperlink>
          </w:p>
        </w:tc>
      </w:tr>
      <w:tr>
        <w:trPr>
          <w:trHeight w:val="196"/>
        </w:trPr>
        <w:tc>
          <w:tcPr>
            <w:tcW w:w="1260" w:type="dxa"/>
            <w:vAlign w:val="bottom"/>
          </w:tcPr>
          <w:p>
            <w:pPr>
              <w:spacing w:after="0"/>
              <w:rPr>
                <w:sz w:val="17"/>
                <w:szCs w:val="17"/>
                <w:color w:val="auto"/>
              </w:rPr>
            </w:pPr>
          </w:p>
        </w:tc>
        <w:tc>
          <w:tcPr>
            <w:tcW w:w="99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90">
              <w:r>
                <w:rPr>
                  <w:rFonts w:ascii="Arial" w:cs="Arial" w:eastAsia="Arial" w:hAnsi="Arial"/>
                  <w:sz w:val="18"/>
                  <w:szCs w:val="18"/>
                  <w:color w:val="0000EE"/>
                </w:rPr>
                <w:t>Form 8-K (File No. 333-126751) filed on April 3, 2019).</w:t>
              </w:r>
            </w:hyperlink>
          </w:p>
        </w:tc>
        <w:tc>
          <w:tcPr>
            <w:tcW w:w="220" w:type="dxa"/>
            <w:vAlign w:val="bottom"/>
            <w:gridSpan w:val="6"/>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10.8*</w:t>
            </w:r>
          </w:p>
        </w:tc>
        <w:tc>
          <w:tcPr>
            <w:tcW w:w="9780" w:type="dxa"/>
            <w:vAlign w:val="bottom"/>
            <w:tcBorders>
              <w:bottom w:val="single" w:sz="8" w:color="0000EE"/>
            </w:tcBorders>
            <w:gridSpan w:val="15"/>
          </w:tcPr>
          <w:p>
            <w:pPr>
              <w:spacing w:after="0"/>
              <w:rPr>
                <w:rFonts w:ascii="Arial" w:cs="Arial" w:eastAsia="Arial" w:hAnsi="Arial"/>
                <w:sz w:val="18"/>
                <w:szCs w:val="18"/>
                <w:color w:val="0000EE"/>
                <w:w w:val="90"/>
              </w:rPr>
            </w:pPr>
            <w:hyperlink r:id="rId191">
              <w:r>
                <w:rPr>
                  <w:rFonts w:ascii="Arial" w:cs="Arial" w:eastAsia="Arial" w:hAnsi="Arial"/>
                  <w:sz w:val="18"/>
                  <w:szCs w:val="18"/>
                  <w:color w:val="0000EE"/>
                  <w:w w:val="90"/>
                </w:rPr>
                <w:t>Amended and Restated Agreement relating to Retention and Noncompetition and Other Covenants, dated as of March 29, 2019, by and</w:t>
              </w:r>
            </w:hyperlink>
          </w:p>
        </w:tc>
        <w:tc>
          <w:tcPr>
            <w:tcW w:w="380" w:type="dxa"/>
            <w:vAlign w:val="bottom"/>
            <w:gridSpan w:val="10"/>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12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191">
              <w:r>
                <w:rPr>
                  <w:rFonts w:ascii="Arial" w:cs="Arial" w:eastAsia="Arial" w:hAnsi="Arial"/>
                  <w:sz w:val="18"/>
                  <w:szCs w:val="18"/>
                  <w:color w:val="0000EE"/>
                  <w:w w:val="91"/>
                </w:rPr>
                <w:t>among the Registrant, Lazard Ltd and Ashish Bhutani (incorporated by reference to Exhibit 10.3 to the Registrant’s Current Report on Form</w:t>
              </w:r>
            </w:hyperlink>
          </w:p>
        </w:tc>
        <w:tc>
          <w:tcPr>
            <w:tcW w:w="40" w:type="dxa"/>
            <w:vAlign w:val="bottom"/>
            <w:gridSpan w:val="2"/>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0160" w:type="dxa"/>
            <w:vAlign w:val="bottom"/>
            <w:gridSpan w:val="25"/>
          </w:tcPr>
          <w:p>
            <w:pPr>
              <w:spacing w:after="0" w:line="196" w:lineRule="exact"/>
              <w:rPr>
                <w:rFonts w:ascii="Arial" w:cs="Arial" w:eastAsia="Arial" w:hAnsi="Arial"/>
                <w:sz w:val="18"/>
                <w:szCs w:val="18"/>
                <w:color w:val="0000EE"/>
              </w:rPr>
            </w:pPr>
            <w:hyperlink r:id="rId191">
              <w:r>
                <w:rPr>
                  <w:rFonts w:ascii="Arial" w:cs="Arial" w:eastAsia="Arial" w:hAnsi="Arial"/>
                  <w:sz w:val="18"/>
                  <w:szCs w:val="18"/>
                  <w:color w:val="0000EE"/>
                </w:rPr>
                <w:t>8-K (File No. 333-126751) filed on April 3, 2019).</w:t>
              </w:r>
            </w:hyperlink>
          </w:p>
        </w:tc>
      </w:tr>
      <w:tr>
        <w:trPr>
          <w:trHeight w:val="20"/>
        </w:trPr>
        <w:tc>
          <w:tcPr>
            <w:tcW w:w="126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10.9*</w:t>
            </w:r>
          </w:p>
        </w:tc>
        <w:tc>
          <w:tcPr>
            <w:tcW w:w="9780" w:type="dxa"/>
            <w:vAlign w:val="bottom"/>
            <w:tcBorders>
              <w:bottom w:val="single" w:sz="8" w:color="0000EE"/>
            </w:tcBorders>
            <w:gridSpan w:val="15"/>
          </w:tcPr>
          <w:p>
            <w:pPr>
              <w:spacing w:after="0"/>
              <w:rPr>
                <w:rFonts w:ascii="Arial" w:cs="Arial" w:eastAsia="Arial" w:hAnsi="Arial"/>
                <w:sz w:val="18"/>
                <w:szCs w:val="18"/>
                <w:color w:val="0000EE"/>
                <w:w w:val="90"/>
              </w:rPr>
            </w:pPr>
            <w:hyperlink r:id="rId192">
              <w:r>
                <w:rPr>
                  <w:rFonts w:ascii="Arial" w:cs="Arial" w:eastAsia="Arial" w:hAnsi="Arial"/>
                  <w:sz w:val="18"/>
                  <w:szCs w:val="18"/>
                  <w:color w:val="0000EE"/>
                  <w:w w:val="90"/>
                </w:rPr>
                <w:t>Amended and Restated Agreement relating to Retention and Noncompetition and Other Covenants, dated as of March 29, 2019, by and</w:t>
              </w:r>
            </w:hyperlink>
          </w:p>
        </w:tc>
        <w:tc>
          <w:tcPr>
            <w:tcW w:w="380" w:type="dxa"/>
            <w:vAlign w:val="bottom"/>
            <w:gridSpan w:val="10"/>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86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92">
              <w:r>
                <w:rPr>
                  <w:rFonts w:ascii="Arial" w:cs="Arial" w:eastAsia="Arial" w:hAnsi="Arial"/>
                  <w:sz w:val="18"/>
                  <w:szCs w:val="18"/>
                  <w:color w:val="0000EE"/>
                  <w:w w:val="91"/>
                </w:rPr>
                <w:t>among the Registrant, Lazard Ltd and Scott D. Hoffman (incorporated by reference to Exhibit 10.4 to the Registrant’s Current Report on</w:t>
              </w:r>
            </w:hyperlink>
          </w:p>
        </w:tc>
        <w:tc>
          <w:tcPr>
            <w:tcW w:w="300" w:type="dxa"/>
            <w:vAlign w:val="bottom"/>
            <w:gridSpan w:val="8"/>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0160" w:type="dxa"/>
            <w:vAlign w:val="bottom"/>
            <w:gridSpan w:val="25"/>
          </w:tcPr>
          <w:p>
            <w:pPr>
              <w:spacing w:after="0" w:line="196" w:lineRule="exact"/>
              <w:rPr>
                <w:rFonts w:ascii="Arial" w:cs="Arial" w:eastAsia="Arial" w:hAnsi="Arial"/>
                <w:sz w:val="18"/>
                <w:szCs w:val="18"/>
                <w:color w:val="0000EE"/>
              </w:rPr>
            </w:pPr>
            <w:hyperlink r:id="rId192">
              <w:r>
                <w:rPr>
                  <w:rFonts w:ascii="Arial" w:cs="Arial" w:eastAsia="Arial" w:hAnsi="Arial"/>
                  <w:sz w:val="18"/>
                  <w:szCs w:val="18"/>
                  <w:color w:val="0000EE"/>
                </w:rPr>
                <w:t>Form 8-K (File No. 333-126751) filed on April 3, 2019).</w:t>
              </w:r>
            </w:hyperlink>
          </w:p>
        </w:tc>
      </w:tr>
      <w:tr>
        <w:trPr>
          <w:trHeight w:val="20"/>
        </w:trPr>
        <w:tc>
          <w:tcPr>
            <w:tcW w:w="126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10.10*</w:t>
            </w:r>
          </w:p>
        </w:tc>
        <w:tc>
          <w:tcPr>
            <w:tcW w:w="9780" w:type="dxa"/>
            <w:vAlign w:val="bottom"/>
            <w:tcBorders>
              <w:bottom w:val="single" w:sz="8" w:color="0000EE"/>
            </w:tcBorders>
            <w:gridSpan w:val="15"/>
          </w:tcPr>
          <w:p>
            <w:pPr>
              <w:spacing w:after="0"/>
              <w:rPr>
                <w:rFonts w:ascii="Arial" w:cs="Arial" w:eastAsia="Arial" w:hAnsi="Arial"/>
                <w:sz w:val="18"/>
                <w:szCs w:val="18"/>
                <w:color w:val="0000EE"/>
                <w:w w:val="90"/>
              </w:rPr>
            </w:pPr>
            <w:hyperlink r:id="rId193">
              <w:r>
                <w:rPr>
                  <w:rFonts w:ascii="Arial" w:cs="Arial" w:eastAsia="Arial" w:hAnsi="Arial"/>
                  <w:sz w:val="18"/>
                  <w:szCs w:val="18"/>
                  <w:color w:val="0000EE"/>
                  <w:w w:val="90"/>
                </w:rPr>
                <w:t>Amended and Restated Agreement relating to Retention and Noncompetition and Other Covenants, dated as of March 29, 2019, by and</w:t>
              </w:r>
            </w:hyperlink>
          </w:p>
        </w:tc>
        <w:tc>
          <w:tcPr>
            <w:tcW w:w="380" w:type="dxa"/>
            <w:vAlign w:val="bottom"/>
            <w:gridSpan w:val="10"/>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06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193">
              <w:r>
                <w:rPr>
                  <w:rFonts w:ascii="Arial" w:cs="Arial" w:eastAsia="Arial" w:hAnsi="Arial"/>
                  <w:sz w:val="18"/>
                  <w:szCs w:val="18"/>
                  <w:color w:val="0000EE"/>
                  <w:w w:val="90"/>
                </w:rPr>
                <w:t>among the Registrant, Lazard Ltd and Evan L. Russo (incorporated by reference to Exhibit 10.2 to the Registrant’s Current Report on Form</w:t>
              </w:r>
            </w:hyperlink>
          </w:p>
        </w:tc>
        <w:tc>
          <w:tcPr>
            <w:tcW w:w="100" w:type="dxa"/>
            <w:vAlign w:val="bottom"/>
            <w:gridSpan w:val="4"/>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0160" w:type="dxa"/>
            <w:vAlign w:val="bottom"/>
            <w:gridSpan w:val="25"/>
          </w:tcPr>
          <w:p>
            <w:pPr>
              <w:spacing w:after="0" w:line="196" w:lineRule="exact"/>
              <w:rPr>
                <w:rFonts w:ascii="Arial" w:cs="Arial" w:eastAsia="Arial" w:hAnsi="Arial"/>
                <w:sz w:val="18"/>
                <w:szCs w:val="18"/>
                <w:color w:val="0000EE"/>
              </w:rPr>
            </w:pPr>
            <w:hyperlink r:id="rId193">
              <w:r>
                <w:rPr>
                  <w:rFonts w:ascii="Arial" w:cs="Arial" w:eastAsia="Arial" w:hAnsi="Arial"/>
                  <w:sz w:val="18"/>
                  <w:szCs w:val="18"/>
                  <w:color w:val="0000EE"/>
                </w:rPr>
                <w:t>8-K (File No. 333-126751) filed April 3, 2019).</w:t>
              </w:r>
            </w:hyperlink>
          </w:p>
        </w:tc>
      </w:tr>
      <w:tr>
        <w:trPr>
          <w:trHeight w:val="20"/>
        </w:trPr>
        <w:tc>
          <w:tcPr>
            <w:tcW w:w="126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10.11*</w:t>
            </w:r>
          </w:p>
        </w:tc>
        <w:tc>
          <w:tcPr>
            <w:tcW w:w="9780" w:type="dxa"/>
            <w:vAlign w:val="bottom"/>
            <w:tcBorders>
              <w:bottom w:val="single" w:sz="8" w:color="0000EE"/>
            </w:tcBorders>
            <w:gridSpan w:val="15"/>
          </w:tcPr>
          <w:p>
            <w:pPr>
              <w:spacing w:after="0"/>
              <w:rPr>
                <w:rFonts w:ascii="Arial" w:cs="Arial" w:eastAsia="Arial" w:hAnsi="Arial"/>
                <w:sz w:val="18"/>
                <w:szCs w:val="18"/>
                <w:color w:val="0000EE"/>
                <w:w w:val="90"/>
              </w:rPr>
            </w:pPr>
            <w:hyperlink r:id="rId194">
              <w:r>
                <w:rPr>
                  <w:rFonts w:ascii="Arial" w:cs="Arial" w:eastAsia="Arial" w:hAnsi="Arial"/>
                  <w:sz w:val="18"/>
                  <w:szCs w:val="18"/>
                  <w:color w:val="0000EE"/>
                  <w:w w:val="90"/>
                </w:rPr>
                <w:t>Amended and Restated Agreement relating to Retention and Noncompetition and Other Covenants, dated as of March 29, 2019, by and</w:t>
              </w:r>
            </w:hyperlink>
          </w:p>
        </w:tc>
        <w:tc>
          <w:tcPr>
            <w:tcW w:w="380" w:type="dxa"/>
            <w:vAlign w:val="bottom"/>
            <w:gridSpan w:val="10"/>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92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94">
              <w:r>
                <w:rPr>
                  <w:rFonts w:ascii="Arial" w:cs="Arial" w:eastAsia="Arial" w:hAnsi="Arial"/>
                  <w:sz w:val="18"/>
                  <w:szCs w:val="18"/>
                  <w:color w:val="0000EE"/>
                  <w:w w:val="90"/>
                </w:rPr>
                <w:t>among the Registrant, Lazard Ltd and Alexander F. Stern (incorporated by reference to Exhibit 10.5 to the Registrant’s Current Report on</w:t>
              </w:r>
            </w:hyperlink>
          </w:p>
        </w:tc>
        <w:tc>
          <w:tcPr>
            <w:tcW w:w="240" w:type="dxa"/>
            <w:vAlign w:val="bottom"/>
            <w:gridSpan w:val="7"/>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0160" w:type="dxa"/>
            <w:vAlign w:val="bottom"/>
            <w:gridSpan w:val="25"/>
          </w:tcPr>
          <w:p>
            <w:pPr>
              <w:spacing w:after="0" w:line="196" w:lineRule="exact"/>
              <w:rPr>
                <w:rFonts w:ascii="Arial" w:cs="Arial" w:eastAsia="Arial" w:hAnsi="Arial"/>
                <w:sz w:val="18"/>
                <w:szCs w:val="18"/>
                <w:color w:val="0000EE"/>
              </w:rPr>
            </w:pPr>
            <w:hyperlink r:id="rId194">
              <w:r>
                <w:rPr>
                  <w:rFonts w:ascii="Arial" w:cs="Arial" w:eastAsia="Arial" w:hAnsi="Arial"/>
                  <w:sz w:val="18"/>
                  <w:szCs w:val="18"/>
                  <w:color w:val="0000EE"/>
                </w:rPr>
                <w:t>Form 8-K (File No. 333-126751) filed on April 3, 2019).</w:t>
              </w:r>
            </w:hyperlink>
          </w:p>
        </w:tc>
      </w:tr>
      <w:tr>
        <w:trPr>
          <w:trHeight w:val="20"/>
        </w:trPr>
        <w:tc>
          <w:tcPr>
            <w:tcW w:w="126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10.12*</w:t>
            </w:r>
          </w:p>
        </w:tc>
        <w:tc>
          <w:tcPr>
            <w:tcW w:w="10160" w:type="dxa"/>
            <w:vAlign w:val="bottom"/>
            <w:gridSpan w:val="25"/>
          </w:tcPr>
          <w:p>
            <w:pPr>
              <w:spacing w:after="0"/>
              <w:rPr>
                <w:rFonts w:ascii="Arial" w:cs="Arial" w:eastAsia="Arial" w:hAnsi="Arial"/>
                <w:sz w:val="18"/>
                <w:szCs w:val="18"/>
                <w:color w:val="0000EE"/>
                <w:w w:val="94"/>
              </w:rPr>
            </w:pPr>
            <w:hyperlink r:id="rId195">
              <w:r>
                <w:rPr>
                  <w:rFonts w:ascii="Arial" w:cs="Arial" w:eastAsia="Arial" w:hAnsi="Arial"/>
                  <w:sz w:val="18"/>
                  <w:szCs w:val="18"/>
                  <w:color w:val="0000EE"/>
                  <w:w w:val="94"/>
                </w:rPr>
                <w:t>Form of Award Letter for Annual Grant of Deferred Stock Units to Non-Executive Directors (incorporated by reference to Exhibit 99.1 to</w:t>
              </w:r>
            </w:hyperlink>
          </w:p>
        </w:tc>
      </w:tr>
      <w:tr>
        <w:trPr>
          <w:trHeight w:val="196"/>
        </w:trPr>
        <w:tc>
          <w:tcPr>
            <w:tcW w:w="1260" w:type="dxa"/>
            <w:vAlign w:val="bottom"/>
          </w:tcPr>
          <w:p>
            <w:pPr>
              <w:spacing w:after="0"/>
              <w:rPr>
                <w:sz w:val="17"/>
                <w:szCs w:val="17"/>
                <w:color w:val="auto"/>
              </w:rPr>
            </w:pPr>
          </w:p>
        </w:tc>
        <w:tc>
          <w:tcPr>
            <w:tcW w:w="67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195">
              <w:r>
                <w:rPr>
                  <w:rFonts w:ascii="Arial" w:cs="Arial" w:eastAsia="Arial" w:hAnsi="Arial"/>
                  <w:sz w:val="18"/>
                  <w:szCs w:val="18"/>
                  <w:color w:val="0000EE"/>
                  <w:w w:val="91"/>
                </w:rPr>
                <w:t>Lazard Ltd’s Current Report on Form 8-K (File No. 001-32492) filed on September 8, 2005).</w:t>
              </w:r>
            </w:hyperlink>
          </w:p>
        </w:tc>
        <w:tc>
          <w:tcPr>
            <w:tcW w:w="3200" w:type="dxa"/>
            <w:vAlign w:val="bottom"/>
            <w:tcBorders>
              <w:top w:val="single" w:sz="8" w:color="0000EE"/>
            </w:tcBorders>
            <w:gridSpan w:val="10"/>
          </w:tcPr>
          <w:p>
            <w:pPr>
              <w:spacing w:after="0"/>
              <w:rPr>
                <w:sz w:val="17"/>
                <w:szCs w:val="17"/>
                <w:color w:val="auto"/>
              </w:rPr>
            </w:pPr>
          </w:p>
        </w:tc>
        <w:tc>
          <w:tcPr>
            <w:tcW w:w="240" w:type="dxa"/>
            <w:vAlign w:val="bottom"/>
            <w:gridSpan w:val="7"/>
          </w:tcPr>
          <w:p>
            <w:pPr>
              <w:spacing w:after="0"/>
              <w:rPr>
                <w:sz w:val="17"/>
                <w:szCs w:val="17"/>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10.13*</w:t>
            </w:r>
          </w:p>
        </w:tc>
        <w:tc>
          <w:tcPr>
            <w:tcW w:w="9540" w:type="dxa"/>
            <w:vAlign w:val="bottom"/>
            <w:tcBorders>
              <w:bottom w:val="single" w:sz="8" w:color="0000EE"/>
            </w:tcBorders>
            <w:gridSpan w:val="11"/>
          </w:tcPr>
          <w:p>
            <w:pPr>
              <w:spacing w:after="0"/>
              <w:rPr>
                <w:rFonts w:ascii="Arial" w:cs="Arial" w:eastAsia="Arial" w:hAnsi="Arial"/>
                <w:sz w:val="18"/>
                <w:szCs w:val="18"/>
                <w:color w:val="0000EE"/>
                <w:w w:val="91"/>
              </w:rPr>
            </w:pPr>
            <w:hyperlink r:id="rId196">
              <w:r>
                <w:rPr>
                  <w:rFonts w:ascii="Arial" w:cs="Arial" w:eastAsia="Arial" w:hAnsi="Arial"/>
                  <w:sz w:val="18"/>
                  <w:szCs w:val="18"/>
                  <w:color w:val="0000EE"/>
                  <w:w w:val="91"/>
                </w:rPr>
                <w:t>Form of Agreement evidencing a grant of Restricted Stock Units to Executive Officers under the 2008 Incentive Compensation Plan</w:t>
              </w:r>
            </w:hyperlink>
          </w:p>
        </w:tc>
        <w:tc>
          <w:tcPr>
            <w:tcW w:w="620" w:type="dxa"/>
            <w:vAlign w:val="bottom"/>
            <w:gridSpan w:val="14"/>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84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196">
              <w:r>
                <w:rPr>
                  <w:rFonts w:ascii="Arial" w:cs="Arial" w:eastAsia="Arial" w:hAnsi="Arial"/>
                  <w:sz w:val="18"/>
                  <w:szCs w:val="18"/>
                  <w:color w:val="0000EE"/>
                  <w:w w:val="92"/>
                </w:rPr>
                <w:t>(incorporated by reference to Exhibit 10.41 to Lazard Ltd’s Annual Report (File No. 001-32492) on Form 10-K filed on March 2, 2009).</w:t>
              </w:r>
            </w:hyperlink>
          </w:p>
        </w:tc>
        <w:tc>
          <w:tcPr>
            <w:tcW w:w="320" w:type="dxa"/>
            <w:vAlign w:val="bottom"/>
            <w:gridSpan w:val="9"/>
          </w:tcPr>
          <w:p>
            <w:pPr>
              <w:spacing w:after="0"/>
              <w:rPr>
                <w:sz w:val="17"/>
                <w:szCs w:val="17"/>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10.14*</w:t>
            </w:r>
          </w:p>
        </w:tc>
        <w:tc>
          <w:tcPr>
            <w:tcW w:w="10160" w:type="dxa"/>
            <w:vAlign w:val="bottom"/>
            <w:gridSpan w:val="25"/>
          </w:tcPr>
          <w:p>
            <w:pPr>
              <w:spacing w:after="0"/>
              <w:rPr>
                <w:rFonts w:ascii="Arial" w:cs="Arial" w:eastAsia="Arial" w:hAnsi="Arial"/>
                <w:sz w:val="18"/>
                <w:szCs w:val="18"/>
                <w:color w:val="0000EE"/>
                <w:w w:val="92"/>
              </w:rPr>
            </w:pPr>
            <w:hyperlink r:id="rId197">
              <w:r>
                <w:rPr>
                  <w:rFonts w:ascii="Arial" w:cs="Arial" w:eastAsia="Arial" w:hAnsi="Arial"/>
                  <w:sz w:val="18"/>
                  <w:szCs w:val="18"/>
                  <w:color w:val="0000EE"/>
                  <w:w w:val="92"/>
                </w:rPr>
                <w:t>Form of Agreement evidencing a grant of Deferred Cash Award to Executive Officers (incorporated by reference to Exhibit 10.42 to Lazard</w:t>
              </w:r>
            </w:hyperlink>
          </w:p>
        </w:tc>
      </w:tr>
      <w:tr>
        <w:trPr>
          <w:trHeight w:val="196"/>
        </w:trPr>
        <w:tc>
          <w:tcPr>
            <w:tcW w:w="1260" w:type="dxa"/>
            <w:vAlign w:val="bottom"/>
          </w:tcPr>
          <w:p>
            <w:pPr>
              <w:spacing w:after="0"/>
              <w:rPr>
                <w:sz w:val="17"/>
                <w:szCs w:val="17"/>
                <w:color w:val="auto"/>
              </w:rPr>
            </w:pPr>
          </w:p>
        </w:tc>
        <w:tc>
          <w:tcPr>
            <w:tcW w:w="100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97">
              <w:r>
                <w:rPr>
                  <w:rFonts w:ascii="Arial" w:cs="Arial" w:eastAsia="Arial" w:hAnsi="Arial"/>
                  <w:sz w:val="18"/>
                  <w:szCs w:val="18"/>
                  <w:color w:val="0000EE"/>
                </w:rPr>
                <w:t>Ltd’s Annual Report (File No. 001-32492) on Form 10-K filed on March 2, 2009).</w:t>
              </w:r>
            </w:hyperlink>
          </w:p>
        </w:tc>
        <w:tc>
          <w:tcPr>
            <w:tcW w:w="80" w:type="dxa"/>
            <w:vAlign w:val="bottom"/>
            <w:gridSpan w:val="3"/>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3380" w:type="dxa"/>
            <w:vAlign w:val="bottom"/>
            <w:gridSpan w:val="6"/>
            <w:shd w:val="clear" w:color="auto" w:fill="0000EE"/>
          </w:tcPr>
          <w:p>
            <w:pPr>
              <w:spacing w:after="0" w:line="20" w:lineRule="exact"/>
              <w:rPr>
                <w:sz w:val="1"/>
                <w:szCs w:val="1"/>
                <w:color w:val="auto"/>
              </w:rPr>
            </w:pPr>
          </w:p>
        </w:tc>
        <w:tc>
          <w:tcPr>
            <w:tcW w:w="3820" w:type="dxa"/>
            <w:vAlign w:val="bottom"/>
            <w:gridSpan w:val="7"/>
          </w:tcPr>
          <w:p>
            <w:pPr>
              <w:spacing w:after="0" w:line="20" w:lineRule="exact"/>
              <w:rPr>
                <w:sz w:val="1"/>
                <w:szCs w:val="1"/>
                <w:color w:val="auto"/>
              </w:rPr>
            </w:pPr>
          </w:p>
        </w:tc>
        <w:tc>
          <w:tcPr>
            <w:tcW w:w="400" w:type="dxa"/>
            <w:vAlign w:val="bottom"/>
            <w:gridSpan w:val="11"/>
          </w:tcPr>
          <w:p>
            <w:pPr>
              <w:spacing w:after="0" w:line="20" w:lineRule="exact"/>
              <w:rPr>
                <w:sz w:val="1"/>
                <w:szCs w:val="1"/>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10.15*</w:t>
            </w:r>
          </w:p>
        </w:tc>
        <w:tc>
          <w:tcPr>
            <w:tcW w:w="9760" w:type="dxa"/>
            <w:vAlign w:val="bottom"/>
            <w:tcBorders>
              <w:bottom w:val="single" w:sz="8" w:color="0000EE"/>
            </w:tcBorders>
            <w:gridSpan w:val="14"/>
          </w:tcPr>
          <w:p>
            <w:pPr>
              <w:spacing w:after="0"/>
              <w:rPr>
                <w:rFonts w:ascii="Arial" w:cs="Arial" w:eastAsia="Arial" w:hAnsi="Arial"/>
                <w:sz w:val="18"/>
                <w:szCs w:val="18"/>
                <w:color w:val="0000EE"/>
                <w:w w:val="92"/>
              </w:rPr>
            </w:pPr>
            <w:hyperlink r:id="rId198">
              <w:r>
                <w:rPr>
                  <w:rFonts w:ascii="Arial" w:cs="Arial" w:eastAsia="Arial" w:hAnsi="Arial"/>
                  <w:sz w:val="18"/>
                  <w:szCs w:val="18"/>
                  <w:color w:val="0000EE"/>
                  <w:w w:val="92"/>
                </w:rPr>
                <w:t>Directors’ Fee Deferral Unit Plan (incorporated by reference to Exhibit 10.39 to Lazard Ltd’s Quarterly Report (File No.001-32492) on</w:t>
              </w:r>
            </w:hyperlink>
          </w:p>
        </w:tc>
        <w:tc>
          <w:tcPr>
            <w:tcW w:w="400" w:type="dxa"/>
            <w:vAlign w:val="bottom"/>
            <w:gridSpan w:val="11"/>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2560" w:type="dxa"/>
            <w:vAlign w:val="bottom"/>
            <w:tcBorders>
              <w:bottom w:val="single" w:sz="8" w:color="0000EE"/>
            </w:tcBorders>
          </w:tcPr>
          <w:p>
            <w:pPr>
              <w:spacing w:after="0" w:line="196" w:lineRule="exact"/>
              <w:rPr>
                <w:rFonts w:ascii="Arial" w:cs="Arial" w:eastAsia="Arial" w:hAnsi="Arial"/>
                <w:sz w:val="18"/>
                <w:szCs w:val="18"/>
                <w:color w:val="0000EE"/>
                <w:w w:val="92"/>
              </w:rPr>
            </w:pPr>
            <w:hyperlink r:id="rId198">
              <w:r>
                <w:rPr>
                  <w:rFonts w:ascii="Arial" w:cs="Arial" w:eastAsia="Arial" w:hAnsi="Arial"/>
                  <w:sz w:val="18"/>
                  <w:szCs w:val="18"/>
                  <w:color w:val="0000EE"/>
                  <w:w w:val="92"/>
                </w:rPr>
                <w:t>Form 10-Q filed on May 11, 2006).</w:t>
              </w:r>
            </w:hyperlink>
          </w:p>
        </w:tc>
        <w:tc>
          <w:tcPr>
            <w:tcW w:w="7600" w:type="dxa"/>
            <w:vAlign w:val="bottom"/>
            <w:gridSpan w:val="24"/>
          </w:tcPr>
          <w:p>
            <w:pPr>
              <w:spacing w:after="0"/>
              <w:rPr>
                <w:sz w:val="17"/>
                <w:szCs w:val="17"/>
                <w:color w:val="auto"/>
              </w:rPr>
            </w:pPr>
          </w:p>
        </w:tc>
      </w:tr>
      <w:tr>
        <w:trPr>
          <w:trHeight w:val="574"/>
        </w:trPr>
        <w:tc>
          <w:tcPr>
            <w:tcW w:w="1260" w:type="dxa"/>
            <w:vAlign w:val="bottom"/>
          </w:tcPr>
          <w:p>
            <w:pPr>
              <w:spacing w:after="0"/>
              <w:rPr>
                <w:sz w:val="24"/>
                <w:szCs w:val="24"/>
                <w:color w:val="auto"/>
              </w:rPr>
            </w:pPr>
          </w:p>
        </w:tc>
        <w:tc>
          <w:tcPr>
            <w:tcW w:w="5940" w:type="dxa"/>
            <w:vAlign w:val="bottom"/>
            <w:gridSpan w:val="7"/>
          </w:tcPr>
          <w:p>
            <w:pPr>
              <w:ind w:left="4320"/>
              <w:spacing w:after="0"/>
              <w:rPr>
                <w:sz w:val="20"/>
                <w:szCs w:val="20"/>
                <w:color w:val="auto"/>
              </w:rPr>
            </w:pPr>
            <w:r>
              <w:rPr>
                <w:rFonts w:ascii="Arial" w:cs="Arial" w:eastAsia="Arial" w:hAnsi="Arial"/>
                <w:sz w:val="18"/>
                <w:szCs w:val="18"/>
                <w:color w:val="auto"/>
              </w:rPr>
              <w:t>132</w:t>
            </w:r>
          </w:p>
        </w:tc>
        <w:tc>
          <w:tcPr>
            <w:tcW w:w="7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6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07"/>
        </w:trPr>
        <w:tc>
          <w:tcPr>
            <w:tcW w:w="1260" w:type="dxa"/>
            <w:vAlign w:val="bottom"/>
          </w:tcPr>
          <w:p>
            <w:pPr>
              <w:ind w:left="100"/>
              <w:spacing w:after="0"/>
              <w:rPr>
                <w:sz w:val="20"/>
                <w:szCs w:val="20"/>
                <w:color w:val="auto"/>
              </w:rPr>
            </w:pPr>
            <w:r>
              <w:rPr>
                <w:rFonts w:ascii="Arial" w:cs="Arial" w:eastAsia="Arial" w:hAnsi="Arial"/>
                <w:sz w:val="18"/>
                <w:szCs w:val="18"/>
                <w:color w:val="auto"/>
              </w:rPr>
              <w:t>10.16</w:t>
            </w:r>
          </w:p>
        </w:tc>
        <w:tc>
          <w:tcPr>
            <w:tcW w:w="10160" w:type="dxa"/>
            <w:vAlign w:val="bottom"/>
            <w:gridSpan w:val="23"/>
          </w:tcPr>
          <w:p>
            <w:pPr>
              <w:spacing w:after="0"/>
              <w:rPr>
                <w:rFonts w:ascii="Arial" w:cs="Arial" w:eastAsia="Arial" w:hAnsi="Arial"/>
                <w:sz w:val="18"/>
                <w:szCs w:val="18"/>
                <w:color w:val="0000EE"/>
                <w:w w:val="94"/>
              </w:rPr>
            </w:pPr>
            <w:hyperlink r:id="rId201">
              <w:r>
                <w:rPr>
                  <w:rFonts w:ascii="Arial" w:cs="Arial" w:eastAsia="Arial" w:hAnsi="Arial"/>
                  <w:sz w:val="18"/>
                  <w:szCs w:val="18"/>
                  <w:color w:val="0000EE"/>
                  <w:w w:val="94"/>
                </w:rPr>
                <w:t>Amended and Restated Credit Agreement, dated as of September 25, 2015, among the Registrant, the Banks from time to time parties</w:t>
              </w:r>
            </w:hyperlink>
          </w:p>
        </w:tc>
      </w:tr>
      <w:tr>
        <w:trPr>
          <w:trHeight w:val="20"/>
        </w:trPr>
        <w:tc>
          <w:tcPr>
            <w:tcW w:w="12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0160" w:type="dxa"/>
            <w:vAlign w:val="bottom"/>
            <w:gridSpan w:val="23"/>
          </w:tcPr>
          <w:p>
            <w:pPr>
              <w:spacing w:after="0" w:line="196" w:lineRule="exact"/>
              <w:rPr>
                <w:rFonts w:ascii="Arial" w:cs="Arial" w:eastAsia="Arial" w:hAnsi="Arial"/>
                <w:sz w:val="18"/>
                <w:szCs w:val="18"/>
                <w:color w:val="0000EE"/>
                <w:w w:val="93"/>
              </w:rPr>
            </w:pPr>
            <w:hyperlink r:id="rId201">
              <w:r>
                <w:rPr>
                  <w:rFonts w:ascii="Arial" w:cs="Arial" w:eastAsia="Arial" w:hAnsi="Arial"/>
                  <w:sz w:val="18"/>
                  <w:szCs w:val="18"/>
                  <w:color w:val="0000EE"/>
                  <w:w w:val="93"/>
                </w:rPr>
                <w:t>thereto, and Citibank, N.A., as Administrative Agent (incorporated by reference to Exhibit 10.25 to the Registrant’s Quarterly Report (File</w:t>
              </w:r>
            </w:hyperlink>
          </w:p>
        </w:tc>
      </w:tr>
      <w:tr>
        <w:trPr>
          <w:trHeight w:val="196"/>
        </w:trPr>
        <w:tc>
          <w:tcPr>
            <w:tcW w:w="1260" w:type="dxa"/>
            <w:vAlign w:val="bottom"/>
          </w:tcPr>
          <w:p>
            <w:pPr>
              <w:spacing w:after="0"/>
              <w:rPr>
                <w:sz w:val="17"/>
                <w:szCs w:val="17"/>
                <w:color w:val="auto"/>
              </w:rPr>
            </w:pPr>
          </w:p>
        </w:tc>
        <w:tc>
          <w:tcPr>
            <w:tcW w:w="99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201">
              <w:r>
                <w:rPr>
                  <w:rFonts w:ascii="Arial" w:cs="Arial" w:eastAsia="Arial" w:hAnsi="Arial"/>
                  <w:sz w:val="18"/>
                  <w:szCs w:val="18"/>
                  <w:color w:val="0000EE"/>
                </w:rPr>
                <w:t>No. 333-126751) on Form 10-Q filed on October 28, 2015).</w:t>
              </w:r>
            </w:hyperlink>
          </w:p>
        </w:tc>
        <w:tc>
          <w:tcPr>
            <w:tcW w:w="180" w:type="dxa"/>
            <w:vAlign w:val="bottom"/>
            <w:gridSpan w:val="3"/>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10.17*</w:t>
            </w:r>
          </w:p>
        </w:tc>
        <w:tc>
          <w:tcPr>
            <w:tcW w:w="10120" w:type="dxa"/>
            <w:vAlign w:val="bottom"/>
            <w:tcBorders>
              <w:bottom w:val="single" w:sz="8" w:color="0000EE"/>
            </w:tcBorders>
            <w:gridSpan w:val="22"/>
          </w:tcPr>
          <w:p>
            <w:pPr>
              <w:spacing w:after="0"/>
              <w:rPr>
                <w:rFonts w:ascii="Arial" w:cs="Arial" w:eastAsia="Arial" w:hAnsi="Arial"/>
                <w:sz w:val="18"/>
                <w:szCs w:val="18"/>
                <w:color w:val="0000EE"/>
                <w:w w:val="91"/>
              </w:rPr>
            </w:pPr>
            <w:hyperlink r:id="rId202">
              <w:r>
                <w:rPr>
                  <w:rFonts w:ascii="Arial" w:cs="Arial" w:eastAsia="Arial" w:hAnsi="Arial"/>
                  <w:sz w:val="18"/>
                  <w:szCs w:val="18"/>
                  <w:color w:val="0000EE"/>
                  <w:w w:val="91"/>
                </w:rPr>
                <w:t>Form of Agreement evidencing a grant of Lazard Fund Interests to Named Executive Officers (incorporated by reference to Exhibit 10.54 to</w:t>
              </w:r>
            </w:hyperlink>
          </w:p>
        </w:tc>
        <w:tc>
          <w:tcPr>
            <w:tcW w:w="4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160" w:type="dxa"/>
            <w:vAlign w:val="bottom"/>
            <w:gridSpan w:val="23"/>
          </w:tcPr>
          <w:p>
            <w:pPr>
              <w:spacing w:after="0" w:line="196" w:lineRule="exact"/>
              <w:rPr>
                <w:rFonts w:ascii="Arial" w:cs="Arial" w:eastAsia="Arial" w:hAnsi="Arial"/>
                <w:sz w:val="18"/>
                <w:szCs w:val="18"/>
                <w:color w:val="0000EE"/>
              </w:rPr>
            </w:pPr>
            <w:hyperlink r:id="rId202">
              <w:r>
                <w:rPr>
                  <w:rFonts w:ascii="Arial" w:cs="Arial" w:eastAsia="Arial" w:hAnsi="Arial"/>
                  <w:sz w:val="18"/>
                  <w:szCs w:val="18"/>
                  <w:color w:val="0000EE"/>
                </w:rPr>
                <w:t>the Registrant’s Quarterly Report (File No. 333-126751) on Form 10-Q filed on May 1, 2013).</w:t>
              </w:r>
            </w:hyperlink>
          </w:p>
        </w:tc>
      </w:tr>
      <w:tr>
        <w:trPr>
          <w:trHeight w:val="20"/>
        </w:trPr>
        <w:tc>
          <w:tcPr>
            <w:tcW w:w="12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10.18*</w:t>
            </w:r>
          </w:p>
        </w:tc>
        <w:tc>
          <w:tcPr>
            <w:tcW w:w="10020" w:type="dxa"/>
            <w:vAlign w:val="bottom"/>
            <w:tcBorders>
              <w:bottom w:val="single" w:sz="8" w:color="0000EE"/>
            </w:tcBorders>
            <w:gridSpan w:val="21"/>
          </w:tcPr>
          <w:p>
            <w:pPr>
              <w:spacing w:after="0"/>
              <w:rPr>
                <w:rFonts w:ascii="Arial" w:cs="Arial" w:eastAsia="Arial" w:hAnsi="Arial"/>
                <w:sz w:val="18"/>
                <w:szCs w:val="18"/>
                <w:color w:val="0000EE"/>
                <w:w w:val="90"/>
              </w:rPr>
            </w:pPr>
            <w:hyperlink r:id="rId203">
              <w:r>
                <w:rPr>
                  <w:rFonts w:ascii="Arial" w:cs="Arial" w:eastAsia="Arial" w:hAnsi="Arial"/>
                  <w:sz w:val="18"/>
                  <w:szCs w:val="18"/>
                  <w:color w:val="0000EE"/>
                  <w:w w:val="90"/>
                </w:rPr>
                <w:t>Form of Agreement evidencing a February 20, 2014 grant of Performance-Based Stock Units under the 2008 Incentive Compensation Plan</w:t>
              </w:r>
            </w:hyperlink>
          </w:p>
        </w:tc>
        <w:tc>
          <w:tcPr>
            <w:tcW w:w="140" w:type="dxa"/>
            <w:vAlign w:val="bottom"/>
            <w:gridSpan w:val="2"/>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16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203">
              <w:r>
                <w:rPr>
                  <w:rFonts w:ascii="Arial" w:cs="Arial" w:eastAsia="Arial" w:hAnsi="Arial"/>
                  <w:sz w:val="18"/>
                  <w:szCs w:val="18"/>
                  <w:color w:val="0000EE"/>
                  <w:w w:val="91"/>
                </w:rPr>
                <w:t>(incorporated by reference to Exhibit 10.54 to the Registrant’s Quarterly Report (File No. 333-126751) on Form 10-Q filed on May 6, 2014).</w:t>
              </w:r>
            </w:hyperlink>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10.19*</w:t>
            </w:r>
          </w:p>
        </w:tc>
        <w:tc>
          <w:tcPr>
            <w:tcW w:w="9800" w:type="dxa"/>
            <w:vAlign w:val="bottom"/>
            <w:tcBorders>
              <w:bottom w:val="single" w:sz="8" w:color="0000EE"/>
            </w:tcBorders>
            <w:gridSpan w:val="17"/>
          </w:tcPr>
          <w:p>
            <w:pPr>
              <w:spacing w:after="0"/>
              <w:rPr>
                <w:rFonts w:ascii="Arial" w:cs="Arial" w:eastAsia="Arial" w:hAnsi="Arial"/>
                <w:sz w:val="18"/>
                <w:szCs w:val="18"/>
                <w:color w:val="0000EE"/>
                <w:w w:val="89"/>
              </w:rPr>
            </w:pPr>
            <w:hyperlink r:id="rId204">
              <w:r>
                <w:rPr>
                  <w:rFonts w:ascii="Arial" w:cs="Arial" w:eastAsia="Arial" w:hAnsi="Arial"/>
                  <w:sz w:val="18"/>
                  <w:szCs w:val="18"/>
                  <w:color w:val="0000EE"/>
                  <w:w w:val="89"/>
                </w:rPr>
                <w:t>Agreement between Lazard Ltd and Kenneth M. Jacobs, dated as of February 20, 2014, evidencing a grant of Performance-Based Stock</w:t>
              </w:r>
            </w:hyperlink>
          </w:p>
        </w:tc>
        <w:tc>
          <w:tcPr>
            <w:tcW w:w="360" w:type="dxa"/>
            <w:vAlign w:val="bottom"/>
            <w:gridSpan w:val="6"/>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86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204">
              <w:r>
                <w:rPr>
                  <w:rFonts w:ascii="Arial" w:cs="Arial" w:eastAsia="Arial" w:hAnsi="Arial"/>
                  <w:sz w:val="18"/>
                  <w:szCs w:val="18"/>
                  <w:color w:val="0000EE"/>
                  <w:w w:val="91"/>
                </w:rPr>
                <w:t>Units under the 2008 Incentive Compensation Plan (incorporated by reference to Exhibit 10.55 to the Registrant’s Quarterly Report (File</w:t>
              </w:r>
            </w:hyperlink>
          </w:p>
        </w:tc>
        <w:tc>
          <w:tcPr>
            <w:tcW w:w="300" w:type="dxa"/>
            <w:vAlign w:val="bottom"/>
            <w:gridSpan w:val="5"/>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0160" w:type="dxa"/>
            <w:vAlign w:val="bottom"/>
            <w:gridSpan w:val="23"/>
          </w:tcPr>
          <w:p>
            <w:pPr>
              <w:spacing w:after="0" w:line="196" w:lineRule="exact"/>
              <w:rPr>
                <w:rFonts w:ascii="Arial" w:cs="Arial" w:eastAsia="Arial" w:hAnsi="Arial"/>
                <w:sz w:val="18"/>
                <w:szCs w:val="18"/>
                <w:color w:val="0000EE"/>
              </w:rPr>
            </w:pPr>
            <w:hyperlink r:id="rId204">
              <w:r>
                <w:rPr>
                  <w:rFonts w:ascii="Arial" w:cs="Arial" w:eastAsia="Arial" w:hAnsi="Arial"/>
                  <w:sz w:val="18"/>
                  <w:szCs w:val="18"/>
                  <w:color w:val="0000EE"/>
                </w:rPr>
                <w:t>No. 333-126751) on Form 10-Q filed on May 6, 2014).</w:t>
              </w:r>
            </w:hyperlink>
          </w:p>
        </w:tc>
      </w:tr>
      <w:tr>
        <w:trPr>
          <w:trHeight w:val="20"/>
        </w:trPr>
        <w:tc>
          <w:tcPr>
            <w:tcW w:w="12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10.20*</w:t>
            </w:r>
          </w:p>
        </w:tc>
        <w:tc>
          <w:tcPr>
            <w:tcW w:w="10160" w:type="dxa"/>
            <w:vAlign w:val="bottom"/>
            <w:gridSpan w:val="23"/>
          </w:tcPr>
          <w:p>
            <w:pPr>
              <w:spacing w:after="0"/>
              <w:rPr>
                <w:rFonts w:ascii="Arial" w:cs="Arial" w:eastAsia="Arial" w:hAnsi="Arial"/>
                <w:sz w:val="18"/>
                <w:szCs w:val="18"/>
                <w:color w:val="0000EE"/>
                <w:w w:val="95"/>
              </w:rPr>
            </w:pPr>
            <w:hyperlink r:id="rId205">
              <w:r>
                <w:rPr>
                  <w:rFonts w:ascii="Arial" w:cs="Arial" w:eastAsia="Arial" w:hAnsi="Arial"/>
                  <w:sz w:val="18"/>
                  <w:szCs w:val="18"/>
                  <w:color w:val="0000EE"/>
                  <w:w w:val="95"/>
                </w:rPr>
                <w:t>Form of Agreement evidencing a grant of Restricted Stock under the 2008 Incentive Compensation Plan (incorporated by reference to</w:t>
              </w:r>
            </w:hyperlink>
          </w:p>
        </w:tc>
      </w:tr>
      <w:tr>
        <w:trPr>
          <w:trHeight w:val="196"/>
        </w:trPr>
        <w:tc>
          <w:tcPr>
            <w:tcW w:w="1260" w:type="dxa"/>
            <w:vAlign w:val="bottom"/>
          </w:tcPr>
          <w:p>
            <w:pPr>
              <w:spacing w:after="0"/>
              <w:rPr>
                <w:sz w:val="17"/>
                <w:szCs w:val="17"/>
                <w:color w:val="auto"/>
              </w:rPr>
            </w:pPr>
          </w:p>
        </w:tc>
        <w:tc>
          <w:tcPr>
            <w:tcW w:w="81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r:id="rId205">
              <w:r>
                <w:rPr>
                  <w:rFonts w:ascii="Arial" w:cs="Arial" w:eastAsia="Arial" w:hAnsi="Arial"/>
                  <w:sz w:val="18"/>
                  <w:szCs w:val="18"/>
                  <w:color w:val="0000EE"/>
                  <w:w w:val="92"/>
                </w:rPr>
                <w:t>Exhibit 10.54 to the Registrant’s Quarterly Report (File No. 333-126751) on Form 10-Q filed on April 30, 2010).</w:t>
              </w:r>
            </w:hyperlink>
          </w:p>
        </w:tc>
        <w:tc>
          <w:tcPr>
            <w:tcW w:w="1500" w:type="dxa"/>
            <w:vAlign w:val="bottom"/>
            <w:tcBorders>
              <w:top w:val="single" w:sz="8" w:color="0000EE"/>
            </w:tcBorders>
            <w:gridSpan w:val="3"/>
          </w:tcPr>
          <w:p>
            <w:pPr>
              <w:spacing w:after="0"/>
              <w:rPr>
                <w:sz w:val="17"/>
                <w:szCs w:val="17"/>
                <w:color w:val="auto"/>
              </w:rPr>
            </w:pPr>
          </w:p>
        </w:tc>
        <w:tc>
          <w:tcPr>
            <w:tcW w:w="500" w:type="dxa"/>
            <w:vAlign w:val="bottom"/>
            <w:gridSpan w:val="8"/>
          </w:tcPr>
          <w:p>
            <w:pPr>
              <w:spacing w:after="0"/>
              <w:rPr>
                <w:sz w:val="17"/>
                <w:szCs w:val="17"/>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10.21*</w:t>
            </w:r>
          </w:p>
        </w:tc>
        <w:tc>
          <w:tcPr>
            <w:tcW w:w="9880" w:type="dxa"/>
            <w:vAlign w:val="bottom"/>
            <w:tcBorders>
              <w:bottom w:val="single" w:sz="8" w:color="0000EE"/>
            </w:tcBorders>
            <w:gridSpan w:val="19"/>
          </w:tcPr>
          <w:p>
            <w:pPr>
              <w:spacing w:after="0"/>
              <w:rPr>
                <w:rFonts w:ascii="Arial" w:cs="Arial" w:eastAsia="Arial" w:hAnsi="Arial"/>
                <w:sz w:val="18"/>
                <w:szCs w:val="18"/>
                <w:color w:val="0000EE"/>
                <w:w w:val="91"/>
              </w:rPr>
            </w:pPr>
            <w:hyperlink r:id="rId206">
              <w:r>
                <w:rPr>
                  <w:rFonts w:ascii="Arial" w:cs="Arial" w:eastAsia="Arial" w:hAnsi="Arial"/>
                  <w:sz w:val="18"/>
                  <w:szCs w:val="18"/>
                  <w:color w:val="0000EE"/>
                  <w:w w:val="91"/>
                </w:rPr>
                <w:t>Form of Agreement evidencing a grant of Lazard Fund Interests (incorporated by reference to Exhibit 10.54 to the Registrant’s Quarterly</w:t>
              </w:r>
            </w:hyperlink>
          </w:p>
        </w:tc>
        <w:tc>
          <w:tcPr>
            <w:tcW w:w="280" w:type="dxa"/>
            <w:vAlign w:val="bottom"/>
            <w:gridSpan w:val="4"/>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504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206">
              <w:r>
                <w:rPr>
                  <w:rFonts w:ascii="Arial" w:cs="Arial" w:eastAsia="Arial" w:hAnsi="Arial"/>
                  <w:sz w:val="18"/>
                  <w:szCs w:val="18"/>
                  <w:color w:val="0000EE"/>
                  <w:w w:val="92"/>
                </w:rPr>
                <w:t>Report (File No. 333-126751) on Form 10-Q filed on April 29, 2011).</w:t>
              </w:r>
            </w:hyperlink>
          </w:p>
        </w:tc>
        <w:tc>
          <w:tcPr>
            <w:tcW w:w="5120" w:type="dxa"/>
            <w:vAlign w:val="bottom"/>
            <w:gridSpan w:val="13"/>
          </w:tcPr>
          <w:p>
            <w:pPr>
              <w:spacing w:after="0"/>
              <w:rPr>
                <w:sz w:val="17"/>
                <w:szCs w:val="17"/>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10.22*</w:t>
            </w:r>
          </w:p>
        </w:tc>
        <w:tc>
          <w:tcPr>
            <w:tcW w:w="9400" w:type="dxa"/>
            <w:vAlign w:val="bottom"/>
            <w:tcBorders>
              <w:bottom w:val="single" w:sz="8" w:color="0000EE"/>
            </w:tcBorders>
            <w:gridSpan w:val="13"/>
          </w:tcPr>
          <w:p>
            <w:pPr>
              <w:spacing w:after="0"/>
              <w:rPr>
                <w:rFonts w:ascii="Arial" w:cs="Arial" w:eastAsia="Arial" w:hAnsi="Arial"/>
                <w:sz w:val="18"/>
                <w:szCs w:val="18"/>
                <w:color w:val="0000EE"/>
                <w:w w:val="91"/>
              </w:rPr>
            </w:pPr>
            <w:hyperlink r:id="rId207">
              <w:r>
                <w:rPr>
                  <w:rFonts w:ascii="Arial" w:cs="Arial" w:eastAsia="Arial" w:hAnsi="Arial"/>
                  <w:sz w:val="18"/>
                  <w:szCs w:val="18"/>
                  <w:color w:val="0000EE"/>
                  <w:w w:val="91"/>
                </w:rPr>
                <w:t>Form of Agreement for Performance-Based Profits Interest Participation Right Units under the 2018 Incentive Compensation Plan</w:t>
              </w:r>
            </w:hyperlink>
          </w:p>
        </w:tc>
        <w:tc>
          <w:tcPr>
            <w:tcW w:w="760" w:type="dxa"/>
            <w:vAlign w:val="bottom"/>
            <w:gridSpan w:val="10"/>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160" w:type="dxa"/>
            <w:vAlign w:val="bottom"/>
            <w:gridSpan w:val="23"/>
          </w:tcPr>
          <w:p>
            <w:pPr>
              <w:spacing w:after="0" w:line="196" w:lineRule="exact"/>
              <w:rPr>
                <w:rFonts w:ascii="Arial" w:cs="Arial" w:eastAsia="Arial" w:hAnsi="Arial"/>
                <w:sz w:val="18"/>
                <w:szCs w:val="18"/>
                <w:color w:val="0000EE"/>
                <w:w w:val="96"/>
              </w:rPr>
            </w:pPr>
            <w:hyperlink r:id="rId207">
              <w:r>
                <w:rPr>
                  <w:rFonts w:ascii="Arial" w:cs="Arial" w:eastAsia="Arial" w:hAnsi="Arial"/>
                  <w:sz w:val="18"/>
                  <w:szCs w:val="18"/>
                  <w:color w:val="0000EE"/>
                  <w:w w:val="96"/>
                </w:rPr>
                <w:t>(incorporated by reference to Exhibit 10.22 to the Registrant’s Quarterly Report (File No 333-126751) on Form 10-Q filed on April 30,</w:t>
              </w:r>
            </w:hyperlink>
          </w:p>
        </w:tc>
      </w:tr>
      <w:tr>
        <w:trPr>
          <w:trHeight w:val="196"/>
        </w:trPr>
        <w:tc>
          <w:tcPr>
            <w:tcW w:w="126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207">
              <w:r>
                <w:rPr>
                  <w:rFonts w:ascii="Arial" w:cs="Arial" w:eastAsia="Arial" w:hAnsi="Arial"/>
                  <w:sz w:val="18"/>
                  <w:szCs w:val="18"/>
                  <w:color w:val="0000EE"/>
                  <w:w w:val="86"/>
                </w:rPr>
                <w:t>2019).</w:t>
              </w:r>
            </w:hyperlink>
          </w:p>
        </w:tc>
        <w:tc>
          <w:tcPr>
            <w:tcW w:w="172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76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21.1</w:t>
            </w:r>
          </w:p>
        </w:tc>
        <w:tc>
          <w:tcPr>
            <w:tcW w:w="218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143">
              <w:r>
                <w:rPr>
                  <w:rFonts w:ascii="Arial" w:cs="Arial" w:eastAsia="Arial" w:hAnsi="Arial"/>
                  <w:sz w:val="18"/>
                  <w:szCs w:val="18"/>
                  <w:color w:val="0000EE"/>
                  <w:w w:val="89"/>
                </w:rPr>
                <w:t>Subsidiaries of the Registrant.</w:t>
              </w:r>
            </w:hyperlink>
          </w:p>
        </w:tc>
        <w:tc>
          <w:tcPr>
            <w:tcW w:w="7980" w:type="dxa"/>
            <w:vAlign w:val="bottom"/>
            <w:gridSpan w:val="21"/>
          </w:tcPr>
          <w:p>
            <w:pPr>
              <w:spacing w:after="0"/>
              <w:rPr>
                <w:sz w:val="24"/>
                <w:szCs w:val="24"/>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23.1</w:t>
            </w:r>
          </w:p>
        </w:tc>
        <w:tc>
          <w:tcPr>
            <w:tcW w:w="10160" w:type="dxa"/>
            <w:vAlign w:val="bottom"/>
            <w:gridSpan w:val="23"/>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Consent of Independent Registered Public Accounting Firm.</w:t>
              </w:r>
            </w:hyperlink>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31.1</w:t>
            </w:r>
          </w:p>
        </w:tc>
        <w:tc>
          <w:tcPr>
            <w:tcW w:w="37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w:anchor="page145">
              <w:r>
                <w:rPr>
                  <w:rFonts w:ascii="Arial" w:cs="Arial" w:eastAsia="Arial" w:hAnsi="Arial"/>
                  <w:sz w:val="18"/>
                  <w:szCs w:val="18"/>
                  <w:color w:val="0000EE"/>
                  <w:w w:val="91"/>
                </w:rPr>
                <w:t>Rule 13a-14(a) Certification of Kenneth M. Jacobs.</w:t>
              </w:r>
            </w:hyperlink>
          </w:p>
        </w:tc>
        <w:tc>
          <w:tcPr>
            <w:tcW w:w="640" w:type="dxa"/>
            <w:vAlign w:val="bottom"/>
            <w:tcBorders>
              <w:top w:val="single" w:sz="8" w:color="0000EE"/>
            </w:tcBorders>
            <w:gridSpan w:val="3"/>
          </w:tcPr>
          <w:p>
            <w:pPr>
              <w:spacing w:after="0"/>
              <w:rPr>
                <w:sz w:val="24"/>
                <w:szCs w:val="24"/>
                <w:color w:val="auto"/>
              </w:rPr>
            </w:pPr>
          </w:p>
        </w:tc>
        <w:tc>
          <w:tcPr>
            <w:tcW w:w="5800" w:type="dxa"/>
            <w:vAlign w:val="bottom"/>
            <w:gridSpan w:val="14"/>
          </w:tcPr>
          <w:p>
            <w:pPr>
              <w:spacing w:after="0"/>
              <w:rPr>
                <w:sz w:val="24"/>
                <w:szCs w:val="24"/>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31.2</w:t>
            </w:r>
          </w:p>
        </w:tc>
        <w:tc>
          <w:tcPr>
            <w:tcW w:w="10160" w:type="dxa"/>
            <w:vAlign w:val="bottom"/>
            <w:gridSpan w:val="23"/>
          </w:tcPr>
          <w:p>
            <w:pPr>
              <w:spacing w:after="0"/>
              <w:rPr>
                <w:rFonts w:ascii="Arial" w:cs="Arial" w:eastAsia="Arial" w:hAnsi="Arial"/>
                <w:sz w:val="18"/>
                <w:szCs w:val="18"/>
                <w:color w:val="0000EE"/>
              </w:rPr>
            </w:pPr>
            <w:hyperlink w:anchor="page146">
              <w:r>
                <w:rPr>
                  <w:rFonts w:ascii="Arial" w:cs="Arial" w:eastAsia="Arial" w:hAnsi="Arial"/>
                  <w:sz w:val="18"/>
                  <w:szCs w:val="18"/>
                  <w:color w:val="0000EE"/>
                </w:rPr>
                <w:t>Rule 13a-14(a) Certification of Evan L. Russo.</w:t>
              </w:r>
            </w:hyperlink>
          </w:p>
        </w:tc>
      </w:tr>
      <w:tr>
        <w:trPr>
          <w:trHeight w:val="20"/>
        </w:trPr>
        <w:tc>
          <w:tcPr>
            <w:tcW w:w="1260" w:type="dxa"/>
            <w:vAlign w:val="bottom"/>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520" w:type="dxa"/>
            <w:vAlign w:val="bottom"/>
            <w:gridSpan w:val="18"/>
          </w:tcPr>
          <w:p>
            <w:pPr>
              <w:spacing w:after="0" w:line="20" w:lineRule="exact"/>
              <w:rPr>
                <w:sz w:val="1"/>
                <w:szCs w:val="1"/>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32.1</w:t>
            </w:r>
          </w:p>
        </w:tc>
        <w:tc>
          <w:tcPr>
            <w:tcW w:w="364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147">
              <w:r>
                <w:rPr>
                  <w:rFonts w:ascii="Arial" w:cs="Arial" w:eastAsia="Arial" w:hAnsi="Arial"/>
                  <w:sz w:val="18"/>
                  <w:szCs w:val="18"/>
                  <w:color w:val="0000EE"/>
                  <w:w w:val="91"/>
                </w:rPr>
                <w:t>Section 1350 Certification for Kenneth M. Jacobs.</w:t>
              </w:r>
            </w:hyperlink>
          </w:p>
        </w:tc>
        <w:tc>
          <w:tcPr>
            <w:tcW w:w="6520" w:type="dxa"/>
            <w:vAlign w:val="bottom"/>
            <w:gridSpan w:val="18"/>
          </w:tcPr>
          <w:p>
            <w:pPr>
              <w:spacing w:after="0"/>
              <w:rPr>
                <w:sz w:val="24"/>
                <w:szCs w:val="24"/>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32.2</w:t>
            </w:r>
          </w:p>
        </w:tc>
        <w:tc>
          <w:tcPr>
            <w:tcW w:w="10160" w:type="dxa"/>
            <w:vAlign w:val="bottom"/>
            <w:gridSpan w:val="23"/>
          </w:tcPr>
          <w:p>
            <w:pPr>
              <w:spacing w:after="0"/>
              <w:rPr>
                <w:rFonts w:ascii="Arial" w:cs="Arial" w:eastAsia="Arial" w:hAnsi="Arial"/>
                <w:sz w:val="18"/>
                <w:szCs w:val="18"/>
                <w:color w:val="0000EE"/>
              </w:rPr>
            </w:pPr>
            <w:hyperlink w:anchor="page148">
              <w:r>
                <w:rPr>
                  <w:rFonts w:ascii="Arial" w:cs="Arial" w:eastAsia="Arial" w:hAnsi="Arial"/>
                  <w:sz w:val="18"/>
                  <w:szCs w:val="18"/>
                  <w:color w:val="0000EE"/>
                </w:rPr>
                <w:t>Section 1350 Certification for Evan L. Russo.</w:t>
              </w:r>
            </w:hyperlink>
          </w:p>
        </w:tc>
      </w:tr>
      <w:tr>
        <w:trPr>
          <w:trHeight w:val="20"/>
        </w:trPr>
        <w:tc>
          <w:tcPr>
            <w:tcW w:w="1260" w:type="dxa"/>
            <w:vAlign w:val="bottom"/>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6860" w:type="dxa"/>
            <w:vAlign w:val="bottom"/>
            <w:gridSpan w:val="20"/>
          </w:tcPr>
          <w:p>
            <w:pPr>
              <w:spacing w:after="0" w:line="20" w:lineRule="exact"/>
              <w:rPr>
                <w:sz w:val="1"/>
                <w:szCs w:val="1"/>
                <w:color w:val="auto"/>
              </w:rPr>
            </w:pPr>
          </w:p>
        </w:tc>
      </w:tr>
      <w:tr>
        <w:trPr>
          <w:trHeight w:val="344"/>
        </w:trPr>
        <w:tc>
          <w:tcPr>
            <w:tcW w:w="1260" w:type="dxa"/>
            <w:vAlign w:val="bottom"/>
          </w:tcPr>
          <w:p>
            <w:pPr>
              <w:spacing w:after="0"/>
              <w:rPr>
                <w:sz w:val="20"/>
                <w:szCs w:val="20"/>
                <w:color w:val="auto"/>
              </w:rPr>
            </w:pPr>
            <w:r>
              <w:rPr>
                <w:rFonts w:ascii="Arial" w:cs="Arial" w:eastAsia="Arial" w:hAnsi="Arial"/>
                <w:sz w:val="18"/>
                <w:szCs w:val="18"/>
                <w:color w:val="auto"/>
              </w:rPr>
              <w:t>101.INS</w:t>
            </w:r>
          </w:p>
        </w:tc>
        <w:tc>
          <w:tcPr>
            <w:tcW w:w="10160" w:type="dxa"/>
            <w:vAlign w:val="bottom"/>
            <w:gridSpan w:val="23"/>
          </w:tcPr>
          <w:p>
            <w:pPr>
              <w:spacing w:after="0"/>
              <w:rPr>
                <w:sz w:val="20"/>
                <w:szCs w:val="20"/>
                <w:color w:val="auto"/>
              </w:rPr>
            </w:pPr>
            <w:r>
              <w:rPr>
                <w:rFonts w:ascii="Arial" w:cs="Arial" w:eastAsia="Arial" w:hAnsi="Arial"/>
                <w:sz w:val="18"/>
                <w:szCs w:val="18"/>
                <w:color w:val="auto"/>
                <w:w w:val="92"/>
              </w:rPr>
              <w:t>Inline XBRL Instance Document – the instance document does not appear in the Interactive Data File because iXBRL tags are embedded</w:t>
            </w:r>
          </w:p>
        </w:tc>
      </w:tr>
      <w:tr>
        <w:trPr>
          <w:trHeight w:val="230"/>
        </w:trPr>
        <w:tc>
          <w:tcPr>
            <w:tcW w:w="1260" w:type="dxa"/>
            <w:vAlign w:val="bottom"/>
          </w:tcPr>
          <w:p>
            <w:pPr>
              <w:spacing w:after="0"/>
              <w:rPr>
                <w:sz w:val="20"/>
                <w:szCs w:val="20"/>
                <w:color w:val="auto"/>
              </w:rPr>
            </w:pPr>
          </w:p>
        </w:tc>
        <w:tc>
          <w:tcPr>
            <w:tcW w:w="10160" w:type="dxa"/>
            <w:vAlign w:val="bottom"/>
            <w:gridSpan w:val="23"/>
          </w:tcPr>
          <w:p>
            <w:pPr>
              <w:spacing w:after="0"/>
              <w:rPr>
                <w:sz w:val="20"/>
                <w:szCs w:val="20"/>
                <w:color w:val="auto"/>
              </w:rPr>
            </w:pPr>
            <w:r>
              <w:rPr>
                <w:rFonts w:ascii="Arial" w:cs="Arial" w:eastAsia="Arial" w:hAnsi="Arial"/>
                <w:sz w:val="18"/>
                <w:szCs w:val="18"/>
                <w:color w:val="auto"/>
              </w:rPr>
              <w:t>within the Inline XBRL document.</w:t>
            </w:r>
          </w:p>
        </w:tc>
      </w:tr>
      <w:tr>
        <w:trPr>
          <w:trHeight w:val="338"/>
        </w:trPr>
        <w:tc>
          <w:tcPr>
            <w:tcW w:w="1260" w:type="dxa"/>
            <w:vAlign w:val="bottom"/>
          </w:tcPr>
          <w:p>
            <w:pPr>
              <w:spacing w:after="0"/>
              <w:rPr>
                <w:sz w:val="20"/>
                <w:szCs w:val="20"/>
                <w:color w:val="auto"/>
              </w:rPr>
            </w:pPr>
            <w:r>
              <w:rPr>
                <w:rFonts w:ascii="Arial" w:cs="Arial" w:eastAsia="Arial" w:hAnsi="Arial"/>
                <w:sz w:val="18"/>
                <w:szCs w:val="18"/>
                <w:color w:val="auto"/>
              </w:rPr>
              <w:t>101.SCH</w:t>
            </w:r>
          </w:p>
        </w:tc>
        <w:tc>
          <w:tcPr>
            <w:tcW w:w="10160" w:type="dxa"/>
            <w:vAlign w:val="bottom"/>
            <w:gridSpan w:val="23"/>
          </w:tcPr>
          <w:p>
            <w:pPr>
              <w:spacing w:after="0"/>
              <w:rPr>
                <w:sz w:val="20"/>
                <w:szCs w:val="20"/>
                <w:color w:val="auto"/>
              </w:rPr>
            </w:pPr>
            <w:r>
              <w:rPr>
                <w:rFonts w:ascii="Arial" w:cs="Arial" w:eastAsia="Arial" w:hAnsi="Arial"/>
                <w:sz w:val="18"/>
                <w:szCs w:val="18"/>
                <w:color w:val="auto"/>
              </w:rPr>
              <w:t>Inline XBRL Taxonomy Extension Schema</w:t>
            </w:r>
          </w:p>
        </w:tc>
      </w:tr>
      <w:tr>
        <w:trPr>
          <w:trHeight w:val="338"/>
        </w:trPr>
        <w:tc>
          <w:tcPr>
            <w:tcW w:w="1260" w:type="dxa"/>
            <w:vAlign w:val="bottom"/>
          </w:tcPr>
          <w:p>
            <w:pPr>
              <w:spacing w:after="0"/>
              <w:rPr>
                <w:sz w:val="20"/>
                <w:szCs w:val="20"/>
                <w:color w:val="auto"/>
              </w:rPr>
            </w:pPr>
            <w:r>
              <w:rPr>
                <w:rFonts w:ascii="Arial" w:cs="Arial" w:eastAsia="Arial" w:hAnsi="Arial"/>
                <w:sz w:val="18"/>
                <w:szCs w:val="18"/>
                <w:color w:val="auto"/>
              </w:rPr>
              <w:t>101.CAL</w:t>
            </w:r>
          </w:p>
        </w:tc>
        <w:tc>
          <w:tcPr>
            <w:tcW w:w="10160" w:type="dxa"/>
            <w:vAlign w:val="bottom"/>
            <w:gridSpan w:val="23"/>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338"/>
        </w:trPr>
        <w:tc>
          <w:tcPr>
            <w:tcW w:w="1260" w:type="dxa"/>
            <w:vAlign w:val="bottom"/>
          </w:tcPr>
          <w:p>
            <w:pPr>
              <w:spacing w:after="0"/>
              <w:rPr>
                <w:sz w:val="20"/>
                <w:szCs w:val="20"/>
                <w:color w:val="auto"/>
              </w:rPr>
            </w:pPr>
            <w:r>
              <w:rPr>
                <w:rFonts w:ascii="Arial" w:cs="Arial" w:eastAsia="Arial" w:hAnsi="Arial"/>
                <w:sz w:val="18"/>
                <w:szCs w:val="18"/>
                <w:color w:val="auto"/>
              </w:rPr>
              <w:t>101.DEF</w:t>
            </w:r>
          </w:p>
        </w:tc>
        <w:tc>
          <w:tcPr>
            <w:tcW w:w="10160" w:type="dxa"/>
            <w:vAlign w:val="bottom"/>
            <w:gridSpan w:val="23"/>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338"/>
        </w:trPr>
        <w:tc>
          <w:tcPr>
            <w:tcW w:w="1260" w:type="dxa"/>
            <w:vAlign w:val="bottom"/>
          </w:tcPr>
          <w:p>
            <w:pPr>
              <w:spacing w:after="0"/>
              <w:rPr>
                <w:sz w:val="20"/>
                <w:szCs w:val="20"/>
                <w:color w:val="auto"/>
              </w:rPr>
            </w:pPr>
            <w:r>
              <w:rPr>
                <w:rFonts w:ascii="Arial" w:cs="Arial" w:eastAsia="Arial" w:hAnsi="Arial"/>
                <w:sz w:val="18"/>
                <w:szCs w:val="18"/>
                <w:color w:val="auto"/>
              </w:rPr>
              <w:t>101.LAB</w:t>
            </w:r>
          </w:p>
        </w:tc>
        <w:tc>
          <w:tcPr>
            <w:tcW w:w="10160" w:type="dxa"/>
            <w:vAlign w:val="bottom"/>
            <w:gridSpan w:val="23"/>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338"/>
        </w:trPr>
        <w:tc>
          <w:tcPr>
            <w:tcW w:w="1260" w:type="dxa"/>
            <w:vAlign w:val="bottom"/>
          </w:tcPr>
          <w:p>
            <w:pPr>
              <w:spacing w:after="0"/>
              <w:rPr>
                <w:sz w:val="20"/>
                <w:szCs w:val="20"/>
                <w:color w:val="auto"/>
              </w:rPr>
            </w:pPr>
            <w:r>
              <w:rPr>
                <w:rFonts w:ascii="Arial" w:cs="Arial" w:eastAsia="Arial" w:hAnsi="Arial"/>
                <w:sz w:val="18"/>
                <w:szCs w:val="18"/>
                <w:color w:val="auto"/>
              </w:rPr>
              <w:t>101.PRE</w:t>
            </w:r>
          </w:p>
        </w:tc>
        <w:tc>
          <w:tcPr>
            <w:tcW w:w="10160" w:type="dxa"/>
            <w:vAlign w:val="bottom"/>
            <w:gridSpan w:val="23"/>
          </w:tcPr>
          <w:p>
            <w:pPr>
              <w:spacing w:after="0"/>
              <w:rPr>
                <w:sz w:val="20"/>
                <w:szCs w:val="20"/>
                <w:color w:val="auto"/>
              </w:rPr>
            </w:pPr>
            <w:r>
              <w:rPr>
                <w:rFonts w:ascii="Arial" w:cs="Arial" w:eastAsia="Arial" w:hAnsi="Arial"/>
                <w:sz w:val="18"/>
                <w:szCs w:val="18"/>
                <w:color w:val="auto"/>
              </w:rPr>
              <w:t>Inline XBRL Taxonomy Extension Presentation Linkbase</w:t>
            </w:r>
          </w:p>
        </w:tc>
      </w:tr>
    </w:tbl>
    <w:p>
      <w:pPr>
        <w:ind w:left="1260" w:hanging="1252"/>
        <w:spacing w:after="0"/>
        <w:tabs>
          <w:tab w:leader="none" w:pos="12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39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111506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8">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 AND FINANCIAL STATEMENT SCHEDULE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ITEMS 15(a)(1) AND 15(a)(2)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gridSpan w:val="11"/>
            <w:vMerge w:val="restart"/>
          </w:tcPr>
          <w:p>
            <w:pPr>
              <w:spacing w:after="0"/>
              <w:rPr>
                <w:rFonts w:ascii="Arial" w:cs="Arial" w:eastAsia="Arial" w:hAnsi="Arial"/>
                <w:sz w:val="18"/>
                <w:szCs w:val="18"/>
                <w:color w:val="0000EE"/>
                <w:w w:val="91"/>
              </w:rPr>
            </w:pPr>
            <w:hyperlink w:anchor="page68">
              <w:r>
                <w:rPr>
                  <w:rFonts w:ascii="Arial" w:cs="Arial" w:eastAsia="Arial" w:hAnsi="Arial"/>
                  <w:sz w:val="18"/>
                  <w:szCs w:val="18"/>
                  <w:color w:val="0000EE"/>
                  <w:w w:val="91"/>
                </w:rPr>
                <w:t>Management’s Report on Internal Control Over Financial Reporting</w:t>
              </w:r>
            </w:hyperlink>
          </w:p>
        </w:tc>
        <w:tc>
          <w:tcPr>
            <w:tcW w:w="5680" w:type="dxa"/>
            <w:vAlign w:val="bottom"/>
            <w:gridSpan w:val="10"/>
            <w:vMerge w:val="restart"/>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61"/>
        </w:trPr>
        <w:tc>
          <w:tcPr>
            <w:tcW w:w="4920" w:type="dxa"/>
            <w:vAlign w:val="bottom"/>
            <w:tcBorders>
              <w:bottom w:val="single" w:sz="8" w:color="0000EE"/>
            </w:tcBorders>
            <w:gridSpan w:val="11"/>
            <w:vMerge w:val="continue"/>
          </w:tcPr>
          <w:p>
            <w:pPr>
              <w:spacing w:after="0"/>
              <w:rPr>
                <w:sz w:val="13"/>
                <w:szCs w:val="13"/>
                <w:color w:val="auto"/>
              </w:rPr>
            </w:pPr>
          </w:p>
        </w:tc>
        <w:tc>
          <w:tcPr>
            <w:tcW w:w="5680" w:type="dxa"/>
            <w:vAlign w:val="bottom"/>
            <w:gridSpan w:val="10"/>
            <w:vMerge w:val="continue"/>
          </w:tcPr>
          <w:p>
            <w:pPr>
              <w:spacing w:after="0"/>
              <w:rPr>
                <w:sz w:val="13"/>
                <w:szCs w:val="13"/>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66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430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69">
              <w:r>
                <w:rPr>
                  <w:rFonts w:ascii="Arial" w:cs="Arial" w:eastAsia="Arial" w:hAnsi="Arial"/>
                  <w:sz w:val="18"/>
                  <w:szCs w:val="18"/>
                  <w:color w:val="0000EE"/>
                  <w:w w:val="91"/>
                </w:rPr>
                <w:t>Reports of Independent Registered Public Accounting Firm</w:t>
              </w:r>
            </w:hyperlink>
          </w:p>
        </w:tc>
        <w:tc>
          <w:tcPr>
            <w:tcW w:w="6300" w:type="dxa"/>
            <w:vAlign w:val="bottom"/>
            <w:gridSpan w:val="11"/>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58"/>
        </w:trPr>
        <w:tc>
          <w:tcPr>
            <w:tcW w:w="10600" w:type="dxa"/>
            <w:vAlign w:val="bottom"/>
            <w:gridSpan w:val="21"/>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600" w:type="dxa"/>
            <w:vAlign w:val="bottom"/>
            <w:gridSpan w:val="21"/>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Consolidated Statements of Financial Condition as of December 31, 2019 and 2018</w:t>
              </w:r>
            </w:hyperlink>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0" w:type="dxa"/>
            <w:vAlign w:val="bottom"/>
            <w:gridSpan w:val="21"/>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Consolidated Statements of Operations for the years ended December 31, 2019, 2018 and 2017</w:t>
              </w:r>
            </w:hyperlink>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18"/>
        </w:trPr>
        <w:tc>
          <w:tcPr>
            <w:tcW w:w="672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0"/>
              </w:rPr>
            </w:pPr>
            <w:hyperlink w:anchor="page74">
              <w:r>
                <w:rPr>
                  <w:rFonts w:ascii="Arial" w:cs="Arial" w:eastAsia="Arial" w:hAnsi="Arial"/>
                  <w:sz w:val="18"/>
                  <w:szCs w:val="18"/>
                  <w:color w:val="0000EE"/>
                  <w:w w:val="90"/>
                </w:rPr>
                <w:t>Consolidated Statements of Comprehensive Income for the years ended December 31, 2019,</w:t>
              </w:r>
            </w:hyperlink>
          </w:p>
        </w:tc>
        <w:tc>
          <w:tcPr>
            <w:tcW w:w="140" w:type="dxa"/>
            <w:vAlign w:val="bottom"/>
            <w:tcBorders>
              <w:top w:val="single" w:sz="8" w:color="0000EE"/>
            </w:tcBorders>
          </w:tcPr>
          <w:p>
            <w:pPr>
              <w:spacing w:after="0"/>
              <w:rPr>
                <w:sz w:val="24"/>
                <w:szCs w:val="24"/>
                <w:color w:val="auto"/>
              </w:rPr>
            </w:pPr>
          </w:p>
        </w:tc>
        <w:tc>
          <w:tcPr>
            <w:tcW w:w="3740" w:type="dxa"/>
            <w:vAlign w:val="bottom"/>
            <w:gridSpan w:val="6"/>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74">
              <w:r>
                <w:rPr>
                  <w:rFonts w:ascii="Arial" w:cs="Arial" w:eastAsia="Arial" w:hAnsi="Arial"/>
                  <w:sz w:val="18"/>
                  <w:szCs w:val="18"/>
                  <w:color w:val="0000EE"/>
                  <w:w w:val="88"/>
                </w:rPr>
                <w:t>2018 and 2017</w:t>
              </w:r>
            </w:hyperlink>
          </w:p>
        </w:tc>
        <w:tc>
          <w:tcPr>
            <w:tcW w:w="9300" w:type="dxa"/>
            <w:vAlign w:val="bottom"/>
            <w:gridSpan w:val="16"/>
          </w:tcPr>
          <w:p>
            <w:pPr>
              <w:spacing w:after="0"/>
              <w:rPr>
                <w:sz w:val="17"/>
                <w:szCs w:val="17"/>
                <w:color w:val="auto"/>
              </w:rPr>
            </w:pPr>
          </w:p>
        </w:tc>
        <w:tc>
          <w:tcPr>
            <w:tcW w:w="8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18"/>
        </w:trPr>
        <w:tc>
          <w:tcPr>
            <w:tcW w:w="692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Consolidated Statements of Cash Flows for the years ended December 31, 2019, 2018 and 2017</w:t>
              </w:r>
            </w:hyperlink>
          </w:p>
        </w:tc>
        <w:tc>
          <w:tcPr>
            <w:tcW w:w="3680" w:type="dxa"/>
            <w:vAlign w:val="bottom"/>
            <w:gridSpan w:val="5"/>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18"/>
        </w:trPr>
        <w:tc>
          <w:tcPr>
            <w:tcW w:w="712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77">
              <w:r>
                <w:rPr>
                  <w:rFonts w:ascii="Arial" w:cs="Arial" w:eastAsia="Arial" w:hAnsi="Arial"/>
                  <w:sz w:val="18"/>
                  <w:szCs w:val="18"/>
                  <w:color w:val="0000EE"/>
                  <w:w w:val="90"/>
                </w:rPr>
                <w:t>Consolidated Statements of Changes in Members’ Equity for the years ended December 31, 2019,</w:t>
              </w:r>
            </w:hyperlink>
          </w:p>
        </w:tc>
        <w:tc>
          <w:tcPr>
            <w:tcW w:w="3480" w:type="dxa"/>
            <w:vAlign w:val="bottom"/>
            <w:gridSpan w:val="3"/>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77">
              <w:r>
                <w:rPr>
                  <w:rFonts w:ascii="Arial" w:cs="Arial" w:eastAsia="Arial" w:hAnsi="Arial"/>
                  <w:sz w:val="18"/>
                  <w:szCs w:val="18"/>
                  <w:color w:val="0000EE"/>
                  <w:w w:val="88"/>
                </w:rPr>
                <w:t>2018 and 2017</w:t>
              </w:r>
            </w:hyperlink>
          </w:p>
        </w:tc>
        <w:tc>
          <w:tcPr>
            <w:tcW w:w="9300" w:type="dxa"/>
            <w:vAlign w:val="bottom"/>
            <w:gridSpan w:val="16"/>
          </w:tcPr>
          <w:p>
            <w:pPr>
              <w:spacing w:after="0"/>
              <w:rPr>
                <w:sz w:val="17"/>
                <w:szCs w:val="17"/>
                <w:color w:val="auto"/>
              </w:rPr>
            </w:pPr>
          </w:p>
        </w:tc>
        <w:tc>
          <w:tcPr>
            <w:tcW w:w="8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18"/>
        </w:trPr>
        <w:tc>
          <w:tcPr>
            <w:tcW w:w="316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Notes to Consolidated Financial Statements</w:t>
              </w:r>
            </w:hyperlink>
          </w:p>
        </w:tc>
        <w:tc>
          <w:tcPr>
            <w:tcW w:w="7440" w:type="dxa"/>
            <w:vAlign w:val="bottom"/>
            <w:gridSpan w:val="13"/>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318"/>
        </w:trPr>
        <w:tc>
          <w:tcPr>
            <w:tcW w:w="2820" w:type="dxa"/>
            <w:vAlign w:val="bottom"/>
            <w:tcBorders>
              <w:bottom w:val="single" w:sz="8" w:color="0000EE"/>
            </w:tcBorders>
            <w:gridSpan w:val="7"/>
          </w:tcPr>
          <w:p>
            <w:pPr>
              <w:spacing w:after="0"/>
              <w:rPr>
                <w:rFonts w:ascii="Arial" w:cs="Arial" w:eastAsia="Arial" w:hAnsi="Arial"/>
                <w:sz w:val="18"/>
                <w:szCs w:val="18"/>
                <w:b w:val="1"/>
                <w:bCs w:val="1"/>
                <w:color w:val="0000EE"/>
                <w:w w:val="91"/>
              </w:rPr>
            </w:pPr>
            <w:hyperlink w:anchor="page129">
              <w:r>
                <w:rPr>
                  <w:rFonts w:ascii="Arial" w:cs="Arial" w:eastAsia="Arial" w:hAnsi="Arial"/>
                  <w:sz w:val="18"/>
                  <w:szCs w:val="18"/>
                  <w:b w:val="1"/>
                  <w:bCs w:val="1"/>
                  <w:color w:val="0000EE"/>
                  <w:w w:val="91"/>
                </w:rPr>
                <w:t>Supplemental Financial Information</w:t>
              </w:r>
            </w:hyperlink>
          </w:p>
        </w:tc>
        <w:tc>
          <w:tcPr>
            <w:tcW w:w="7780" w:type="dxa"/>
            <w:vAlign w:val="bottom"/>
            <w:gridSpan w:val="14"/>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8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129">
              <w:r>
                <w:rPr>
                  <w:rFonts w:ascii="Arial" w:cs="Arial" w:eastAsia="Arial" w:hAnsi="Arial"/>
                  <w:sz w:val="18"/>
                  <w:szCs w:val="18"/>
                  <w:color w:val="0000EE"/>
                  <w:w w:val="90"/>
                </w:rPr>
                <w:t>Quarterly Results</w:t>
              </w:r>
            </w:hyperlink>
          </w:p>
        </w:tc>
        <w:tc>
          <w:tcPr>
            <w:tcW w:w="9320" w:type="dxa"/>
            <w:vAlign w:val="bottom"/>
            <w:gridSpan w:val="17"/>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358"/>
        </w:trPr>
        <w:tc>
          <w:tcPr>
            <w:tcW w:w="10600" w:type="dxa"/>
            <w:vAlign w:val="bottom"/>
            <w:gridSpan w:val="21"/>
          </w:tcPr>
          <w:p>
            <w:pPr>
              <w:spacing w:after="0"/>
              <w:rPr>
                <w:sz w:val="20"/>
                <w:szCs w:val="20"/>
                <w:color w:val="auto"/>
              </w:rPr>
            </w:pPr>
            <w:r>
              <w:rPr>
                <w:rFonts w:ascii="Arial" w:cs="Arial" w:eastAsia="Arial" w:hAnsi="Arial"/>
                <w:sz w:val="18"/>
                <w:szCs w:val="18"/>
                <w:b w:val="1"/>
                <w:bCs w:val="1"/>
                <w:color w:val="auto"/>
              </w:rPr>
              <w:t>Financial Statement Schedules</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600" w:type="dxa"/>
            <w:vAlign w:val="bottom"/>
            <w:gridSpan w:val="21"/>
          </w:tcPr>
          <w:p>
            <w:pPr>
              <w:spacing w:after="0"/>
              <w:rPr>
                <w:sz w:val="20"/>
                <w:szCs w:val="20"/>
                <w:color w:val="auto"/>
              </w:rPr>
            </w:pPr>
            <w:r>
              <w:rPr>
                <w:rFonts w:ascii="Arial" w:cs="Arial" w:eastAsia="Arial" w:hAnsi="Arial"/>
                <w:sz w:val="18"/>
                <w:szCs w:val="18"/>
                <w:color w:val="auto"/>
              </w:rPr>
              <w:t>Schedule I—Condensed Financial Information of Registrant (Parent Company Only)</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8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137">
              <w:r>
                <w:rPr>
                  <w:rFonts w:ascii="Arial" w:cs="Arial" w:eastAsia="Arial" w:hAnsi="Arial"/>
                  <w:sz w:val="18"/>
                  <w:szCs w:val="18"/>
                  <w:color w:val="0000EE"/>
                  <w:w w:val="89"/>
                </w:rPr>
                <w:t>Condensed Statements of Financial Condition as of December 31, 2019 and 2018</w:t>
              </w:r>
            </w:hyperlink>
          </w:p>
        </w:tc>
        <w:tc>
          <w:tcPr>
            <w:tcW w:w="4280" w:type="dxa"/>
            <w:vAlign w:val="bottom"/>
            <w:gridSpan w:val="8"/>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318"/>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72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138">
              <w:r>
                <w:rPr>
                  <w:rFonts w:ascii="Arial" w:cs="Arial" w:eastAsia="Arial" w:hAnsi="Arial"/>
                  <w:sz w:val="18"/>
                  <w:szCs w:val="18"/>
                  <w:color w:val="0000EE"/>
                  <w:w w:val="88"/>
                </w:rPr>
                <w:t>Condensed Statements of Operations for the years ended December 31, 2019, 2018 and 2017</w:t>
              </w:r>
            </w:hyperlink>
          </w:p>
        </w:tc>
        <w:tc>
          <w:tcPr>
            <w:tcW w:w="3440" w:type="dxa"/>
            <w:vAlign w:val="bottom"/>
            <w:gridSpan w:val="2"/>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318"/>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5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139">
              <w:r>
                <w:rPr>
                  <w:rFonts w:ascii="Arial" w:cs="Arial" w:eastAsia="Arial" w:hAnsi="Arial"/>
                  <w:sz w:val="18"/>
                  <w:szCs w:val="18"/>
                  <w:color w:val="0000EE"/>
                  <w:w w:val="89"/>
                </w:rPr>
                <w:t>Condensed Statements of Comprehensive Income for the years ended December 31, 2019,</w:t>
              </w:r>
            </w:hyperlink>
          </w:p>
        </w:tc>
        <w:tc>
          <w:tcPr>
            <w:tcW w:w="3600" w:type="dxa"/>
            <w:vAlign w:val="bottom"/>
            <w:gridSpan w:val="4"/>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139">
              <w:r>
                <w:rPr>
                  <w:rFonts w:ascii="Arial" w:cs="Arial" w:eastAsia="Arial" w:hAnsi="Arial"/>
                  <w:sz w:val="18"/>
                  <w:szCs w:val="18"/>
                  <w:color w:val="0000EE"/>
                  <w:w w:val="88"/>
                </w:rPr>
                <w:t>2018 and 2017</w:t>
              </w:r>
            </w:hyperlink>
          </w:p>
        </w:tc>
        <w:tc>
          <w:tcPr>
            <w:tcW w:w="8860" w:type="dxa"/>
            <w:vAlign w:val="bottom"/>
            <w:gridSpan w:val="15"/>
          </w:tcPr>
          <w:p>
            <w:pPr>
              <w:spacing w:after="0"/>
              <w:rPr>
                <w:sz w:val="17"/>
                <w:szCs w:val="17"/>
                <w:color w:val="auto"/>
              </w:rPr>
            </w:pPr>
          </w:p>
        </w:tc>
        <w:tc>
          <w:tcPr>
            <w:tcW w:w="8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318"/>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60" w:type="dxa"/>
            <w:vAlign w:val="bottom"/>
            <w:gridSpan w:val="19"/>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Condensed Statements of Cash Flows for the years ended December 31, 2019, 2018 and 2017</w:t>
              </w:r>
            </w:hyperlink>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318"/>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760" w:type="dxa"/>
            <w:vAlign w:val="bottom"/>
            <w:tcBorders>
              <w:top w:val="single" w:sz="8" w:color="0000EE"/>
            </w:tcBorders>
            <w:gridSpan w:val="18"/>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Notes to Condensed Financial Statements</w:t>
              </w:r>
            </w:hyperlink>
          </w:p>
        </w:tc>
        <w:tc>
          <w:tcPr>
            <w:tcW w:w="340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ind w:right="20" w:firstLine="598"/>
        <w:spacing w:after="0" w:line="277"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consolidated financial statements or notes thereto.</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6" w:name="page137"/>
    <w:bookmarkEnd w:id="136"/>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2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(parent company only)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105"/>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60" w:type="dxa"/>
            <w:vAlign w:val="bottom"/>
            <w:tcBorders>
              <w:bottom w:val="single" w:sz="8" w:color="CFF0FC"/>
            </w:tcBorders>
          </w:tcPr>
          <w:p>
            <w:pPr>
              <w:spacing w:after="0"/>
              <w:rPr>
                <w:sz w:val="13"/>
                <w:szCs w:val="13"/>
                <w:color w:val="auto"/>
              </w:rPr>
            </w:pPr>
          </w:p>
        </w:tc>
        <w:tc>
          <w:tcPr>
            <w:tcW w:w="20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23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136,729</w:t>
            </w:r>
          </w:p>
        </w:tc>
        <w:tc>
          <w:tcPr>
            <w:tcW w:w="160" w:type="dxa"/>
            <w:vAlign w:val="bottom"/>
          </w:tcPr>
          <w:p>
            <w:pPr>
              <w:spacing w:after="0"/>
              <w:rPr>
                <w:sz w:val="19"/>
                <w:szCs w:val="19"/>
                <w:color w:val="auto"/>
              </w:rPr>
            </w:pPr>
          </w:p>
        </w:tc>
        <w:tc>
          <w:tcPr>
            <w:tcW w:w="58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157,398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Due from subsidiaries of Lazard Ltd</w:t>
            </w:r>
          </w:p>
        </w:tc>
        <w:tc>
          <w:tcPr>
            <w:tcW w:w="2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547,725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368,789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Other receivables, net</w:t>
            </w:r>
          </w:p>
        </w:tc>
        <w:tc>
          <w:tcPr>
            <w:tcW w:w="2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Investments in subsidiaries, equity method</w:t>
            </w:r>
          </w:p>
        </w:tc>
        <w:tc>
          <w:tcPr>
            <w:tcW w:w="2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1,291,168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1,384,874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Other investments</w:t>
            </w:r>
          </w:p>
        </w:tc>
        <w:tc>
          <w:tcPr>
            <w:tcW w:w="2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273,689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346,807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net</w:t>
            </w:r>
          </w:p>
        </w:tc>
        <w:tc>
          <w:tcPr>
            <w:tcW w:w="2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106,170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Operating lease right-of-use assets</w:t>
            </w:r>
          </w:p>
        </w:tc>
        <w:tc>
          <w:tcPr>
            <w:tcW w:w="2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356,299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Goodwill and other intangibles assets-net</w:t>
            </w:r>
          </w:p>
        </w:tc>
        <w:tc>
          <w:tcPr>
            <w:tcW w:w="2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37,138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assets</w:t>
            </w:r>
          </w:p>
        </w:tc>
        <w:tc>
          <w:tcPr>
            <w:tcW w:w="20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61,578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67,393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20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2,812,821</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2,472,015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MEMBERS’ EQUITY</w:t>
            </w:r>
          </w:p>
        </w:tc>
        <w:tc>
          <w:tcPr>
            <w:tcW w:w="2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vMerge w:val="continue"/>
          </w:tcPr>
          <w:p>
            <w:pPr>
              <w:spacing w:after="0"/>
              <w:rPr>
                <w:sz w:val="18"/>
                <w:szCs w:val="18"/>
                <w:color w:val="auto"/>
              </w:rPr>
            </w:pPr>
          </w:p>
        </w:tc>
        <w:tc>
          <w:tcPr>
            <w:tcW w:w="2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Accrued compensation and benefits</w:t>
            </w:r>
          </w:p>
        </w:tc>
        <w:tc>
          <w:tcPr>
            <w:tcW w:w="23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176,634</w:t>
            </w:r>
          </w:p>
        </w:tc>
        <w:tc>
          <w:tcPr>
            <w:tcW w:w="160" w:type="dxa"/>
            <w:vAlign w:val="bottom"/>
          </w:tcPr>
          <w:p>
            <w:pPr>
              <w:spacing w:after="0"/>
              <w:rPr>
                <w:sz w:val="19"/>
                <w:szCs w:val="19"/>
                <w:color w:val="auto"/>
              </w:rPr>
            </w:pPr>
          </w:p>
        </w:tc>
        <w:tc>
          <w:tcPr>
            <w:tcW w:w="58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165,121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Due to subsidiaries of Lazard Ltd</w:t>
            </w:r>
          </w:p>
        </w:tc>
        <w:tc>
          <w:tcPr>
            <w:tcW w:w="2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262,303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214,322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Operating lease liabilities</w:t>
            </w:r>
          </w:p>
        </w:tc>
        <w:tc>
          <w:tcPr>
            <w:tcW w:w="2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430,851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Senior debt</w:t>
            </w:r>
          </w:p>
        </w:tc>
        <w:tc>
          <w:tcPr>
            <w:tcW w:w="2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1,679,562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1,434,260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liabilities</w:t>
            </w:r>
          </w:p>
        </w:tc>
        <w:tc>
          <w:tcPr>
            <w:tcW w:w="20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44,551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128,267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2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2,593,901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1,941,970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MEMBERS’ EQUITY</w:t>
            </w:r>
          </w:p>
        </w:tc>
        <w:tc>
          <w:tcPr>
            <w:tcW w:w="2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Members' equity</w:t>
            </w:r>
          </w:p>
        </w:tc>
        <w:tc>
          <w:tcPr>
            <w:tcW w:w="2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469,324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758,705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 net of tax</w:t>
            </w:r>
          </w:p>
        </w:tc>
        <w:tc>
          <w:tcPr>
            <w:tcW w:w="2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(250,404)</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(228,660)</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members’ equity</w:t>
            </w:r>
          </w:p>
        </w:tc>
        <w:tc>
          <w:tcPr>
            <w:tcW w:w="20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218,920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530,045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members’ equity</w:t>
            </w:r>
          </w:p>
        </w:tc>
        <w:tc>
          <w:tcPr>
            <w:tcW w:w="20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2,812,821</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2,472,015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37" w:name="page138"/>
    <w:bookmarkEnd w:id="137"/>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2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(parent company only)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620" w:type="dxa"/>
            <w:vAlign w:val="bottom"/>
            <w:tcBorders>
              <w:bottom w:val="single" w:sz="8" w:color="CFF0FC"/>
            </w:tcBorders>
          </w:tcPr>
          <w:p>
            <w:pPr>
              <w:spacing w:after="0"/>
              <w:rPr>
                <w:sz w:val="13"/>
                <w:szCs w:val="13"/>
                <w:color w:val="auto"/>
              </w:rPr>
            </w:pPr>
          </w:p>
        </w:tc>
        <w:tc>
          <w:tcPr>
            <w:tcW w:w="11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5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Equity in earnings of subsidiaries</w:t>
            </w: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500,085</w:t>
            </w:r>
          </w:p>
        </w:tc>
        <w:tc>
          <w:tcPr>
            <w:tcW w:w="100" w:type="dxa"/>
            <w:vAlign w:val="bottom"/>
          </w:tcPr>
          <w:p>
            <w:pPr>
              <w:spacing w:after="0"/>
              <w:rPr>
                <w:sz w:val="19"/>
                <w:szCs w:val="19"/>
                <w:color w:val="auto"/>
              </w:rPr>
            </w:pP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746,962</w:t>
            </w:r>
          </w:p>
        </w:tc>
        <w:tc>
          <w:tcPr>
            <w:tcW w:w="260" w:type="dxa"/>
            <w:vAlign w:val="bottom"/>
          </w:tcPr>
          <w:p>
            <w:pPr>
              <w:spacing w:after="0"/>
              <w:rPr>
                <w:sz w:val="19"/>
                <w:szCs w:val="19"/>
                <w:color w:val="auto"/>
              </w:rPr>
            </w:pP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710,143</w:t>
            </w: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1,891</w:t>
            </w: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Other</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29,772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(2,697)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7,851</w:t>
            </w:r>
          </w:p>
        </w:tc>
        <w:tc>
          <w:tcPr>
            <w:tcW w:w="100" w:type="dxa"/>
            <w:vAlign w:val="bottom"/>
          </w:tcPr>
          <w:p>
            <w:pPr>
              <w:spacing w:after="0"/>
              <w:rPr>
                <w:sz w:val="19"/>
                <w:szCs w:val="19"/>
                <w:color w:val="auto"/>
              </w:rPr>
            </w:pPr>
          </w:p>
        </w:tc>
      </w:tr>
      <w:tr>
        <w:trPr>
          <w:trHeight w:val="223"/>
        </w:trPr>
        <w:tc>
          <w:tcPr>
            <w:tcW w:w="56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revenue</w:t>
            </w:r>
          </w:p>
        </w:tc>
        <w:tc>
          <w:tcPr>
            <w:tcW w:w="11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535,911</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749,491</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719,885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 expense</w:t>
            </w:r>
          </w:p>
        </w:tc>
        <w:tc>
          <w:tcPr>
            <w:tcW w:w="1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75,780</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57,546</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52,122</w:t>
            </w:r>
          </w:p>
        </w:tc>
        <w:tc>
          <w:tcPr>
            <w:tcW w:w="100" w:type="dxa"/>
            <w:vAlign w:val="bottom"/>
            <w:tcBorders>
              <w:bottom w:val="single" w:sz="8" w:color="CFF0FC"/>
            </w:tcBorders>
          </w:tcPr>
          <w:p>
            <w:pPr>
              <w:spacing w:after="0"/>
              <w:rPr>
                <w:sz w:val="19"/>
                <w:szCs w:val="19"/>
                <w:color w:val="auto"/>
              </w:rPr>
            </w:pPr>
          </w:p>
        </w:tc>
      </w:tr>
      <w:tr>
        <w:trPr>
          <w:trHeight w:val="223"/>
        </w:trPr>
        <w:tc>
          <w:tcPr>
            <w:tcW w:w="56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revenue</w:t>
            </w:r>
          </w:p>
        </w:tc>
        <w:tc>
          <w:tcPr>
            <w:tcW w:w="1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460,131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691,945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667,763</w:t>
            </w:r>
          </w:p>
        </w:tc>
        <w:tc>
          <w:tcPr>
            <w:tcW w:w="100" w:type="dxa"/>
            <w:vAlign w:val="bottom"/>
            <w:shd w:val="clear" w:color="auto" w:fill="CFF0FC"/>
          </w:tcPr>
          <w:p>
            <w:pPr>
              <w:spacing w:after="0"/>
              <w:rPr>
                <w:sz w:val="19"/>
                <w:szCs w:val="19"/>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Compensation and benefits</w:t>
            </w: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109,449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94,471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103,311</w:t>
            </w: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Professional services</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6,423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7,060</w:t>
            </w: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and other acquisition-related (benefits) costs</w:t>
            </w: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(1,309)</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(2,568)</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2,876</w:t>
            </w: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20,008</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26,290</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7,903</w:t>
            </w:r>
          </w:p>
        </w:tc>
        <w:tc>
          <w:tcPr>
            <w:tcW w:w="100" w:type="dxa"/>
            <w:vAlign w:val="bottom"/>
            <w:tcBorders>
              <w:bottom w:val="single" w:sz="8" w:color="CFF0FC"/>
            </w:tcBorders>
          </w:tcPr>
          <w:p>
            <w:pPr>
              <w:spacing w:after="0"/>
              <w:rPr>
                <w:sz w:val="19"/>
                <w:szCs w:val="19"/>
                <w:color w:val="auto"/>
              </w:rPr>
            </w:pPr>
          </w:p>
        </w:tc>
      </w:tr>
      <w:tr>
        <w:trPr>
          <w:trHeight w:val="223"/>
        </w:trPr>
        <w:tc>
          <w:tcPr>
            <w:tcW w:w="56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136,574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124,616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121,150</w:t>
            </w:r>
          </w:p>
        </w:tc>
        <w:tc>
          <w:tcPr>
            <w:tcW w:w="100" w:type="dxa"/>
            <w:vAlign w:val="bottom"/>
            <w:shd w:val="clear" w:color="auto" w:fill="CFF0FC"/>
          </w:tcPr>
          <w:p>
            <w:pPr>
              <w:spacing w:after="0"/>
              <w:rPr>
                <w:sz w:val="19"/>
                <w:szCs w:val="19"/>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323,557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567,329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546,613</w:t>
            </w: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Provision for income taxes</w:t>
            </w:r>
          </w:p>
        </w:tc>
        <w:tc>
          <w:tcPr>
            <w:tcW w:w="1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986</w:t>
            </w:r>
          </w:p>
        </w:tc>
        <w:tc>
          <w:tcPr>
            <w:tcW w:w="100" w:type="dxa"/>
            <w:vAlign w:val="bottom"/>
            <w:shd w:val="clear" w:color="auto" w:fill="CFF0FC"/>
          </w:tcPr>
          <w:p>
            <w:pPr>
              <w:spacing w:after="0"/>
              <w:rPr>
                <w:sz w:val="19"/>
                <w:szCs w:val="19"/>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1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322,380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565,597</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545,627</w:t>
            </w:r>
          </w:p>
        </w:tc>
        <w:tc>
          <w:tcPr>
            <w:tcW w:w="10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38" w:name="page139"/>
    <w:bookmarkEnd w:id="138"/>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2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(parent company only)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
        </w:trPr>
        <w:tc>
          <w:tcPr>
            <w:tcW w:w="5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8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8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322,380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565,597</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545,627</w:t>
            </w:r>
          </w:p>
        </w:tc>
        <w:tc>
          <w:tcPr>
            <w:tcW w:w="100" w:type="dxa"/>
            <w:vAlign w:val="bottom"/>
            <w:shd w:val="clear" w:color="auto" w:fill="CFF0FC"/>
          </w:tcPr>
          <w:p>
            <w:pPr>
              <w:spacing w:after="0"/>
              <w:rPr>
                <w:sz w:val="19"/>
                <w:szCs w:val="19"/>
                <w:color w:val="auto"/>
              </w:rPr>
            </w:pPr>
          </w:p>
        </w:tc>
      </w:tr>
      <w:tr>
        <w:trPr>
          <w:trHeight w:val="205"/>
        </w:trPr>
        <w:tc>
          <w:tcPr>
            <w:tcW w:w="5960" w:type="dxa"/>
            <w:vAlign w:val="bottom"/>
          </w:tcPr>
          <w:p>
            <w:pPr>
              <w:spacing w:after="0" w:line="205" w:lineRule="exact"/>
              <w:rPr>
                <w:sz w:val="20"/>
                <w:szCs w:val="20"/>
                <w:color w:val="auto"/>
              </w:rPr>
            </w:pPr>
            <w:r>
              <w:rPr>
                <w:rFonts w:ascii="Arial" w:cs="Arial" w:eastAsia="Arial" w:hAnsi="Arial"/>
                <w:sz w:val="18"/>
                <w:szCs w:val="18"/>
                <w:b w:val="1"/>
                <w:bCs w:val="1"/>
                <w:color w:val="auto"/>
              </w:rPr>
              <w:t>OTHER COMPREHENSIVE INCOME (LOSS), NET</w:t>
            </w: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960" w:type="dxa"/>
            <w:vAlign w:val="bottom"/>
          </w:tcPr>
          <w:p>
            <w:pPr>
              <w:ind w:left="140"/>
              <w:spacing w:after="0"/>
              <w:rPr>
                <w:sz w:val="20"/>
                <w:szCs w:val="20"/>
                <w:color w:val="auto"/>
              </w:rPr>
            </w:pPr>
            <w:r>
              <w:rPr>
                <w:rFonts w:ascii="Arial" w:cs="Arial" w:eastAsia="Arial" w:hAnsi="Arial"/>
                <w:sz w:val="18"/>
                <w:szCs w:val="18"/>
                <w:b w:val="1"/>
                <w:bCs w:val="1"/>
                <w:color w:val="auto"/>
              </w:rPr>
              <w:t>OF TAX:</w:t>
            </w: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Currency translation adjustments</w:t>
            </w: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(39,039)</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65,514</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Employee benefit plans:</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5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Prior service costs (net of tax benefit of $17 and $543</w:t>
            </w: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60" w:type="dxa"/>
            <w:vAlign w:val="bottom"/>
            <w:shd w:val="clear" w:color="auto" w:fill="CFF0FC"/>
          </w:tcPr>
          <w:p>
            <w:pPr>
              <w:ind w:left="640"/>
              <w:spacing w:after="0"/>
              <w:rPr>
                <w:sz w:val="20"/>
                <w:szCs w:val="20"/>
                <w:color w:val="auto"/>
              </w:rPr>
            </w:pPr>
            <w:r>
              <w:rPr>
                <w:rFonts w:ascii="Arial" w:cs="Arial" w:eastAsia="Arial" w:hAnsi="Arial"/>
                <w:sz w:val="18"/>
                <w:szCs w:val="18"/>
                <w:color w:val="auto"/>
              </w:rPr>
              <w:t>for the years ended December 31, 2019 and 2018,</w:t>
            </w: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960" w:type="dxa"/>
            <w:vAlign w:val="bottom"/>
            <w:shd w:val="clear" w:color="auto" w:fill="CFF0FC"/>
          </w:tcPr>
          <w:p>
            <w:pPr>
              <w:ind w:left="640"/>
              <w:spacing w:after="0"/>
              <w:rPr>
                <w:sz w:val="20"/>
                <w:szCs w:val="20"/>
                <w:color w:val="auto"/>
              </w:rPr>
            </w:pPr>
            <w:r>
              <w:rPr>
                <w:rFonts w:ascii="Arial" w:cs="Arial" w:eastAsia="Arial" w:hAnsi="Arial"/>
                <w:sz w:val="18"/>
                <w:szCs w:val="18"/>
                <w:color w:val="auto"/>
              </w:rPr>
              <w:t>respectively)</w:t>
            </w:r>
          </w:p>
        </w:tc>
        <w:tc>
          <w:tcPr>
            <w:tcW w:w="8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(2,653)</w:t>
            </w: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r>
      <w:tr>
        <w:trPr>
          <w:trHeight w:val="215"/>
        </w:trPr>
        <w:tc>
          <w:tcPr>
            <w:tcW w:w="5960" w:type="dxa"/>
            <w:vAlign w:val="bottom"/>
          </w:tcPr>
          <w:p>
            <w:pPr>
              <w:ind w:left="500"/>
              <w:spacing w:after="0"/>
              <w:rPr>
                <w:sz w:val="20"/>
                <w:szCs w:val="20"/>
                <w:color w:val="auto"/>
              </w:rPr>
            </w:pPr>
            <w:r>
              <w:rPr>
                <w:rFonts w:ascii="Arial" w:cs="Arial" w:eastAsia="Arial" w:hAnsi="Arial"/>
                <w:sz w:val="18"/>
                <w:szCs w:val="18"/>
                <w:color w:val="auto"/>
              </w:rPr>
              <w:t>Actuarial gain (loss) (net of tax benefit of $8,396, $203</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tcPr>
          <w:p>
            <w:pPr>
              <w:ind w:left="640"/>
              <w:spacing w:after="0"/>
              <w:rPr>
                <w:sz w:val="20"/>
                <w:szCs w:val="20"/>
                <w:color w:val="auto"/>
              </w:rPr>
            </w:pPr>
            <w:r>
              <w:rPr>
                <w:rFonts w:ascii="Arial" w:cs="Arial" w:eastAsia="Arial" w:hAnsi="Arial"/>
                <w:sz w:val="18"/>
                <w:szCs w:val="18"/>
                <w:color w:val="auto"/>
              </w:rPr>
              <w:t>and $3,475 for the years ended December 31, 2019,</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960" w:type="dxa"/>
            <w:vAlign w:val="bottom"/>
          </w:tcPr>
          <w:p>
            <w:pPr>
              <w:ind w:left="640"/>
              <w:spacing w:after="0"/>
              <w:rPr>
                <w:sz w:val="20"/>
                <w:szCs w:val="20"/>
                <w:color w:val="auto"/>
              </w:rPr>
            </w:pPr>
            <w:r>
              <w:rPr>
                <w:rFonts w:ascii="Arial" w:cs="Arial" w:eastAsia="Arial" w:hAnsi="Arial"/>
                <w:sz w:val="18"/>
                <w:szCs w:val="18"/>
                <w:color w:val="auto"/>
              </w:rPr>
              <w:t>2018 and 2017, respectively)</w:t>
            </w: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(34,837)</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(2,447)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2,054</w:t>
            </w:r>
          </w:p>
        </w:tc>
        <w:tc>
          <w:tcPr>
            <w:tcW w:w="100" w:type="dxa"/>
            <w:vAlign w:val="bottom"/>
          </w:tcPr>
          <w:p>
            <w:pPr>
              <w:spacing w:after="0"/>
              <w:rPr>
                <w:sz w:val="20"/>
                <w:szCs w:val="20"/>
                <w:color w:val="auto"/>
              </w:rPr>
            </w:pPr>
          </w:p>
        </w:tc>
      </w:tr>
      <w:tr>
        <w:trPr>
          <w:trHeight w:val="215"/>
        </w:trPr>
        <w:tc>
          <w:tcPr>
            <w:tcW w:w="5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Adjustments for items reclassified to earnings (net of tax</w:t>
            </w: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60" w:type="dxa"/>
            <w:vAlign w:val="bottom"/>
            <w:shd w:val="clear" w:color="auto" w:fill="CFF0FC"/>
          </w:tcPr>
          <w:p>
            <w:pPr>
              <w:ind w:left="640"/>
              <w:spacing w:after="0"/>
              <w:rPr>
                <w:sz w:val="20"/>
                <w:szCs w:val="20"/>
                <w:color w:val="auto"/>
              </w:rPr>
            </w:pPr>
            <w:r>
              <w:rPr>
                <w:rFonts w:ascii="Arial" w:cs="Arial" w:eastAsia="Arial" w:hAnsi="Arial"/>
                <w:sz w:val="18"/>
                <w:szCs w:val="18"/>
                <w:color w:val="auto"/>
              </w:rPr>
              <w:t>expense of $1,167, $2,335 and $2,220 for the</w:t>
            </w: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960" w:type="dxa"/>
            <w:vAlign w:val="bottom"/>
            <w:shd w:val="clear" w:color="auto" w:fill="CFF0FC"/>
          </w:tcPr>
          <w:p>
            <w:pPr>
              <w:ind w:left="640"/>
              <w:spacing w:after="0"/>
              <w:rPr>
                <w:sz w:val="20"/>
                <w:szCs w:val="20"/>
                <w:color w:val="auto"/>
              </w:rPr>
            </w:pPr>
            <w:r>
              <w:rPr>
                <w:rFonts w:ascii="Arial" w:cs="Arial" w:eastAsia="Arial" w:hAnsi="Arial"/>
                <w:sz w:val="18"/>
                <w:szCs w:val="18"/>
                <w:color w:val="auto"/>
              </w:rPr>
              <w:t>years ended December 31, 2019, 2018 and 2017, respectively)</w:t>
            </w:r>
          </w:p>
        </w:tc>
        <w:tc>
          <w:tcPr>
            <w:tcW w:w="820" w:type="dxa"/>
            <w:vAlign w:val="bottom"/>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4,717</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10,735</w:t>
            </w: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7,951</w:t>
            </w:r>
          </w:p>
        </w:tc>
        <w:tc>
          <w:tcPr>
            <w:tcW w:w="100" w:type="dxa"/>
            <w:vAlign w:val="bottom"/>
            <w:shd w:val="clear" w:color="auto" w:fill="CFF0FC"/>
          </w:tcPr>
          <w:p>
            <w:pPr>
              <w:spacing w:after="0"/>
              <w:rPr>
                <w:sz w:val="20"/>
                <w:szCs w:val="20"/>
                <w:color w:val="auto"/>
              </w:rPr>
            </w:pPr>
          </w:p>
        </w:tc>
      </w:tr>
      <w:tr>
        <w:trPr>
          <w:trHeight w:val="205"/>
        </w:trPr>
        <w:tc>
          <w:tcPr>
            <w:tcW w:w="5960" w:type="dxa"/>
            <w:vAlign w:val="bottom"/>
          </w:tcPr>
          <w:p>
            <w:pPr>
              <w:spacing w:after="0" w:line="205" w:lineRule="exact"/>
              <w:rPr>
                <w:sz w:val="20"/>
                <w:szCs w:val="20"/>
                <w:color w:val="auto"/>
              </w:rPr>
            </w:pPr>
            <w:r>
              <w:rPr>
                <w:rFonts w:ascii="Arial" w:cs="Arial" w:eastAsia="Arial" w:hAnsi="Arial"/>
                <w:sz w:val="18"/>
                <w:szCs w:val="18"/>
                <w:b w:val="1"/>
                <w:bCs w:val="1"/>
                <w:color w:val="auto"/>
              </w:rPr>
              <w:t>OTHER COMPREHENSIVE INCOME (LOSS), NET OF</w:t>
            </w: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960" w:type="dxa"/>
            <w:vAlign w:val="bottom"/>
          </w:tcPr>
          <w:p>
            <w:pPr>
              <w:ind w:left="140"/>
              <w:spacing w:after="0"/>
              <w:rPr>
                <w:sz w:val="20"/>
                <w:szCs w:val="20"/>
                <w:color w:val="auto"/>
              </w:rPr>
            </w:pPr>
            <w:r>
              <w:rPr>
                <w:rFonts w:ascii="Arial" w:cs="Arial" w:eastAsia="Arial" w:hAnsi="Arial"/>
                <w:sz w:val="18"/>
                <w:szCs w:val="18"/>
                <w:b w:val="1"/>
                <w:bCs w:val="1"/>
                <w:color w:val="auto"/>
              </w:rPr>
              <w:t>TAX</w:t>
            </w: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(21,744)</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(33,404)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75,519</w:t>
            </w:r>
          </w:p>
        </w:tc>
        <w:tc>
          <w:tcPr>
            <w:tcW w:w="100" w:type="dxa"/>
            <w:vAlign w:val="bottom"/>
          </w:tcPr>
          <w:p>
            <w:pPr>
              <w:spacing w:after="0"/>
              <w:rPr>
                <w:sz w:val="20"/>
                <w:szCs w:val="20"/>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COMPREHENSIVE INCOME</w:t>
            </w:r>
          </w:p>
        </w:tc>
        <w:tc>
          <w:tcPr>
            <w:tcW w:w="8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300,636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532,193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621,146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39" w:name="page140"/>
    <w:bookmarkEnd w:id="139"/>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2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(parent company only)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800" w:type="dxa"/>
            <w:vAlign w:val="bottom"/>
            <w:tcBorders>
              <w:bottom w:val="single" w:sz="8" w:color="CFF0FC"/>
            </w:tcBorders>
          </w:tcPr>
          <w:p>
            <w:pPr>
              <w:spacing w:after="0"/>
              <w:rPr>
                <w:sz w:val="13"/>
                <w:szCs w:val="13"/>
                <w:color w:val="auto"/>
              </w:rPr>
            </w:pPr>
          </w:p>
        </w:tc>
        <w:tc>
          <w:tcPr>
            <w:tcW w:w="9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5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322,380</w:t>
            </w:r>
          </w:p>
        </w:tc>
        <w:tc>
          <w:tcPr>
            <w:tcW w:w="100" w:type="dxa"/>
            <w:vAlign w:val="bottom"/>
          </w:tcPr>
          <w:p>
            <w:pPr>
              <w:spacing w:after="0"/>
              <w:rPr>
                <w:sz w:val="19"/>
                <w:szCs w:val="19"/>
                <w:color w:val="auto"/>
              </w:rPr>
            </w:pP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565,597</w:t>
            </w:r>
          </w:p>
        </w:tc>
        <w:tc>
          <w:tcPr>
            <w:tcW w:w="260" w:type="dxa"/>
            <w:vAlign w:val="bottom"/>
          </w:tcPr>
          <w:p>
            <w:pPr>
              <w:spacing w:after="0"/>
              <w:rPr>
                <w:sz w:val="19"/>
                <w:szCs w:val="19"/>
                <w:color w:val="auto"/>
              </w:rPr>
            </w:pP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545,627</w:t>
            </w:r>
          </w:p>
        </w:tc>
        <w:tc>
          <w:tcPr>
            <w:tcW w:w="100" w:type="dxa"/>
            <w:vAlign w:val="bottom"/>
          </w:tcPr>
          <w:p>
            <w:pPr>
              <w:spacing w:after="0"/>
              <w:rPr>
                <w:sz w:val="19"/>
                <w:szCs w:val="19"/>
                <w:color w:val="auto"/>
              </w:rPr>
            </w:pPr>
          </w:p>
        </w:tc>
      </w:tr>
      <w:tr>
        <w:trPr>
          <w:trHeight w:val="215"/>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to net cash provided by</w:t>
            </w: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operating activities:</w:t>
            </w:r>
          </w:p>
        </w:tc>
        <w:tc>
          <w:tcPr>
            <w:tcW w:w="9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5800" w:type="dxa"/>
            <w:vAlign w:val="bottom"/>
          </w:tcPr>
          <w:p>
            <w:pPr>
              <w:ind w:left="560"/>
              <w:spacing w:after="0"/>
              <w:rPr>
                <w:sz w:val="20"/>
                <w:szCs w:val="20"/>
                <w:color w:val="auto"/>
              </w:rPr>
            </w:pPr>
            <w:r>
              <w:rPr>
                <w:rFonts w:ascii="Arial" w:cs="Arial" w:eastAsia="Arial" w:hAnsi="Arial"/>
                <w:sz w:val="18"/>
                <w:szCs w:val="18"/>
                <w:color w:val="auto"/>
              </w:rPr>
              <w:t>Equity in earnings of subsidiaries</w:t>
            </w: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(500,085)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(746,962)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(710,143)</w:t>
            </w:r>
          </w:p>
        </w:tc>
      </w:tr>
      <w:tr>
        <w:trPr>
          <w:trHeight w:val="230"/>
        </w:trPr>
        <w:tc>
          <w:tcPr>
            <w:tcW w:w="5800" w:type="dxa"/>
            <w:vAlign w:val="bottom"/>
            <w:shd w:val="clear" w:color="auto" w:fill="CFF0FC"/>
          </w:tcPr>
          <w:p>
            <w:pPr>
              <w:ind w:left="560"/>
              <w:spacing w:after="0"/>
              <w:rPr>
                <w:sz w:val="20"/>
                <w:szCs w:val="20"/>
                <w:color w:val="auto"/>
              </w:rPr>
            </w:pPr>
            <w:r>
              <w:rPr>
                <w:rFonts w:ascii="Arial" w:cs="Arial" w:eastAsia="Arial" w:hAnsi="Arial"/>
                <w:sz w:val="18"/>
                <w:szCs w:val="18"/>
                <w:color w:val="auto"/>
              </w:rPr>
              <w:t>Deferred tax provision (benefit)</w:t>
            </w: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(88)</w:t>
            </w:r>
          </w:p>
        </w:tc>
      </w:tr>
      <w:tr>
        <w:trPr>
          <w:trHeight w:val="230"/>
        </w:trPr>
        <w:tc>
          <w:tcPr>
            <w:tcW w:w="5800" w:type="dxa"/>
            <w:vAlign w:val="bottom"/>
          </w:tcPr>
          <w:p>
            <w:pPr>
              <w:ind w:left="560"/>
              <w:spacing w:after="0"/>
              <w:rPr>
                <w:sz w:val="20"/>
                <w:szCs w:val="20"/>
                <w:color w:val="auto"/>
              </w:rPr>
            </w:pPr>
            <w:r>
              <w:rPr>
                <w:rFonts w:ascii="Arial" w:cs="Arial" w:eastAsia="Arial" w:hAnsi="Arial"/>
                <w:sz w:val="18"/>
                <w:szCs w:val="18"/>
                <w:color w:val="auto"/>
              </w:rPr>
              <w:t>Loss on extinguishment of debt</w:t>
            </w: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6,523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5"/>
        </w:trPr>
        <w:tc>
          <w:tcPr>
            <w:tcW w:w="5800" w:type="dxa"/>
            <w:vAlign w:val="bottom"/>
            <w:shd w:val="clear" w:color="auto" w:fill="CFF0FC"/>
          </w:tcPr>
          <w:p>
            <w:pPr>
              <w:ind w:left="560"/>
              <w:spacing w:after="0"/>
              <w:rPr>
                <w:sz w:val="20"/>
                <w:szCs w:val="20"/>
                <w:color w:val="auto"/>
              </w:rPr>
            </w:pPr>
            <w:r>
              <w:rPr>
                <w:rFonts w:ascii="Arial" w:cs="Arial" w:eastAsia="Arial" w:hAnsi="Arial"/>
                <w:sz w:val="18"/>
                <w:szCs w:val="18"/>
                <w:color w:val="auto"/>
              </w:rPr>
              <w:t>Amortization of deferred expenses and share-based</w:t>
            </w: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800" w:type="dxa"/>
            <w:vAlign w:val="bottom"/>
            <w:shd w:val="clear" w:color="auto" w:fill="CFF0FC"/>
          </w:tcPr>
          <w:p>
            <w:pPr>
              <w:ind w:left="880"/>
              <w:spacing w:after="0"/>
              <w:rPr>
                <w:sz w:val="20"/>
                <w:szCs w:val="20"/>
                <w:color w:val="auto"/>
              </w:rPr>
            </w:pPr>
            <w:r>
              <w:rPr>
                <w:rFonts w:ascii="Arial" w:cs="Arial" w:eastAsia="Arial" w:hAnsi="Arial"/>
                <w:sz w:val="18"/>
                <w:szCs w:val="18"/>
                <w:color w:val="auto"/>
              </w:rPr>
              <w:t>incentive compensation</w:t>
            </w:r>
          </w:p>
        </w:tc>
        <w:tc>
          <w:tcPr>
            <w:tcW w:w="9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337,615</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337,872</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335,909</w:t>
            </w:r>
          </w:p>
        </w:tc>
        <w:tc>
          <w:tcPr>
            <w:tcW w:w="100" w:type="dxa"/>
            <w:vAlign w:val="bottom"/>
            <w:shd w:val="clear" w:color="auto" w:fill="CFF0FC"/>
          </w:tcPr>
          <w:p>
            <w:pPr>
              <w:spacing w:after="0"/>
              <w:rPr>
                <w:sz w:val="20"/>
                <w:szCs w:val="20"/>
                <w:color w:val="auto"/>
              </w:rPr>
            </w:pPr>
          </w:p>
        </w:tc>
      </w:tr>
      <w:tr>
        <w:trPr>
          <w:trHeight w:val="230"/>
        </w:trPr>
        <w:tc>
          <w:tcPr>
            <w:tcW w:w="5800" w:type="dxa"/>
            <w:vAlign w:val="bottom"/>
          </w:tcPr>
          <w:p>
            <w:pPr>
              <w:ind w:left="620"/>
              <w:spacing w:after="0"/>
              <w:rPr>
                <w:sz w:val="20"/>
                <w:szCs w:val="20"/>
                <w:color w:val="auto"/>
              </w:rPr>
            </w:pPr>
            <w:r>
              <w:rPr>
                <w:rFonts w:ascii="Arial" w:cs="Arial" w:eastAsia="Arial" w:hAnsi="Arial"/>
                <w:sz w:val="18"/>
                <w:szCs w:val="18"/>
                <w:color w:val="auto"/>
              </w:rPr>
              <w:t>Depreciation and amortization of property</w:t>
            </w: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12,200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10,451</w:t>
            </w:r>
          </w:p>
        </w:tc>
        <w:tc>
          <w:tcPr>
            <w:tcW w:w="100" w:type="dxa"/>
            <w:vAlign w:val="bottom"/>
          </w:tcPr>
          <w:p>
            <w:pPr>
              <w:spacing w:after="0"/>
              <w:rPr>
                <w:sz w:val="19"/>
                <w:szCs w:val="19"/>
                <w:color w:val="auto"/>
              </w:rPr>
            </w:pPr>
          </w:p>
        </w:tc>
      </w:tr>
      <w:tr>
        <w:trPr>
          <w:trHeight w:val="230"/>
        </w:trPr>
        <w:tc>
          <w:tcPr>
            <w:tcW w:w="5800" w:type="dxa"/>
            <w:vAlign w:val="bottom"/>
            <w:shd w:val="clear" w:color="auto" w:fill="CFF0FC"/>
          </w:tcPr>
          <w:p>
            <w:pPr>
              <w:ind w:left="620"/>
              <w:spacing w:after="0"/>
              <w:rPr>
                <w:sz w:val="20"/>
                <w:szCs w:val="20"/>
                <w:color w:val="auto"/>
              </w:rPr>
            </w:pPr>
            <w:r>
              <w:rPr>
                <w:rFonts w:ascii="Arial" w:cs="Arial" w:eastAsia="Arial" w:hAnsi="Arial"/>
                <w:sz w:val="18"/>
                <w:szCs w:val="18"/>
                <w:color w:val="auto"/>
              </w:rPr>
              <w:t>Noncash lease expense</w:t>
            </w: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20,289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5800" w:type="dxa"/>
            <w:vAlign w:val="bottom"/>
          </w:tcPr>
          <w:p>
            <w:pPr>
              <w:ind w:left="600"/>
              <w:spacing w:after="0"/>
              <w:rPr>
                <w:sz w:val="20"/>
                <w:szCs w:val="20"/>
                <w:color w:val="auto"/>
              </w:rPr>
            </w:pPr>
            <w:r>
              <w:rPr>
                <w:rFonts w:ascii="Arial" w:cs="Arial" w:eastAsia="Arial" w:hAnsi="Arial"/>
                <w:sz w:val="18"/>
                <w:szCs w:val="18"/>
                <w:color w:val="auto"/>
              </w:rPr>
              <w:t>Amortization and other acquisition-related (benefits) costs</w:t>
            </w: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(1,309)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(2,568)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2,876</w:t>
            </w:r>
          </w:p>
        </w:tc>
        <w:tc>
          <w:tcPr>
            <w:tcW w:w="100" w:type="dxa"/>
            <w:vAlign w:val="bottom"/>
          </w:tcPr>
          <w:p>
            <w:pPr>
              <w:spacing w:after="0"/>
              <w:rPr>
                <w:sz w:val="19"/>
                <w:szCs w:val="19"/>
                <w:color w:val="auto"/>
              </w:rPr>
            </w:pPr>
          </w:p>
        </w:tc>
      </w:tr>
      <w:tr>
        <w:trPr>
          <w:trHeight w:val="230"/>
        </w:trPr>
        <w:tc>
          <w:tcPr>
            <w:tcW w:w="5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Distributions received from subsidiaries</w:t>
            </w: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549,211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676,061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724,839</w:t>
            </w:r>
          </w:p>
        </w:tc>
        <w:tc>
          <w:tcPr>
            <w:tcW w:w="100" w:type="dxa"/>
            <w:vAlign w:val="bottom"/>
            <w:shd w:val="clear" w:color="auto" w:fill="CFF0FC"/>
          </w:tcPr>
          <w:p>
            <w:pPr>
              <w:spacing w:after="0"/>
              <w:rPr>
                <w:sz w:val="19"/>
                <w:szCs w:val="19"/>
                <w:color w:val="auto"/>
              </w:rPr>
            </w:pPr>
          </w:p>
        </w:tc>
      </w:tr>
      <w:tr>
        <w:trPr>
          <w:trHeight w:val="230"/>
        </w:trPr>
        <w:tc>
          <w:tcPr>
            <w:tcW w:w="580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0" w:type="dxa"/>
            <w:vAlign w:val="bottom"/>
            <w:shd w:val="clear" w:color="auto" w:fill="CFF0FC"/>
          </w:tcPr>
          <w:p>
            <w:pPr>
              <w:ind w:left="560"/>
              <w:spacing w:after="0"/>
              <w:rPr>
                <w:sz w:val="20"/>
                <w:szCs w:val="20"/>
                <w:color w:val="auto"/>
              </w:rPr>
            </w:pPr>
            <w:r>
              <w:rPr>
                <w:rFonts w:ascii="Arial" w:cs="Arial" w:eastAsia="Arial" w:hAnsi="Arial"/>
                <w:sz w:val="18"/>
                <w:szCs w:val="18"/>
                <w:color w:val="auto"/>
              </w:rPr>
              <w:t>Due to/from subsidiaries</w:t>
            </w: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(86,074)</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117,393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(19,729)</w:t>
            </w:r>
          </w:p>
        </w:tc>
      </w:tr>
      <w:tr>
        <w:trPr>
          <w:trHeight w:val="230"/>
        </w:trPr>
        <w:tc>
          <w:tcPr>
            <w:tcW w:w="5800" w:type="dxa"/>
            <w:vAlign w:val="bottom"/>
          </w:tcPr>
          <w:p>
            <w:pPr>
              <w:ind w:left="560"/>
              <w:spacing w:after="0"/>
              <w:rPr>
                <w:sz w:val="20"/>
                <w:szCs w:val="20"/>
                <w:color w:val="auto"/>
              </w:rPr>
            </w:pPr>
            <w:r>
              <w:rPr>
                <w:rFonts w:ascii="Arial" w:cs="Arial" w:eastAsia="Arial" w:hAnsi="Arial"/>
                <w:sz w:val="18"/>
                <w:szCs w:val="18"/>
                <w:color w:val="auto"/>
              </w:rPr>
              <w:t>Other investments</w:t>
            </w: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73,118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(205,201)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(1,913)</w:t>
            </w:r>
          </w:p>
        </w:tc>
      </w:tr>
      <w:tr>
        <w:trPr>
          <w:trHeight w:val="230"/>
        </w:trPr>
        <w:tc>
          <w:tcPr>
            <w:tcW w:w="5800" w:type="dxa"/>
            <w:vAlign w:val="bottom"/>
            <w:shd w:val="clear" w:color="auto" w:fill="CFF0FC"/>
          </w:tcPr>
          <w:p>
            <w:pPr>
              <w:ind w:left="560"/>
              <w:spacing w:after="0"/>
              <w:rPr>
                <w:sz w:val="20"/>
                <w:szCs w:val="20"/>
                <w:color w:val="auto"/>
              </w:rPr>
            </w:pPr>
            <w:r>
              <w:rPr>
                <w:rFonts w:ascii="Arial" w:cs="Arial" w:eastAsia="Arial" w:hAnsi="Arial"/>
                <w:sz w:val="18"/>
                <w:szCs w:val="18"/>
                <w:color w:val="auto"/>
              </w:rPr>
              <w:t>Other operating assets and liabilities</w:t>
            </w: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(90,389)</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(64,787)</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(53,541)</w:t>
            </w:r>
          </w:p>
        </w:tc>
      </w:tr>
      <w:tr>
        <w:trPr>
          <w:trHeight w:val="223"/>
        </w:trPr>
        <w:tc>
          <w:tcPr>
            <w:tcW w:w="5800" w:type="dxa"/>
            <w:vAlign w:val="bottom"/>
            <w:tcBorders>
              <w:bottom w:val="single" w:sz="8" w:color="CFF0FC"/>
            </w:tcBorders>
          </w:tcPr>
          <w:p>
            <w:pPr>
              <w:ind w:left="960"/>
              <w:spacing w:after="0"/>
              <w:rPr>
                <w:sz w:val="20"/>
                <w:szCs w:val="20"/>
                <w:color w:val="auto"/>
              </w:rPr>
            </w:pPr>
            <w:r>
              <w:rPr>
                <w:rFonts w:ascii="Arial" w:cs="Arial" w:eastAsia="Arial" w:hAnsi="Arial"/>
                <w:sz w:val="18"/>
                <w:szCs w:val="18"/>
                <w:color w:val="auto"/>
              </w:rPr>
              <w:t>Net cash provided by operating activities</w:t>
            </w:r>
          </w:p>
        </w:tc>
        <w:tc>
          <w:tcPr>
            <w:tcW w:w="98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643,596</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696,212</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834,288</w:t>
            </w:r>
          </w:p>
        </w:tc>
        <w:tc>
          <w:tcPr>
            <w:tcW w:w="100" w:type="dxa"/>
            <w:vAlign w:val="bottom"/>
            <w:tcBorders>
              <w:bottom w:val="single" w:sz="8" w:color="CFF0FC"/>
            </w:tcBorders>
          </w:tcPr>
          <w:p>
            <w:pPr>
              <w:spacing w:after="0"/>
              <w:rPr>
                <w:sz w:val="19"/>
                <w:szCs w:val="19"/>
                <w:color w:val="auto"/>
              </w:rPr>
            </w:pPr>
          </w:p>
        </w:tc>
      </w:tr>
      <w:tr>
        <w:trPr>
          <w:trHeight w:val="223"/>
        </w:trPr>
        <w:tc>
          <w:tcPr>
            <w:tcW w:w="5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00" w:type="dxa"/>
            <w:vAlign w:val="bottom"/>
          </w:tcPr>
          <w:p>
            <w:pPr>
              <w:ind w:left="140"/>
              <w:spacing w:after="0"/>
              <w:rPr>
                <w:sz w:val="20"/>
                <w:szCs w:val="20"/>
                <w:color w:val="auto"/>
              </w:rPr>
            </w:pPr>
            <w:r>
              <w:rPr>
                <w:rFonts w:ascii="Arial" w:cs="Arial" w:eastAsia="Arial" w:hAnsi="Arial"/>
                <w:sz w:val="18"/>
                <w:szCs w:val="18"/>
                <w:color w:val="auto"/>
              </w:rPr>
              <w:t>Additions to property</w:t>
            </w: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(15,553)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(23,904)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(8,928)</w:t>
            </w:r>
          </w:p>
        </w:tc>
      </w:tr>
      <w:tr>
        <w:trPr>
          <w:trHeight w:val="230"/>
        </w:trPr>
        <w:tc>
          <w:tcPr>
            <w:tcW w:w="5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Capital contribution to subsidiaries</w:t>
            </w: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(20,953)</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(4,914)</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(1,996)</w:t>
            </w:r>
          </w:p>
        </w:tc>
      </w:tr>
      <w:tr>
        <w:trPr>
          <w:trHeight w:val="223"/>
        </w:trPr>
        <w:tc>
          <w:tcPr>
            <w:tcW w:w="5800" w:type="dxa"/>
            <w:vAlign w:val="bottom"/>
            <w:tcBorders>
              <w:bottom w:val="single" w:sz="8" w:color="CFF0FC"/>
            </w:tcBorders>
          </w:tcPr>
          <w:p>
            <w:pPr>
              <w:ind w:left="900"/>
              <w:spacing w:after="0"/>
              <w:rPr>
                <w:sz w:val="20"/>
                <w:szCs w:val="20"/>
                <w:color w:val="auto"/>
              </w:rPr>
            </w:pPr>
            <w:r>
              <w:rPr>
                <w:rFonts w:ascii="Arial" w:cs="Arial" w:eastAsia="Arial" w:hAnsi="Arial"/>
                <w:sz w:val="18"/>
                <w:szCs w:val="18"/>
                <w:color w:val="auto"/>
              </w:rPr>
              <w:t>Net cash used in investing activities</w:t>
            </w:r>
          </w:p>
        </w:tc>
        <w:tc>
          <w:tcPr>
            <w:tcW w:w="98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(36,506)</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(28,818)</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(10,924)</w:t>
            </w:r>
          </w:p>
        </w:tc>
        <w:tc>
          <w:tcPr>
            <w:tcW w:w="100" w:type="dxa"/>
            <w:vAlign w:val="bottom"/>
            <w:tcBorders>
              <w:bottom w:val="single" w:sz="8" w:color="CFF0FC"/>
            </w:tcBorders>
          </w:tcPr>
          <w:p>
            <w:pPr>
              <w:spacing w:after="0"/>
              <w:rPr>
                <w:sz w:val="19"/>
                <w:szCs w:val="19"/>
                <w:color w:val="auto"/>
              </w:rPr>
            </w:pPr>
          </w:p>
        </w:tc>
      </w:tr>
      <w:tr>
        <w:trPr>
          <w:trHeight w:val="223"/>
        </w:trPr>
        <w:tc>
          <w:tcPr>
            <w:tcW w:w="5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00" w:type="dxa"/>
            <w:vAlign w:val="bottom"/>
          </w:tcPr>
          <w:p>
            <w:pPr>
              <w:ind w:left="140"/>
              <w:spacing w:after="0"/>
              <w:rPr>
                <w:sz w:val="20"/>
                <w:szCs w:val="20"/>
                <w:color w:val="auto"/>
              </w:rPr>
            </w:pPr>
            <w:r>
              <w:rPr>
                <w:rFonts w:ascii="Arial" w:cs="Arial" w:eastAsia="Arial" w:hAnsi="Arial"/>
                <w:sz w:val="18"/>
                <w:szCs w:val="18"/>
                <w:color w:val="auto"/>
              </w:rPr>
              <w:t>Proceeds from:</w:t>
            </w: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0" w:type="dxa"/>
            <w:vAlign w:val="bottom"/>
            <w:shd w:val="clear" w:color="auto" w:fill="CFF0FC"/>
          </w:tcPr>
          <w:p>
            <w:pPr>
              <w:ind w:left="620"/>
              <w:spacing w:after="0"/>
              <w:rPr>
                <w:sz w:val="20"/>
                <w:szCs w:val="20"/>
                <w:color w:val="auto"/>
              </w:rPr>
            </w:pPr>
            <w:r>
              <w:rPr>
                <w:rFonts w:ascii="Arial" w:cs="Arial" w:eastAsia="Arial" w:hAnsi="Arial"/>
                <w:sz w:val="18"/>
                <w:szCs w:val="18"/>
                <w:color w:val="auto"/>
              </w:rPr>
              <w:t>Issuance of senior debt, net of expenses</w:t>
            </w: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492,032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490,970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5800" w:type="dxa"/>
            <w:vAlign w:val="bottom"/>
          </w:tcPr>
          <w:p>
            <w:pPr>
              <w:ind w:left="620"/>
              <w:spacing w:after="0"/>
              <w:rPr>
                <w:sz w:val="20"/>
                <w:szCs w:val="20"/>
                <w:color w:val="auto"/>
              </w:rPr>
            </w:pPr>
            <w:r>
              <w:rPr>
                <w:rFonts w:ascii="Arial" w:cs="Arial" w:eastAsia="Arial" w:hAnsi="Arial"/>
                <w:sz w:val="18"/>
                <w:szCs w:val="18"/>
                <w:color w:val="auto"/>
              </w:rPr>
              <w:t>Other financing activities</w:t>
            </w: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5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Payments for:</w:t>
            </w: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00" w:type="dxa"/>
            <w:vAlign w:val="bottom"/>
          </w:tcPr>
          <w:p>
            <w:pPr>
              <w:ind w:left="560"/>
              <w:spacing w:after="0"/>
              <w:rPr>
                <w:sz w:val="20"/>
                <w:szCs w:val="20"/>
                <w:color w:val="auto"/>
              </w:rPr>
            </w:pPr>
            <w:r>
              <w:rPr>
                <w:rFonts w:ascii="Arial" w:cs="Arial" w:eastAsia="Arial" w:hAnsi="Arial"/>
                <w:sz w:val="18"/>
                <w:szCs w:val="18"/>
                <w:color w:val="auto"/>
              </w:rPr>
              <w:t>Senior debt</w:t>
            </w: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(255,746)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(255,543)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5800" w:type="dxa"/>
            <w:vAlign w:val="bottom"/>
            <w:shd w:val="clear" w:color="auto" w:fill="CFF0FC"/>
          </w:tcPr>
          <w:p>
            <w:pPr>
              <w:ind w:left="560"/>
              <w:spacing w:after="0"/>
              <w:rPr>
                <w:sz w:val="20"/>
                <w:szCs w:val="20"/>
                <w:color w:val="auto"/>
              </w:rPr>
            </w:pPr>
            <w:r>
              <w:rPr>
                <w:rFonts w:ascii="Arial" w:cs="Arial" w:eastAsia="Arial" w:hAnsi="Arial"/>
                <w:sz w:val="18"/>
                <w:szCs w:val="18"/>
                <w:color w:val="auto"/>
              </w:rPr>
              <w:t>Distributions of members</w:t>
            </w: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(263,935)</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(448,912)</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(346,072)</w:t>
            </w:r>
          </w:p>
        </w:tc>
      </w:tr>
      <w:tr>
        <w:trPr>
          <w:trHeight w:val="230"/>
        </w:trPr>
        <w:tc>
          <w:tcPr>
            <w:tcW w:w="5800" w:type="dxa"/>
            <w:vAlign w:val="bottom"/>
          </w:tcPr>
          <w:p>
            <w:pPr>
              <w:ind w:left="560"/>
              <w:spacing w:after="0"/>
              <w:rPr>
                <w:sz w:val="20"/>
                <w:szCs w:val="20"/>
                <w:color w:val="auto"/>
              </w:rPr>
            </w:pPr>
            <w:r>
              <w:rPr>
                <w:rFonts w:ascii="Arial" w:cs="Arial" w:eastAsia="Arial" w:hAnsi="Arial"/>
                <w:sz w:val="18"/>
                <w:szCs w:val="18"/>
                <w:color w:val="auto"/>
              </w:rPr>
              <w:t>Settlement of vested share-based incentive compensation</w:t>
            </w: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(99,960)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(110,361)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(67,899)</w:t>
            </w:r>
          </w:p>
        </w:tc>
      </w:tr>
      <w:tr>
        <w:trPr>
          <w:trHeight w:val="230"/>
        </w:trPr>
        <w:tc>
          <w:tcPr>
            <w:tcW w:w="5800" w:type="dxa"/>
            <w:vAlign w:val="bottom"/>
            <w:shd w:val="clear" w:color="auto" w:fill="CFF0FC"/>
          </w:tcPr>
          <w:p>
            <w:pPr>
              <w:ind w:left="560"/>
              <w:spacing w:after="0"/>
              <w:rPr>
                <w:sz w:val="20"/>
                <w:szCs w:val="20"/>
                <w:color w:val="auto"/>
              </w:rPr>
            </w:pPr>
            <w:r>
              <w:rPr>
                <w:rFonts w:ascii="Arial" w:cs="Arial" w:eastAsia="Arial" w:hAnsi="Arial"/>
                <w:sz w:val="18"/>
                <w:szCs w:val="18"/>
                <w:color w:val="auto"/>
              </w:rPr>
              <w:t>Purchase of Lazard Ltd Class A common stock</w:t>
            </w: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(494,687)</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(552,872)</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(310,872)</w:t>
            </w:r>
          </w:p>
        </w:tc>
      </w:tr>
      <w:tr>
        <w:trPr>
          <w:trHeight w:val="230"/>
        </w:trPr>
        <w:tc>
          <w:tcPr>
            <w:tcW w:w="5800" w:type="dxa"/>
            <w:vAlign w:val="bottom"/>
          </w:tcPr>
          <w:p>
            <w:pPr>
              <w:ind w:left="560"/>
              <w:spacing w:after="0"/>
              <w:rPr>
                <w:sz w:val="20"/>
                <w:szCs w:val="20"/>
                <w:color w:val="auto"/>
              </w:rPr>
            </w:pPr>
            <w:r>
              <w:rPr>
                <w:rFonts w:ascii="Arial" w:cs="Arial" w:eastAsia="Arial" w:hAnsi="Arial"/>
                <w:sz w:val="18"/>
                <w:szCs w:val="18"/>
                <w:color w:val="auto"/>
              </w:rPr>
              <w:t>Other financing activities</w:t>
            </w: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(6,388)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(6,339)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(6,151)</w:t>
            </w:r>
          </w:p>
        </w:tc>
      </w:tr>
      <w:tr>
        <w:trPr>
          <w:trHeight w:val="223"/>
        </w:trPr>
        <w:tc>
          <w:tcPr>
            <w:tcW w:w="5800" w:type="dxa"/>
            <w:vAlign w:val="bottom"/>
            <w:tcBorders>
              <w:top w:val="single" w:sz="8" w:color="CFF0FC"/>
            </w:tcBorders>
            <w:shd w:val="clear" w:color="auto" w:fill="CFF0FC"/>
          </w:tcPr>
          <w:p>
            <w:pPr>
              <w:ind w:left="860"/>
              <w:spacing w:after="0"/>
              <w:rPr>
                <w:sz w:val="20"/>
                <w:szCs w:val="20"/>
                <w:color w:val="auto"/>
              </w:rPr>
            </w:pPr>
            <w:r>
              <w:rPr>
                <w:rFonts w:ascii="Arial" w:cs="Arial" w:eastAsia="Arial" w:hAnsi="Arial"/>
                <w:sz w:val="18"/>
                <w:szCs w:val="18"/>
                <w:color w:val="auto"/>
              </w:rPr>
              <w:t>Net cash used in financing activities</w:t>
            </w:r>
          </w:p>
        </w:tc>
        <w:tc>
          <w:tcPr>
            <w:tcW w:w="9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(627,759)</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(883,032)</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(730,994)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(20,669)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(215,638)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92,370</w:t>
            </w:r>
          </w:p>
        </w:tc>
        <w:tc>
          <w:tcPr>
            <w:tcW w:w="100" w:type="dxa"/>
            <w:vAlign w:val="bottom"/>
          </w:tcPr>
          <w:p>
            <w:pPr>
              <w:spacing w:after="0"/>
              <w:rPr>
                <w:sz w:val="19"/>
                <w:szCs w:val="19"/>
                <w:color w:val="auto"/>
              </w:rPr>
            </w:pP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January 1</w:t>
            </w:r>
          </w:p>
        </w:tc>
        <w:tc>
          <w:tcPr>
            <w:tcW w:w="9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157,398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373,036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280,666</w:t>
            </w:r>
          </w:p>
        </w:tc>
        <w:tc>
          <w:tcPr>
            <w:tcW w:w="100" w:type="dxa"/>
            <w:vAlign w:val="bottom"/>
            <w:shd w:val="clear" w:color="auto" w:fill="CFF0FC"/>
          </w:tcPr>
          <w:p>
            <w:pPr>
              <w:spacing w:after="0"/>
              <w:rPr>
                <w:sz w:val="19"/>
                <w:szCs w:val="19"/>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Cash and cash equivalents, December 31</w:t>
            </w:r>
          </w:p>
        </w:tc>
        <w:tc>
          <w:tcPr>
            <w:tcW w:w="9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157,398</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373,036</w:t>
            </w:r>
          </w:p>
        </w:tc>
        <w:tc>
          <w:tcPr>
            <w:tcW w:w="10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40" w:name="page141"/>
    <w:bookmarkEnd w:id="140"/>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2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(parent company only)</w:t>
      </w: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56" w:lineRule="exact"/>
        <w:rPr>
          <w:sz w:val="20"/>
          <w:szCs w:val="20"/>
          <w:color w:val="auto"/>
        </w:rPr>
      </w:pPr>
    </w:p>
    <w:p>
      <w:pPr>
        <w:ind w:left="600" w:hanging="592"/>
        <w:spacing w:after="0"/>
        <w:tabs>
          <w:tab w:leader="none" w:pos="600" w:val="left"/>
        </w:tabs>
        <w:numPr>
          <w:ilvl w:val="0"/>
          <w:numId w:val="10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right="160" w:firstLine="598"/>
        <w:spacing w:after="0" w:line="342" w:lineRule="auto"/>
        <w:rPr>
          <w:sz w:val="20"/>
          <w:szCs w:val="20"/>
          <w:color w:val="auto"/>
        </w:rPr>
      </w:pPr>
      <w:r>
        <w:rPr>
          <w:rFonts w:ascii="Arial" w:cs="Arial" w:eastAsia="Arial" w:hAnsi="Arial"/>
          <w:sz w:val="16"/>
          <w:szCs w:val="16"/>
          <w:color w:val="auto"/>
        </w:rPr>
        <w:t>The accompanying Lazard Group LLC condensed financial statements (the “Parent Company Financial Statements”), including the notes thereto, should be read in conjunction with the consolidated financial statements of Lazard Group LLC and its subsidiaries (the “Company”) and the notes thereto.</w:t>
      </w:r>
    </w:p>
    <w:p>
      <w:pPr>
        <w:spacing w:after="0" w:line="124"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The Parent Company Financial Statements as of December 31, 2019 and 2018, and for each of the three years in the period ended December 31, 2019, are prepared in conformity with accounting principles generally accepted in the United States of America (“U.S. GAAP”), which require management to make estimates and assumptions that affect the reported amounts of assets and liabilities, revenue and expenses, and the disclosures in the condensed financial statements. Management believes that the estimates utilized in the preparation of the condensed financial statements are reasonable. Actual results could differ materially from these estimates.</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Parent Company Financial Statements include investments in subsidiaries, accounted for under the equity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80"/>
          </w:cols>
          <w:pgMar w:left="240" w:top="337" w:right="37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24,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LAZARD GROUP LLC</w:t>
      </w:r>
    </w:p>
    <w:p>
      <w:pPr>
        <w:spacing w:after="0" w:line="25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6"/>
          <w:szCs w:val="16"/>
          <w:color w:val="auto"/>
        </w:rPr>
        <w:t>Kenneth M. Jacobs</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-130810</wp:posOffset>
            </wp:positionV>
            <wp:extent cx="264985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6">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Chairman and Chief Executive Officer</w:t>
      </w:r>
    </w:p>
    <w:p>
      <w:pPr>
        <w:spacing w:after="0" w:line="251" w:lineRule="exact"/>
        <w:rPr>
          <w:sz w:val="20"/>
          <w:szCs w:val="20"/>
          <w:color w:val="auto"/>
        </w:rPr>
      </w:pPr>
    </w:p>
    <w:p>
      <w:pPr>
        <w:ind w:right="340" w:firstLine="59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40" w:type="dxa"/>
            <w:vAlign w:val="bottom"/>
          </w:tcPr>
          <w:p>
            <w:pPr>
              <w:spacing w:after="0"/>
              <w:rPr>
                <w:sz w:val="14"/>
                <w:szCs w:val="14"/>
                <w:color w:val="auto"/>
              </w:rPr>
            </w:pPr>
          </w:p>
        </w:tc>
        <w:tc>
          <w:tcPr>
            <w:tcW w:w="5120" w:type="dxa"/>
            <w:vAlign w:val="bottom"/>
            <w:tcBorders>
              <w:bottom w:val="single" w:sz="8" w:color="auto"/>
            </w:tcBorders>
          </w:tcPr>
          <w:p>
            <w:pPr>
              <w:ind w:left="2360"/>
              <w:spacing w:after="0"/>
              <w:rPr>
                <w:sz w:val="20"/>
                <w:szCs w:val="20"/>
                <w:color w:val="auto"/>
              </w:rPr>
            </w:pPr>
            <w:r>
              <w:rPr>
                <w:rFonts w:ascii="Arial" w:cs="Arial" w:eastAsia="Arial" w:hAnsi="Arial"/>
                <w:sz w:val="14"/>
                <w:szCs w:val="14"/>
                <w:b w:val="1"/>
                <w:bCs w:val="1"/>
                <w:color w:val="auto"/>
              </w:rPr>
              <w:t>Capacity</w:t>
            </w:r>
          </w:p>
        </w:tc>
        <w:tc>
          <w:tcPr>
            <w:tcW w:w="140" w:type="dxa"/>
            <w:vAlign w:val="bottom"/>
          </w:tcPr>
          <w:p>
            <w:pPr>
              <w:spacing w:after="0"/>
              <w:rPr>
                <w:sz w:val="14"/>
                <w:szCs w:val="14"/>
                <w:color w:val="auto"/>
              </w:rPr>
            </w:pPr>
          </w:p>
        </w:tc>
        <w:tc>
          <w:tcPr>
            <w:tcW w:w="228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Date</w:t>
            </w:r>
          </w:p>
        </w:tc>
      </w:tr>
      <w:tr>
        <w:trPr>
          <w:trHeight w:val="412"/>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Kenneth M. Jacobs</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Chairman, Chief Executive Officer and Director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24, 2020</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0"/>
              </w:rPr>
              <w:t>Kenneth M. Jacobs</w:t>
            </w:r>
          </w:p>
        </w:tc>
        <w:tc>
          <w:tcPr>
            <w:tcW w:w="140" w:type="dxa"/>
            <w:vAlign w:val="bottom"/>
          </w:tcPr>
          <w:p>
            <w:pPr>
              <w:spacing w:after="0"/>
              <w:rPr>
                <w:sz w:val="19"/>
                <w:szCs w:val="19"/>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Evan L. Russo</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Chief Financial Officer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24, 2020</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88"/>
              </w:rPr>
              <w:t>Evan L. Russo</w:t>
            </w:r>
          </w:p>
        </w:tc>
        <w:tc>
          <w:tcPr>
            <w:tcW w:w="140" w:type="dxa"/>
            <w:vAlign w:val="bottom"/>
          </w:tcPr>
          <w:p>
            <w:pPr>
              <w:spacing w:after="0"/>
              <w:rPr>
                <w:sz w:val="19"/>
                <w:szCs w:val="19"/>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Dominick Ragone</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Chief Accounting Officer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24, 2020</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2"/>
              </w:rPr>
              <w:t>Dominick Ragone</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Andrew M. Alper</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24, 2020</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6"/>
              </w:rPr>
              <w:t>Andrew M. Alper</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Ashish Bhutani</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24, 2020</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3"/>
              </w:rPr>
              <w:t>Ashish Bhutani</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Richard N. Haass</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24, 2020</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0"/>
              </w:rPr>
              <w:t>Richard N. Haass</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Steven J. Heyer</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24, 2020</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87"/>
              </w:rPr>
              <w:t>Steven J. Heyer</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/s/ Michelle Jarrard</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24, 2020</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3"/>
              </w:rPr>
              <w:t>Michelle Jarrard</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Sylvia Jay</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24, 2020</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3"/>
              </w:rPr>
              <w:t>Sylvia Jay</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30"/>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Iris Knobloch</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24, 2020</w:t>
            </w:r>
          </w:p>
        </w:tc>
      </w:tr>
      <w:tr>
        <w:trPr>
          <w:trHeight w:val="230"/>
        </w:trPr>
        <w:tc>
          <w:tcPr>
            <w:tcW w:w="3740" w:type="dxa"/>
            <w:vAlign w:val="bottom"/>
          </w:tcPr>
          <w:p>
            <w:pPr>
              <w:jc w:val="center"/>
              <w:spacing w:after="0"/>
              <w:rPr>
                <w:sz w:val="20"/>
                <w:szCs w:val="20"/>
                <w:color w:val="auto"/>
              </w:rPr>
            </w:pPr>
            <w:r>
              <w:rPr>
                <w:rFonts w:ascii="Arial" w:cs="Arial" w:eastAsia="Arial" w:hAnsi="Arial"/>
                <w:sz w:val="18"/>
                <w:szCs w:val="18"/>
                <w:color w:val="auto"/>
                <w:w w:val="96"/>
              </w:rPr>
              <w:t>Iris Knobloch</w:t>
            </w:r>
          </w:p>
        </w:tc>
        <w:tc>
          <w:tcPr>
            <w:tcW w:w="14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Philip A. Laskawy</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24, 2020</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6"/>
              </w:rPr>
              <w:t>Philip A. Laskawy</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Jane L. Mendillo</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24, 2020</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4"/>
              </w:rPr>
              <w:t>Jane L. Mendillo</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Richard D. Parsons</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24, 2020</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89"/>
              </w:rPr>
              <w:t>Richard D. Parsons</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782"/>
        </w:trPr>
        <w:tc>
          <w:tcPr>
            <w:tcW w:w="3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60" w:type="dxa"/>
            <w:vAlign w:val="bottom"/>
            <w:gridSpan w:val="2"/>
          </w:tcPr>
          <w:p>
            <w:pPr>
              <w:ind w:left="1700"/>
              <w:spacing w:after="0"/>
              <w:rPr>
                <w:sz w:val="20"/>
                <w:szCs w:val="20"/>
                <w:color w:val="auto"/>
              </w:rPr>
            </w:pPr>
            <w:r>
              <w:rPr>
                <w:rFonts w:ascii="Arial" w:cs="Arial" w:eastAsia="Arial" w:hAnsi="Arial"/>
                <w:sz w:val="18"/>
                <w:szCs w:val="18"/>
                <w:color w:val="auto"/>
              </w:rPr>
              <w:t>II-1</w:t>
            </w:r>
          </w:p>
        </w:tc>
        <w:tc>
          <w:tcPr>
            <w:tcW w:w="22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740" w:type="dxa"/>
            <w:vAlign w:val="bottom"/>
            <w:gridSpan w:val="3"/>
          </w:tcPr>
          <w:p>
            <w:pPr>
              <w:ind w:left="640"/>
              <w:spacing w:after="0"/>
              <w:rPr>
                <w:sz w:val="20"/>
                <w:szCs w:val="20"/>
                <w:color w:val="auto"/>
              </w:rPr>
            </w:pPr>
            <w:r>
              <w:rPr>
                <w:rFonts w:ascii="Arial" w:cs="Arial" w:eastAsia="Arial" w:hAnsi="Arial"/>
                <w:sz w:val="18"/>
                <w:szCs w:val="18"/>
                <w:b w:val="1"/>
                <w:bCs w:val="1"/>
                <w:color w:val="auto"/>
              </w:rPr>
              <w:t>SUBSIDIARIES OF REGISTRANT</w:t>
            </w:r>
          </w:p>
        </w:tc>
      </w:tr>
      <w:tr>
        <w:trPr>
          <w:trHeight w:val="365"/>
        </w:trPr>
        <w:tc>
          <w:tcPr>
            <w:tcW w:w="3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OF SUBSIDIARY</w:t>
            </w:r>
          </w:p>
        </w:tc>
        <w:tc>
          <w:tcPr>
            <w:tcW w:w="1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COUNTRY OF ORGANIZATION</w:t>
            </w:r>
          </w:p>
        </w:tc>
      </w:tr>
      <w:tr>
        <w:trPr>
          <w:trHeight w:val="317"/>
        </w:trPr>
        <w:tc>
          <w:tcPr>
            <w:tcW w:w="3680" w:type="dxa"/>
            <w:vAlign w:val="bottom"/>
          </w:tcPr>
          <w:p>
            <w:pPr>
              <w:spacing w:after="0"/>
              <w:rPr>
                <w:sz w:val="20"/>
                <w:szCs w:val="20"/>
                <w:color w:val="auto"/>
              </w:rPr>
            </w:pPr>
            <w:r>
              <w:rPr>
                <w:rFonts w:ascii="Arial" w:cs="Arial" w:eastAsia="Arial" w:hAnsi="Arial"/>
                <w:sz w:val="18"/>
                <w:szCs w:val="18"/>
                <w:color w:val="auto"/>
              </w:rPr>
              <w:t>Lazard International Holdings, Inc.</w:t>
            </w: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U.S.</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Lazard Frères &amp; Co. LLC</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U.S.</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Lazard Asset Management LLC</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U.S.</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Lazard &amp; Co., Holdings Limited</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Lazard &amp; Co., Limited</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Lazard &amp; Co., Services Limited</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Lazard Asset Management Limited</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Compagnie Financière Lazard Frères SAS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France</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Lazard Frères Gestion SAS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France</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Lazard Frères Banque SA</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France</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Maison Lazard SAS</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France</w:t>
            </w:r>
          </w:p>
        </w:tc>
      </w:tr>
    </w:tbl>
    <w:p>
      <w:pPr>
        <w:sectPr>
          <w:pgSz w:w="11900" w:h="16838" w:orient="portrait"/>
          <w:cols w:equalWidth="0" w:num="1">
            <w:col w:w="11420"/>
          </w:cols>
          <w:pgMar w:left="240" w:top="121"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We consent to the incorporation by reference in Registration Statement No. 333-231132 on Form S-3, of our reports dated February 24, 2020, relating to the consolidated financial statements and financial statement schedule of Lazard Group LLC and subsidiaries (the “Company”), and the effectiveness of the Company’s internal control over financial reporting appearing in this Annual Report on Form 10-K of the Company for the year ended December 31, 2019.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2020</w:t>
      </w:r>
    </w:p>
    <w:p>
      <w:pPr>
        <w:sectPr>
          <w:pgSz w:w="11900" w:h="16838" w:orient="portrait"/>
          <w:cols w:equalWidth="0" w:num="1">
            <w:col w:w="11420"/>
          </w:cols>
          <w:pgMar w:left="240" w:top="121"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31.1</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 Kenneth M. Jacobs, certify that:</w:t>
      </w:r>
    </w:p>
    <w:p>
      <w:pPr>
        <w:spacing w:after="0" w:line="225" w:lineRule="exact"/>
        <w:rPr>
          <w:sz w:val="20"/>
          <w:szCs w:val="20"/>
          <w:color w:val="auto"/>
        </w:rPr>
      </w:pPr>
    </w:p>
    <w:p>
      <w:pPr>
        <w:ind w:left="780" w:hanging="174"/>
        <w:spacing w:after="0"/>
        <w:tabs>
          <w:tab w:leader="none" w:pos="7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2019 of Lazard Group LLC (the “Registrant”);</w:t>
      </w:r>
    </w:p>
    <w:p>
      <w:pPr>
        <w:spacing w:after="0" w:line="225" w:lineRule="exact"/>
        <w:rPr>
          <w:rFonts w:ascii="Arial" w:cs="Arial" w:eastAsia="Arial" w:hAnsi="Arial"/>
          <w:sz w:val="18"/>
          <w:szCs w:val="18"/>
          <w:color w:val="auto"/>
        </w:rPr>
      </w:pPr>
    </w:p>
    <w:p>
      <w:pPr>
        <w:ind w:right="160" w:firstLine="606"/>
        <w:spacing w:after="0" w:line="342" w:lineRule="auto"/>
        <w:tabs>
          <w:tab w:leader="none" w:pos="778" w:val="left"/>
        </w:tabs>
        <w:numPr>
          <w:ilvl w:val="0"/>
          <w:numId w:val="10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20" w:firstLine="606"/>
        <w:spacing w:after="0" w:line="277" w:lineRule="auto"/>
        <w:tabs>
          <w:tab w:leader="none" w:pos="77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60" w:firstLine="606"/>
        <w:spacing w:after="0" w:line="264" w:lineRule="auto"/>
        <w:tabs>
          <w:tab w:leader="none" w:pos="77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00" w:right="460" w:firstLine="572"/>
        <w:spacing w:after="0" w:line="264" w:lineRule="auto"/>
        <w:tabs>
          <w:tab w:leader="none" w:pos="1411"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00" w:right="180" w:firstLine="572"/>
        <w:spacing w:after="0" w:line="264" w:lineRule="auto"/>
        <w:tabs>
          <w:tab w:leader="none" w:pos="1422"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00" w:right="240" w:firstLine="572"/>
        <w:spacing w:after="0" w:line="342" w:lineRule="auto"/>
        <w:tabs>
          <w:tab w:leader="none" w:pos="1411" w:val="left"/>
        </w:tabs>
        <w:numPr>
          <w:ilvl w:val="1"/>
          <w:numId w:val="10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00" w:right="140" w:firstLine="572"/>
        <w:spacing w:after="0" w:line="264" w:lineRule="auto"/>
        <w:tabs>
          <w:tab w:leader="none" w:pos="1422"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60" w:firstLine="606"/>
        <w:spacing w:after="0" w:line="308" w:lineRule="auto"/>
        <w:tabs>
          <w:tab w:leader="none" w:pos="778"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00" w:right="520" w:firstLine="572"/>
        <w:spacing w:after="0" w:line="308" w:lineRule="auto"/>
        <w:tabs>
          <w:tab w:leader="none" w:pos="1411" w:val="left"/>
        </w:tabs>
        <w:numPr>
          <w:ilvl w:val="1"/>
          <w:numId w:val="10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00" w:right="140" w:firstLine="572"/>
        <w:spacing w:after="0" w:line="277" w:lineRule="auto"/>
        <w:tabs>
          <w:tab w:leader="none" w:pos="1422"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2020</w:t>
      </w:r>
    </w:p>
    <w:p>
      <w:pPr>
        <w:spacing w:after="0" w:line="200" w:lineRule="exact"/>
        <w:rPr>
          <w:sz w:val="20"/>
          <w:szCs w:val="20"/>
          <w:color w:val="auto"/>
        </w:rPr>
      </w:pPr>
    </w:p>
    <w:p>
      <w:pPr>
        <w:spacing w:after="0" w:line="241"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Kenneth M. Jacobs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1"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31.2</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 Evan L. Russo, certify that:</w:t>
      </w:r>
    </w:p>
    <w:p>
      <w:pPr>
        <w:spacing w:after="0" w:line="225" w:lineRule="exact"/>
        <w:rPr>
          <w:sz w:val="20"/>
          <w:szCs w:val="20"/>
          <w:color w:val="auto"/>
        </w:rPr>
      </w:pPr>
    </w:p>
    <w:p>
      <w:pPr>
        <w:ind w:left="780" w:hanging="174"/>
        <w:spacing w:after="0"/>
        <w:tabs>
          <w:tab w:leader="none" w:pos="7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2019 of Lazard Group LLC (the “Registrant”);</w:t>
      </w:r>
    </w:p>
    <w:p>
      <w:pPr>
        <w:spacing w:after="0" w:line="225" w:lineRule="exact"/>
        <w:rPr>
          <w:rFonts w:ascii="Arial" w:cs="Arial" w:eastAsia="Arial" w:hAnsi="Arial"/>
          <w:sz w:val="18"/>
          <w:szCs w:val="18"/>
          <w:color w:val="auto"/>
        </w:rPr>
      </w:pPr>
    </w:p>
    <w:p>
      <w:pPr>
        <w:ind w:right="160" w:firstLine="606"/>
        <w:spacing w:after="0" w:line="342" w:lineRule="auto"/>
        <w:tabs>
          <w:tab w:leader="none" w:pos="778" w:val="left"/>
        </w:tabs>
        <w:numPr>
          <w:ilvl w:val="0"/>
          <w:numId w:val="10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20" w:firstLine="606"/>
        <w:spacing w:after="0" w:line="277" w:lineRule="auto"/>
        <w:tabs>
          <w:tab w:leader="none" w:pos="77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60" w:firstLine="606"/>
        <w:spacing w:after="0" w:line="264" w:lineRule="auto"/>
        <w:tabs>
          <w:tab w:leader="none" w:pos="77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00" w:right="460" w:firstLine="572"/>
        <w:spacing w:after="0" w:line="264" w:lineRule="auto"/>
        <w:tabs>
          <w:tab w:leader="none" w:pos="1411"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00" w:right="180" w:firstLine="572"/>
        <w:spacing w:after="0" w:line="264" w:lineRule="auto"/>
        <w:tabs>
          <w:tab w:leader="none" w:pos="1422"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00" w:right="240" w:firstLine="572"/>
        <w:spacing w:after="0" w:line="342" w:lineRule="auto"/>
        <w:tabs>
          <w:tab w:leader="none" w:pos="1411" w:val="left"/>
        </w:tabs>
        <w:numPr>
          <w:ilvl w:val="1"/>
          <w:numId w:val="10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00" w:right="140" w:firstLine="572"/>
        <w:spacing w:after="0" w:line="264" w:lineRule="auto"/>
        <w:tabs>
          <w:tab w:leader="none" w:pos="1422"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60" w:firstLine="606"/>
        <w:spacing w:after="0" w:line="308" w:lineRule="auto"/>
        <w:tabs>
          <w:tab w:leader="none" w:pos="778"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00" w:right="520" w:firstLine="572"/>
        <w:spacing w:after="0" w:line="308" w:lineRule="auto"/>
        <w:tabs>
          <w:tab w:leader="none" w:pos="1411" w:val="left"/>
        </w:tabs>
        <w:numPr>
          <w:ilvl w:val="1"/>
          <w:numId w:val="10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00" w:right="140" w:firstLine="572"/>
        <w:spacing w:after="0" w:line="277" w:lineRule="auto"/>
        <w:tabs>
          <w:tab w:leader="none" w:pos="1422"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2020</w:t>
      </w:r>
    </w:p>
    <w:p>
      <w:pPr>
        <w:spacing w:after="0" w:line="200" w:lineRule="exact"/>
        <w:rPr>
          <w:sz w:val="20"/>
          <w:szCs w:val="20"/>
          <w:color w:val="auto"/>
        </w:rPr>
      </w:pPr>
    </w:p>
    <w:p>
      <w:pPr>
        <w:spacing w:after="0" w:line="241"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Evan L. Russo</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Evan L.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32.1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25"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Annual Report on Form 10-K for the year ended December 31, 2019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18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Kenneth M.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51" w:lineRule="exact"/>
        <w:rPr>
          <w:sz w:val="20"/>
          <w:szCs w:val="20"/>
          <w:color w:val="auto"/>
        </w:rPr>
      </w:pPr>
    </w:p>
    <w:p>
      <w:pPr>
        <w:ind w:right="700" w:firstLine="598"/>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1"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32.2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25"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Annual Report on Form 10-K for the year ended December 31, 2019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Evan L. Russo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Evan L.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51" w:lineRule="exact"/>
        <w:rPr>
          <w:sz w:val="20"/>
          <w:szCs w:val="20"/>
          <w:color w:val="auto"/>
        </w:rPr>
      </w:pPr>
    </w:p>
    <w:p>
      <w:pPr>
        <w:ind w:right="700" w:firstLine="598"/>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
      <w:numFmt w:val="bullet"/>
      <w:start w:val="1"/>
    </w:lvl>
  </w:abstractNum>
  <w:abstractNum w:abstractNumId="3">
    <w:nsid w:val="70C6A529"/>
    <w:multiLevelType w:val="hybridMultilevel"/>
    <w:lvl w:ilvl="0">
      <w:lvlJc w:val="left"/>
      <w:lvlText w:val="•"/>
      <w:numFmt w:val="bullet"/>
      <w:start w:val="1"/>
    </w:lvl>
  </w:abstractNum>
  <w:abstractNum w:abstractNumId="4">
    <w:nsid w:val="520EEDD1"/>
    <w:multiLevelType w:val="hybridMultilevel"/>
    <w:lvl w:ilvl="0">
      <w:lvlJc w:val="left"/>
      <w:lvlText w:val="•"/>
      <w:numFmt w:val="bullet"/>
      <w:start w:val="1"/>
    </w:lvl>
  </w:abstractNum>
  <w:abstractNum w:abstractNumId="5">
    <w:nsid w:val="374A3FE6"/>
    <w:multiLevelType w:val="hybridMultilevel"/>
    <w:lvl w:ilvl="0">
      <w:lvlJc w:val="left"/>
      <w:lvlText w:val="•"/>
      <w:numFmt w:val="bullet"/>
      <w:start w:val="1"/>
    </w:lvl>
  </w:abstractNum>
  <w:abstractNum w:abstractNumId="6">
    <w:nsid w:val="4F4EF005"/>
    <w:multiLevelType w:val="hybridMultilevel"/>
    <w:lvl w:ilvl="0">
      <w:lvlJc w:val="left"/>
      <w:lvlText w:val="•"/>
      <w:numFmt w:val="bullet"/>
      <w:start w:val="1"/>
    </w:lvl>
  </w:abstractNum>
  <w:abstractNum w:abstractNumId="7">
    <w:nsid w:val="23F9C13C"/>
    <w:multiLevelType w:val="hybridMultilevel"/>
    <w:lvl w:ilvl="0">
      <w:lvlJc w:val="left"/>
      <w:lvlText w:val="•"/>
      <w:numFmt w:val="bullet"/>
      <w:start w:val="1"/>
    </w:lvl>
  </w:abstractNum>
  <w:abstractNum w:abstractNumId="8">
    <w:nsid w:val="649BB77C"/>
    <w:multiLevelType w:val="hybridMultilevel"/>
    <w:lvl w:ilvl="0">
      <w:lvlJc w:val="left"/>
      <w:lvlText w:val="•"/>
      <w:numFmt w:val="bullet"/>
      <w:start w:val="1"/>
    </w:lvl>
  </w:abstractNum>
  <w:abstractNum w:abstractNumId="9">
    <w:nsid w:val="275AC794"/>
    <w:multiLevelType w:val="hybridMultilevel"/>
    <w:lvl w:ilvl="0">
      <w:lvlJc w:val="left"/>
      <w:lvlText w:val="•"/>
      <w:numFmt w:val="bullet"/>
      <w:start w:val="1"/>
    </w:lvl>
  </w:abstractNum>
  <w:abstractNum w:abstractNumId="10">
    <w:nsid w:val="39386575"/>
    <w:multiLevelType w:val="hybridMultilevel"/>
    <w:lvl w:ilvl="0">
      <w:lvlJc w:val="left"/>
      <w:lvlText w:val="•"/>
      <w:numFmt w:val="bullet"/>
      <w:start w:val="1"/>
    </w:lvl>
  </w:abstractNum>
  <w:abstractNum w:abstractNumId="11">
    <w:nsid w:val="1CF10FD8"/>
    <w:multiLevelType w:val="hybridMultilevel"/>
    <w:lvl w:ilvl="0">
      <w:lvlJc w:val="left"/>
      <w:lvlText w:val="•"/>
      <w:numFmt w:val="bullet"/>
      <w:start w:val="1"/>
    </w:lvl>
  </w:abstractNum>
  <w:abstractNum w:abstractNumId="12">
    <w:nsid w:val="180115BE"/>
    <w:multiLevelType w:val="hybridMultilevel"/>
    <w:lvl w:ilvl="0">
      <w:lvlJc w:val="left"/>
      <w:lvlText w:val="•"/>
      <w:numFmt w:val="bullet"/>
      <w:start w:val="1"/>
    </w:lvl>
  </w:abstractNum>
  <w:abstractNum w:abstractNumId="13">
    <w:nsid w:val="235BA861"/>
    <w:multiLevelType w:val="hybridMultilevel"/>
    <w:lvl w:ilvl="0">
      <w:lvlJc w:val="left"/>
      <w:lvlText w:val="•"/>
      <w:numFmt w:val="bullet"/>
      <w:start w:val="1"/>
    </w:lvl>
  </w:abstractNum>
  <w:abstractNum w:abstractNumId="14">
    <w:nsid w:val="47398C89"/>
    <w:multiLevelType w:val="hybridMultilevel"/>
    <w:lvl w:ilvl="0">
      <w:lvlJc w:val="left"/>
      <w:lvlText w:val="•"/>
      <w:numFmt w:val="bullet"/>
      <w:start w:val="1"/>
    </w:lvl>
  </w:abstractNum>
  <w:abstractNum w:abstractNumId="15">
    <w:nsid w:val="354FE9F9"/>
    <w:multiLevelType w:val="hybridMultilevel"/>
    <w:lvl w:ilvl="0">
      <w:lvlJc w:val="left"/>
      <w:lvlText w:val="•"/>
      <w:numFmt w:val="bullet"/>
      <w:start w:val="1"/>
    </w:lvl>
  </w:abstractNum>
  <w:abstractNum w:abstractNumId="16">
    <w:nsid w:val="15B5AF5C"/>
    <w:multiLevelType w:val="hybridMultilevel"/>
    <w:lvl w:ilvl="0">
      <w:lvlJc w:val="left"/>
      <w:lvlText w:val="•"/>
      <w:numFmt w:val="bullet"/>
      <w:start w:val="1"/>
    </w:lvl>
  </w:abstractNum>
  <w:abstractNum w:abstractNumId="17">
    <w:nsid w:val="741226BB"/>
    <w:multiLevelType w:val="hybridMultilevel"/>
    <w:lvl w:ilvl="0">
      <w:lvlJc w:val="left"/>
      <w:lvlText w:val="•"/>
      <w:numFmt w:val="bullet"/>
      <w:start w:val="1"/>
    </w:lvl>
  </w:abstractNum>
  <w:abstractNum w:abstractNumId="18">
    <w:nsid w:val="D34B6A8"/>
    <w:multiLevelType w:val="hybridMultilevel"/>
    <w:lvl w:ilvl="0">
      <w:lvlJc w:val="left"/>
      <w:lvlText w:val="(%1)"/>
      <w:numFmt w:val="lowerRoman"/>
      <w:start w:val="2"/>
    </w:lvl>
  </w:abstractNum>
  <w:abstractNum w:abstractNumId="19">
    <w:nsid w:val="10233C99"/>
    <w:multiLevelType w:val="hybridMultilevel"/>
    <w:lvl w:ilvl="0">
      <w:lvlJc w:val="left"/>
      <w:lvlText w:val="(%1)"/>
      <w:numFmt w:val="lowerLetter"/>
      <w:start w:val="1"/>
    </w:lvl>
  </w:abstractNum>
  <w:abstractNum w:abstractNumId="20">
    <w:nsid w:val="3F6AB60F"/>
    <w:multiLevelType w:val="hybridMultilevel"/>
    <w:lvl w:ilvl="0">
      <w:lvlJc w:val="left"/>
      <w:lvlText w:val="(%1)"/>
      <w:numFmt w:val="lowerLetter"/>
      <w:start w:val="3"/>
    </w:lvl>
  </w:abstractNum>
  <w:abstractNum w:abstractNumId="21">
    <w:nsid w:val="61574095"/>
    <w:multiLevelType w:val="hybridMultilevel"/>
    <w:lvl w:ilvl="0">
      <w:lvlJc w:val="left"/>
      <w:lvlText w:val="(%1)"/>
      <w:numFmt w:val="lowerLetter"/>
      <w:start w:val="5"/>
    </w:lvl>
  </w:abstractNum>
  <w:abstractNum w:abstractNumId="22">
    <w:nsid w:val="7E0C57B1"/>
    <w:multiLevelType w:val="hybridMultilevel"/>
    <w:lvl w:ilvl="0">
      <w:lvlJc w:val="left"/>
      <w:lvlText w:val="•"/>
      <w:numFmt w:val="bullet"/>
      <w:start w:val="1"/>
    </w:lvl>
  </w:abstractNum>
  <w:abstractNum w:abstractNumId="23">
    <w:nsid w:val="77AE35EB"/>
    <w:multiLevelType w:val="hybridMultilevel"/>
    <w:lvl w:ilvl="0">
      <w:lvlJc w:val="left"/>
      <w:lvlText w:val="•"/>
      <w:numFmt w:val="bullet"/>
      <w:start w:val="1"/>
    </w:lvl>
  </w:abstractNum>
  <w:abstractNum w:abstractNumId="24">
    <w:nsid w:val="579BE4F1"/>
    <w:multiLevelType w:val="hybridMultilevel"/>
    <w:lvl w:ilvl="0">
      <w:lvlJc w:val="left"/>
      <w:lvlText w:val="•"/>
      <w:numFmt w:val="bullet"/>
      <w:start w:val="1"/>
    </w:lvl>
  </w:abstractNum>
  <w:abstractNum w:abstractNumId="25">
    <w:nsid w:val="310C50B3"/>
    <w:multiLevelType w:val="hybridMultilevel"/>
    <w:lvl w:ilvl="0">
      <w:lvlJc w:val="left"/>
      <w:lvlText w:val="•"/>
      <w:numFmt w:val="bullet"/>
      <w:start w:val="1"/>
    </w:lvl>
    <w:lvl w:ilvl="1">
      <w:lvlJc w:val="left"/>
      <w:lvlText w:val="(%2)"/>
      <w:numFmt w:val="lowerRoman"/>
      <w:start w:val="1"/>
    </w:lvl>
  </w:abstractNum>
  <w:abstractNum w:abstractNumId="26">
    <w:nsid w:val="5FF87E05"/>
    <w:multiLevelType w:val="hybridMultilevel"/>
    <w:lvl w:ilvl="0">
      <w:lvlJc w:val="left"/>
      <w:lvlText w:val="(%1)"/>
      <w:numFmt w:val="lowerLetter"/>
      <w:start w:val="1"/>
    </w:lvl>
  </w:abstractNum>
  <w:abstractNum w:abstractNumId="27">
    <w:nsid w:val="2F305DEF"/>
    <w:multiLevelType w:val="hybridMultilevel"/>
    <w:lvl w:ilvl="0">
      <w:lvlJc w:val="left"/>
      <w:lvlText w:val="(%1)"/>
      <w:numFmt w:val="lowerLetter"/>
      <w:start w:val="1"/>
    </w:lvl>
  </w:abstractNum>
  <w:abstractNum w:abstractNumId="28">
    <w:nsid w:val="25A70BF7"/>
    <w:multiLevelType w:val="hybridMultilevel"/>
    <w:lvl w:ilvl="0">
      <w:lvlJc w:val="left"/>
      <w:lvlText w:val="(%1)"/>
      <w:numFmt w:val="lowerLetter"/>
      <w:start w:val="6"/>
    </w:lvl>
  </w:abstractNum>
  <w:abstractNum w:abstractNumId="29">
    <w:nsid w:val="1DBABF00"/>
    <w:multiLevelType w:val="hybridMultilevel"/>
    <w:lvl w:ilvl="0">
      <w:lvlJc w:val="left"/>
      <w:lvlText w:val="(%1)"/>
      <w:numFmt w:val="lowerLetter"/>
      <w:start w:val="1"/>
    </w:lvl>
  </w:abstractNum>
  <w:abstractNum w:abstractNumId="30">
    <w:nsid w:val="4AD084E9"/>
    <w:multiLevelType w:val="hybridMultilevel"/>
    <w:lvl w:ilvl="0">
      <w:lvlJc w:val="left"/>
      <w:lvlText w:val="(%1)"/>
      <w:numFmt w:val="lowerLetter"/>
      <w:start w:val="1"/>
    </w:lvl>
  </w:abstractNum>
  <w:abstractNum w:abstractNumId="31">
    <w:nsid w:val="1F48EAA1"/>
    <w:multiLevelType w:val="hybridMultilevel"/>
    <w:lvl w:ilvl="0">
      <w:lvlJc w:val="left"/>
      <w:lvlText w:val="(%1)"/>
      <w:numFmt w:val="lowerLetter"/>
      <w:start w:val="1"/>
    </w:lvl>
  </w:abstractNum>
  <w:abstractNum w:abstractNumId="32">
    <w:nsid w:val="1381823A"/>
    <w:multiLevelType w:val="hybridMultilevel"/>
    <w:lvl w:ilvl="0">
      <w:lvlJc w:val="left"/>
      <w:lvlText w:val="(%1)"/>
      <w:numFmt w:val="lowerRoman"/>
      <w:start w:val="2"/>
    </w:lvl>
  </w:abstractNum>
  <w:abstractNum w:abstractNumId="33">
    <w:nsid w:val="5DB70AE5"/>
    <w:multiLevelType w:val="hybridMultilevel"/>
    <w:lvl w:ilvl="0">
      <w:lvlJc w:val="left"/>
      <w:lvlText w:val="(%1)"/>
      <w:numFmt w:val="lowerLetter"/>
      <w:start w:val="1"/>
    </w:lvl>
  </w:abstractNum>
  <w:abstractNum w:abstractNumId="34">
    <w:nsid w:val="100F8FCA"/>
    <w:multiLevelType w:val="hybridMultilevel"/>
    <w:lvl w:ilvl="0">
      <w:lvlJc w:val="left"/>
      <w:lvlText w:val="(%1)"/>
      <w:numFmt w:val="lowerLetter"/>
      <w:start w:val="1"/>
    </w:lvl>
  </w:abstractNum>
  <w:abstractNum w:abstractNumId="35">
    <w:nsid w:val="6590700B"/>
    <w:multiLevelType w:val="hybridMultilevel"/>
    <w:lvl w:ilvl="0">
      <w:lvlJc w:val="left"/>
      <w:lvlText w:val="(%1)"/>
      <w:numFmt w:val="lowerLetter"/>
      <w:start w:val="1"/>
    </w:lvl>
  </w:abstractNum>
  <w:abstractNum w:abstractNumId="36">
    <w:nsid w:val="15014ACB"/>
    <w:multiLevelType w:val="hybridMultilevel"/>
    <w:lvl w:ilvl="0">
      <w:lvlJc w:val="left"/>
      <w:lvlText w:val="(%1)"/>
      <w:numFmt w:val="lowerLetter"/>
      <w:start w:val="2"/>
    </w:lvl>
  </w:abstractNum>
  <w:abstractNum w:abstractNumId="37">
    <w:nsid w:val="5F5E7FD0"/>
    <w:multiLevelType w:val="hybridMultilevel"/>
    <w:lvl w:ilvl="0">
      <w:lvlJc w:val="left"/>
      <w:lvlText w:val="(%1)"/>
      <w:numFmt w:val="lowerLetter"/>
      <w:start w:val="1"/>
    </w:lvl>
  </w:abstractNum>
  <w:abstractNum w:abstractNumId="38">
    <w:nsid w:val="98A3148"/>
    <w:multiLevelType w:val="hybridMultilevel"/>
    <w:lvl w:ilvl="0">
      <w:lvlJc w:val="left"/>
      <w:lvlText w:val="(%1)"/>
      <w:numFmt w:val="lowerLetter"/>
      <w:start w:val="1"/>
    </w:lvl>
  </w:abstractNum>
  <w:abstractNum w:abstractNumId="39">
    <w:nsid w:val="799D0247"/>
    <w:multiLevelType w:val="hybridMultilevel"/>
    <w:lvl w:ilvl="0">
      <w:lvlJc w:val="left"/>
      <w:lvlText w:val="•"/>
      <w:numFmt w:val="bullet"/>
      <w:start w:val="1"/>
    </w:lvl>
  </w:abstractNum>
  <w:abstractNum w:abstractNumId="40">
    <w:nsid w:val="6B94764"/>
    <w:multiLevelType w:val="hybridMultilevel"/>
    <w:lvl w:ilvl="0">
      <w:lvlJc w:val="left"/>
      <w:lvlText w:val="•"/>
      <w:numFmt w:val="bullet"/>
      <w:start w:val="1"/>
    </w:lvl>
  </w:abstractNum>
  <w:abstractNum w:abstractNumId="41">
    <w:nsid w:val="42C296BD"/>
    <w:multiLevelType w:val="hybridMultilevel"/>
    <w:lvl w:ilvl="0">
      <w:lvlJc w:val="left"/>
      <w:lvlText w:val="•"/>
      <w:numFmt w:val="bullet"/>
      <w:start w:val="1"/>
    </w:lvl>
  </w:abstractNum>
  <w:abstractNum w:abstractNumId="42">
    <w:nsid w:val="168E121F"/>
    <w:multiLevelType w:val="hybridMultilevel"/>
    <w:lvl w:ilvl="0">
      <w:lvlJc w:val="left"/>
      <w:lvlText w:val="(%1)"/>
      <w:numFmt w:val="lowerLetter"/>
      <w:start w:val="1"/>
    </w:lvl>
  </w:abstractNum>
  <w:abstractNum w:abstractNumId="43">
    <w:nsid w:val="1EBA5D23"/>
    <w:multiLevelType w:val="hybridMultilevel"/>
    <w:lvl w:ilvl="0">
      <w:lvlJc w:val="left"/>
      <w:lvlText w:val="(%1)"/>
      <w:numFmt w:val="lowerLetter"/>
      <w:start w:val="2"/>
    </w:lvl>
  </w:abstractNum>
  <w:abstractNum w:abstractNumId="44">
    <w:nsid w:val="661E3F1E"/>
    <w:multiLevelType w:val="hybridMultilevel"/>
    <w:lvl w:ilvl="0">
      <w:lvlJc w:val="left"/>
      <w:lvlText w:val="•"/>
      <w:numFmt w:val="bullet"/>
      <w:start w:val="1"/>
    </w:lvl>
  </w:abstractNum>
  <w:abstractNum w:abstractNumId="45">
    <w:nsid w:val="5DC79EA8"/>
    <w:multiLevelType w:val="hybridMultilevel"/>
    <w:lvl w:ilvl="0">
      <w:lvlJc w:val="left"/>
      <w:lvlText w:val="•"/>
      <w:numFmt w:val="bullet"/>
      <w:start w:val="1"/>
    </w:lvl>
  </w:abstractNum>
  <w:abstractNum w:abstractNumId="46">
    <w:nsid w:val="540A471C"/>
    <w:multiLevelType w:val="hybridMultilevel"/>
    <w:lvl w:ilvl="0">
      <w:lvlJc w:val="left"/>
      <w:lvlText w:val="(*)"/>
      <w:numFmt w:val="bullet"/>
      <w:start w:val="1"/>
    </w:lvl>
  </w:abstractNum>
  <w:abstractNum w:abstractNumId="47">
    <w:nsid w:val="7BD3EE7B"/>
    <w:multiLevelType w:val="hybridMultilevel"/>
    <w:lvl w:ilvl="0">
      <w:lvlJc w:val="left"/>
      <w:lvlText w:val="(*)"/>
      <w:numFmt w:val="bullet"/>
      <w:start w:val="1"/>
    </w:lvl>
  </w:abstractNum>
  <w:abstractNum w:abstractNumId="48">
    <w:nsid w:val="51D9C564"/>
    <w:multiLevelType w:val="hybridMultilevel"/>
    <w:lvl w:ilvl="0">
      <w:lvlJc w:val="left"/>
      <w:lvlText w:val="(*)"/>
      <w:numFmt w:val="bullet"/>
      <w:start w:val="1"/>
    </w:lvl>
  </w:abstractNum>
  <w:abstractNum w:abstractNumId="49">
    <w:nsid w:val="613EFDC5"/>
    <w:multiLevelType w:val="hybridMultilevel"/>
    <w:lvl w:ilvl="0">
      <w:lvlJc w:val="left"/>
      <w:lvlText w:val="%1."/>
      <w:numFmt w:val="decimal"/>
      <w:start w:val="1"/>
    </w:lvl>
  </w:abstractNum>
  <w:abstractNum w:abstractNumId="50">
    <w:nsid w:val="BF72B14"/>
    <w:multiLevelType w:val="hybridMultilevel"/>
    <w:lvl w:ilvl="0">
      <w:lvlJc w:val="left"/>
      <w:lvlText w:val="•"/>
      <w:numFmt w:val="bullet"/>
      <w:start w:val="1"/>
    </w:lvl>
  </w:abstractNum>
  <w:abstractNum w:abstractNumId="51">
    <w:nsid w:val="11447B73"/>
    <w:multiLevelType w:val="hybridMultilevel"/>
    <w:lvl w:ilvl="0">
      <w:lvlJc w:val="left"/>
      <w:lvlText w:val="•"/>
      <w:numFmt w:val="bullet"/>
      <w:start w:val="1"/>
    </w:lvl>
  </w:abstractNum>
  <w:abstractNum w:abstractNumId="52">
    <w:nsid w:val="42963E5A"/>
    <w:multiLevelType w:val="hybridMultilevel"/>
    <w:lvl w:ilvl="0">
      <w:lvlJc w:val="left"/>
      <w:lvlText w:val="%1."/>
      <w:numFmt w:val="decimal"/>
      <w:start w:val="2"/>
    </w:lvl>
  </w:abstractNum>
  <w:abstractNum w:abstractNumId="53">
    <w:nsid w:val="A0382C5"/>
    <w:multiLevelType w:val="hybridMultilevel"/>
    <w:lvl w:ilvl="0">
      <w:lvlJc w:val="left"/>
      <w:lvlText w:val="•"/>
      <w:numFmt w:val="bullet"/>
      <w:start w:val="1"/>
    </w:lvl>
  </w:abstractNum>
  <w:abstractNum w:abstractNumId="54">
    <w:nsid w:val="8F2B15E"/>
    <w:multiLevelType w:val="hybridMultilevel"/>
    <w:lvl w:ilvl="0">
      <w:lvlJc w:val="left"/>
      <w:lvlText w:val="•"/>
      <w:numFmt w:val="bullet"/>
      <w:start w:val="1"/>
    </w:lvl>
  </w:abstractNum>
  <w:abstractNum w:abstractNumId="55">
    <w:nsid w:val="1A32234B"/>
    <w:multiLevelType w:val="hybridMultilevel"/>
    <w:lvl w:ilvl="0">
      <w:lvlJc w:val="left"/>
      <w:lvlText w:val="•"/>
      <w:numFmt w:val="bullet"/>
      <w:start w:val="1"/>
    </w:lvl>
  </w:abstractNum>
  <w:abstractNum w:abstractNumId="56">
    <w:nsid w:val="3B0FD379"/>
    <w:multiLevelType w:val="hybridMultilevel"/>
    <w:lvl w:ilvl="0">
      <w:lvlJc w:val="left"/>
      <w:lvlText w:val="%1."/>
      <w:numFmt w:val="decimal"/>
      <w:start w:val="3"/>
    </w:lvl>
  </w:abstractNum>
  <w:abstractNum w:abstractNumId="57">
    <w:nsid w:val="68EB2F63"/>
    <w:multiLevelType w:val="hybridMultilevel"/>
    <w:lvl w:ilvl="0">
      <w:lvlJc w:val="left"/>
      <w:lvlText w:val="%1."/>
      <w:numFmt w:val="decimal"/>
      <w:start w:val="4"/>
    </w:lvl>
  </w:abstractNum>
  <w:abstractNum w:abstractNumId="58">
    <w:nsid w:val="4962813B"/>
    <w:multiLevelType w:val="hybridMultilevel"/>
    <w:lvl w:ilvl="0">
      <w:lvlJc w:val="left"/>
      <w:lvlText w:val="(%1)"/>
      <w:numFmt w:val="lowerLetter"/>
      <w:start w:val="1"/>
    </w:lvl>
  </w:abstractNum>
  <w:abstractNum w:abstractNumId="59">
    <w:nsid w:val="60B6DF70"/>
    <w:multiLevelType w:val="hybridMultilevel"/>
    <w:lvl w:ilvl="0">
      <w:lvlJc w:val="left"/>
      <w:lvlText w:val="%1."/>
      <w:numFmt w:val="decimal"/>
      <w:start w:val="5"/>
    </w:lvl>
  </w:abstractNum>
  <w:abstractNum w:abstractNumId="60">
    <w:nsid w:val="6A5EE64"/>
    <w:multiLevelType w:val="hybridMultilevel"/>
    <w:lvl w:ilvl="0">
      <w:lvlJc w:val="left"/>
      <w:lvlText w:val="%1."/>
      <w:numFmt w:val="decimal"/>
      <w:start w:val="6"/>
    </w:lvl>
  </w:abstractNum>
  <w:abstractNum w:abstractNumId="61">
    <w:nsid w:val="14330624"/>
    <w:multiLevelType w:val="hybridMultilevel"/>
    <w:lvl w:ilvl="0">
      <w:lvlJc w:val="left"/>
      <w:lvlText w:val="(%1)"/>
      <w:numFmt w:val="lowerLetter"/>
      <w:start w:val="1"/>
    </w:lvl>
  </w:abstractNum>
  <w:abstractNum w:abstractNumId="62">
    <w:nsid w:val="7FFFCA11"/>
    <w:multiLevelType w:val="hybridMultilevel"/>
    <w:lvl w:ilvl="0">
      <w:lvlJc w:val="left"/>
      <w:lvlText w:val="%1."/>
      <w:numFmt w:val="decimal"/>
      <w:start w:val="7"/>
    </w:lvl>
  </w:abstractNum>
  <w:abstractNum w:abstractNumId="63">
    <w:nsid w:val="1A27709E"/>
    <w:multiLevelType w:val="hybridMultilevel"/>
    <w:lvl w:ilvl="0">
      <w:lvlJc w:val="left"/>
      <w:lvlText w:val="(%1)"/>
      <w:numFmt w:val="lowerLetter"/>
      <w:start w:val="1"/>
    </w:lvl>
  </w:abstractNum>
  <w:abstractNum w:abstractNumId="64">
    <w:nsid w:val="71EA1109"/>
    <w:multiLevelType w:val="hybridMultilevel"/>
    <w:lvl w:ilvl="0">
      <w:lvlJc w:val="left"/>
      <w:lvlText w:val="(%1)"/>
      <w:numFmt w:val="lowerLetter"/>
      <w:start w:val="1"/>
    </w:lvl>
  </w:abstractNum>
  <w:abstractNum w:abstractNumId="65">
    <w:nsid w:val="100F59DC"/>
    <w:multiLevelType w:val="hybridMultilevel"/>
    <w:lvl w:ilvl="0">
      <w:lvlJc w:val="left"/>
      <w:lvlText w:val="(%1)"/>
      <w:numFmt w:val="lowerLetter"/>
      <w:start w:val="1"/>
    </w:lvl>
  </w:abstractNum>
  <w:abstractNum w:abstractNumId="66">
    <w:nsid w:val="7FB7E0AA"/>
    <w:multiLevelType w:val="hybridMultilevel"/>
    <w:lvl w:ilvl="0">
      <w:lvlJc w:val="left"/>
      <w:lvlText w:val="%1."/>
      <w:numFmt w:val="decimal"/>
      <w:start w:val="8"/>
    </w:lvl>
  </w:abstractNum>
  <w:abstractNum w:abstractNumId="67">
    <w:nsid w:val="6EB5BD4"/>
    <w:multiLevelType w:val="hybridMultilevel"/>
    <w:lvl w:ilvl="0">
      <w:lvlJc w:val="left"/>
      <w:lvlText w:val="(%1)"/>
      <w:numFmt w:val="lowerLetter"/>
      <w:start w:val="1"/>
    </w:lvl>
  </w:abstractNum>
  <w:abstractNum w:abstractNumId="68">
    <w:nsid w:val="6F6DD9AC"/>
    <w:multiLevelType w:val="hybridMultilevel"/>
    <w:lvl w:ilvl="0">
      <w:lvlJc w:val="left"/>
      <w:lvlText w:val="%1."/>
      <w:numFmt w:val="decimal"/>
      <w:start w:val="9"/>
    </w:lvl>
  </w:abstractNum>
  <w:abstractNum w:abstractNumId="69">
    <w:nsid w:val="94211F2"/>
    <w:multiLevelType w:val="hybridMultilevel"/>
    <w:lvl w:ilvl="0">
      <w:lvlJc w:val="left"/>
      <w:lvlText w:val="%1."/>
      <w:numFmt w:val="decimal"/>
      <w:start w:val="10"/>
    </w:lvl>
  </w:abstractNum>
  <w:abstractNum w:abstractNumId="70">
    <w:nsid w:val="885E1B"/>
    <w:multiLevelType w:val="hybridMultilevel"/>
    <w:lvl w:ilvl="0">
      <w:lvlJc w:val="left"/>
      <w:lvlText w:val="%1."/>
      <w:numFmt w:val="decimal"/>
      <w:start w:val="11"/>
    </w:lvl>
  </w:abstractNum>
  <w:abstractNum w:abstractNumId="71">
    <w:nsid w:val="76272110"/>
    <w:multiLevelType w:val="hybridMultilevel"/>
    <w:lvl w:ilvl="0">
      <w:lvlJc w:val="left"/>
      <w:lvlText w:val="%1."/>
      <w:numFmt w:val="decimal"/>
      <w:start w:val="12"/>
    </w:lvl>
  </w:abstractNum>
  <w:abstractNum w:abstractNumId="72">
    <w:nsid w:val="4C04A8AF"/>
    <w:multiLevelType w:val="hybridMultilevel"/>
    <w:lvl w:ilvl="0">
      <w:lvlJc w:val="left"/>
      <w:lvlText w:val="(%1)"/>
      <w:numFmt w:val="lowerLetter"/>
      <w:start w:val="1"/>
    </w:lvl>
  </w:abstractNum>
  <w:abstractNum w:abstractNumId="73">
    <w:nsid w:val="1716703B"/>
    <w:multiLevelType w:val="hybridMultilevel"/>
    <w:lvl w:ilvl="0">
      <w:lvlJc w:val="left"/>
      <w:lvlText w:val="%1."/>
      <w:numFmt w:val="decimal"/>
      <w:start w:val="13"/>
    </w:lvl>
  </w:abstractNum>
  <w:abstractNum w:abstractNumId="74">
    <w:nsid w:val="14E17E33"/>
    <w:multiLevelType w:val="hybridMultilevel"/>
    <w:lvl w:ilvl="0">
      <w:lvlJc w:val="left"/>
      <w:lvlText w:val="(%1)"/>
      <w:numFmt w:val="lowerLetter"/>
      <w:start w:val="1"/>
    </w:lvl>
  </w:abstractNum>
  <w:abstractNum w:abstractNumId="75">
    <w:nsid w:val="3222E7CD"/>
    <w:multiLevelType w:val="hybridMultilevel"/>
    <w:lvl w:ilvl="0">
      <w:lvlJc w:val="left"/>
      <w:lvlText w:val="%1."/>
      <w:numFmt w:val="decimal"/>
      <w:start w:val="14"/>
    </w:lvl>
  </w:abstractNum>
  <w:abstractNum w:abstractNumId="76">
    <w:nsid w:val="74DE0EE3"/>
    <w:multiLevelType w:val="hybridMultilevel"/>
    <w:lvl w:ilvl="0">
      <w:lvlJc w:val="left"/>
      <w:lvlText w:val="%1."/>
      <w:numFmt w:val="decimal"/>
      <w:start w:val="15"/>
    </w:lvl>
  </w:abstractNum>
  <w:abstractNum w:abstractNumId="77">
    <w:nsid w:val="68EBC550"/>
    <w:multiLevelType w:val="hybridMultilevel"/>
    <w:lvl w:ilvl="0">
      <w:lvlJc w:val="left"/>
      <w:lvlText w:val="(%1)"/>
      <w:numFmt w:val="lowerLetter"/>
      <w:start w:val="1"/>
    </w:lvl>
  </w:abstractNum>
  <w:abstractNum w:abstractNumId="78">
    <w:nsid w:val="2DF6D648"/>
    <w:multiLevelType w:val="hybridMultilevel"/>
    <w:lvl w:ilvl="0">
      <w:lvlJc w:val="left"/>
      <w:lvlText w:val="%1."/>
      <w:numFmt w:val="decimal"/>
      <w:start w:val="16"/>
    </w:lvl>
  </w:abstractNum>
  <w:abstractNum w:abstractNumId="79">
    <w:nsid w:val="46B7D447"/>
    <w:multiLevelType w:val="hybridMultilevel"/>
    <w:lvl w:ilvl="0">
      <w:lvlJc w:val="left"/>
      <w:lvlText w:val="(%1)"/>
      <w:numFmt w:val="lowerLetter"/>
      <w:start w:val="1"/>
    </w:lvl>
  </w:abstractNum>
  <w:abstractNum w:abstractNumId="80">
    <w:nsid w:val="4A2AC315"/>
    <w:multiLevelType w:val="hybridMultilevel"/>
    <w:lvl w:ilvl="0">
      <w:lvlJc w:val="left"/>
      <w:lvlText w:val="(%1)"/>
      <w:numFmt w:val="lowerLetter"/>
      <w:start w:val="1"/>
    </w:lvl>
  </w:abstractNum>
  <w:abstractNum w:abstractNumId="81">
    <w:nsid w:val="39EE015C"/>
    <w:multiLevelType w:val="hybridMultilevel"/>
    <w:lvl w:ilvl="0">
      <w:lvlJc w:val="left"/>
      <w:lvlText w:val="%1."/>
      <w:numFmt w:val="decimal"/>
      <w:start w:val="17"/>
    </w:lvl>
  </w:abstractNum>
  <w:abstractNum w:abstractNumId="82">
    <w:nsid w:val="57FC4FBB"/>
    <w:multiLevelType w:val="hybridMultilevel"/>
    <w:lvl w:ilvl="0">
      <w:lvlJc w:val="left"/>
      <w:lvlText w:val="(%1)"/>
      <w:numFmt w:val="lowerLetter"/>
      <w:start w:val="1"/>
    </w:lvl>
  </w:abstractNum>
  <w:abstractNum w:abstractNumId="83">
    <w:nsid w:val="CC1016F"/>
    <w:multiLevelType w:val="hybridMultilevel"/>
    <w:lvl w:ilvl="0">
      <w:lvlJc w:val="left"/>
      <w:lvlText w:val="%1."/>
      <w:numFmt w:val="decimal"/>
      <w:start w:val="18"/>
    </w:lvl>
  </w:abstractNum>
  <w:abstractNum w:abstractNumId="84">
    <w:nsid w:val="43F18422"/>
    <w:multiLevelType w:val="hybridMultilevel"/>
    <w:lvl w:ilvl="0">
      <w:lvlJc w:val="left"/>
      <w:lvlText w:val="(%1)"/>
      <w:numFmt w:val="lowerLetter"/>
      <w:start w:val="1"/>
    </w:lvl>
  </w:abstractNum>
  <w:abstractNum w:abstractNumId="85">
    <w:nsid w:val="60EF0119"/>
    <w:multiLevelType w:val="hybridMultilevel"/>
    <w:lvl w:ilvl="0">
      <w:lvlJc w:val="left"/>
      <w:lvlText w:val="%1."/>
      <w:numFmt w:val="decimal"/>
      <w:start w:val="19"/>
    </w:lvl>
  </w:abstractNum>
  <w:abstractNum w:abstractNumId="86">
    <w:nsid w:val="26F324BA"/>
    <w:multiLevelType w:val="hybridMultilevel"/>
    <w:lvl w:ilvl="0">
      <w:lvlJc w:val="left"/>
      <w:lvlText w:val="(%1)"/>
      <w:numFmt w:val="lowerLetter"/>
      <w:start w:val="1"/>
    </w:lvl>
  </w:abstractNum>
  <w:abstractNum w:abstractNumId="87">
    <w:nsid w:val="7F01579B"/>
    <w:multiLevelType w:val="hybridMultilevel"/>
    <w:lvl w:ilvl="0">
      <w:lvlJc w:val="left"/>
      <w:lvlText w:val="(%1)"/>
      <w:numFmt w:val="lowerLetter"/>
      <w:start w:val="1"/>
    </w:lvl>
  </w:abstractNum>
  <w:abstractNum w:abstractNumId="88">
    <w:nsid w:val="49DA307D"/>
    <w:multiLevelType w:val="hybridMultilevel"/>
    <w:lvl w:ilvl="0">
      <w:lvlJc w:val="left"/>
      <w:lvlText w:val="(%1)"/>
      <w:numFmt w:val="lowerRoman"/>
      <w:start w:val="1"/>
    </w:lvl>
  </w:abstractNum>
  <w:abstractNum w:abstractNumId="89">
    <w:nsid w:val="7055A5F5"/>
    <w:multiLevelType w:val="hybridMultilevel"/>
    <w:lvl w:ilvl="0">
      <w:lvlJc w:val="left"/>
      <w:lvlText w:val="%1."/>
      <w:numFmt w:val="decimal"/>
      <w:start w:val="20"/>
    </w:lvl>
  </w:abstractNum>
  <w:abstractNum w:abstractNumId="90">
    <w:nsid w:val="5FB8370B"/>
    <w:multiLevelType w:val="hybridMultilevel"/>
    <w:lvl w:ilvl="0">
      <w:lvlJc w:val="left"/>
      <w:lvlText w:val="%1."/>
      <w:numFmt w:val="decimal"/>
      <w:start w:val="21"/>
    </w:lvl>
  </w:abstractNum>
  <w:abstractNum w:abstractNumId="91">
    <w:nsid w:val="50801EE1"/>
    <w:multiLevelType w:val="hybridMultilevel"/>
    <w:lvl w:ilvl="0">
      <w:lvlJc w:val="left"/>
      <w:lvlText w:val="%1."/>
      <w:numFmt w:val="decimal"/>
      <w:start w:val="22"/>
    </w:lvl>
  </w:abstractNum>
  <w:abstractNum w:abstractNumId="92">
    <w:nsid w:val="488AC1A"/>
    <w:multiLevelType w:val="hybridMultilevel"/>
    <w:lvl w:ilvl="0">
      <w:lvlJc w:val="left"/>
      <w:lvlText w:val="•"/>
      <w:numFmt w:val="bullet"/>
      <w:start w:val="1"/>
    </w:lvl>
  </w:abstractNum>
  <w:abstractNum w:abstractNumId="93">
    <w:nsid w:val="5FB8011C"/>
    <w:multiLevelType w:val="hybridMultilevel"/>
    <w:lvl w:ilvl="0">
      <w:lvlJc w:val="left"/>
      <w:lvlText w:val="(%1)"/>
      <w:numFmt w:val="lowerLetter"/>
      <w:start w:val="1"/>
    </w:lvl>
  </w:abstractNum>
  <w:abstractNum w:abstractNumId="94">
    <w:nsid w:val="6AA78F7F"/>
    <w:multiLevelType w:val="hybridMultilevel"/>
    <w:lvl w:ilvl="0">
      <w:lvlJc w:val="left"/>
      <w:lvlText w:val="(%1)"/>
      <w:numFmt w:val="lowerLetter"/>
      <w:start w:val="2"/>
    </w:lvl>
  </w:abstractNum>
  <w:abstractNum w:abstractNumId="95">
    <w:nsid w:val="7672BD23"/>
    <w:multiLevelType w:val="hybridMultilevel"/>
    <w:lvl w:ilvl="0">
      <w:lvlJc w:val="left"/>
      <w:lvlText w:val="(%1)"/>
      <w:numFmt w:val="lowerLetter"/>
      <w:start w:val="1"/>
    </w:lvl>
  </w:abstractNum>
  <w:abstractNum w:abstractNumId="96">
    <w:nsid w:val="6FC75AF8"/>
    <w:multiLevelType w:val="hybridMultilevel"/>
    <w:lvl w:ilvl="0">
      <w:lvlJc w:val="left"/>
      <w:lvlText w:val="(%1)"/>
      <w:numFmt w:val="decimal"/>
      <w:start w:val="1"/>
    </w:lvl>
  </w:abstractNum>
  <w:abstractNum w:abstractNumId="97">
    <w:nsid w:val="6A5F7029"/>
    <w:multiLevelType w:val="hybridMultilevel"/>
    <w:lvl w:ilvl="0">
      <w:lvlJc w:val="left"/>
      <w:lvlText w:val="(%1)"/>
      <w:numFmt w:val="lowerLetter"/>
      <w:start w:val="1"/>
    </w:lvl>
    <w:lvl w:ilvl="1">
      <w:lvlJc w:val="left"/>
      <w:lvlText w:val="%2."/>
      <w:numFmt w:val="decimal"/>
      <w:start w:val="1"/>
    </w:lvl>
  </w:abstractNum>
  <w:abstractNum w:abstractNumId="98">
    <w:nsid w:val="7D5E18F8"/>
    <w:multiLevelType w:val="hybridMultilevel"/>
    <w:lvl w:ilvl="0">
      <w:lvlJc w:val="left"/>
      <w:lvlText w:val="%1"/>
      <w:numFmt w:val="decimal"/>
      <w:start w:val="104"/>
    </w:lvl>
  </w:abstractNum>
  <w:abstractNum w:abstractNumId="99">
    <w:nsid w:val="5F3534A4"/>
    <w:multiLevelType w:val="hybridMultilevel"/>
    <w:lvl w:ilvl="0">
      <w:lvlJc w:val="left"/>
      <w:lvlText w:val="%1."/>
      <w:numFmt w:val="decimal"/>
      <w:start w:val="1"/>
    </w:lvl>
  </w:abstractNum>
  <w:abstractNum w:abstractNumId="100">
    <w:nsid w:val="73A1821B"/>
    <w:multiLevelType w:val="hybridMultilevel"/>
    <w:lvl w:ilvl="0">
      <w:lvlJc w:val="left"/>
      <w:lvlText w:val="%1."/>
      <w:numFmt w:val="decimal"/>
      <w:start w:val="1"/>
    </w:lvl>
    <w:lvl w:ilvl="1">
      <w:lvlJc w:val="left"/>
      <w:lvlText w:val="(%2)"/>
      <w:numFmt w:val="lowerLetter"/>
      <w:start w:val="1"/>
    </w:lvl>
  </w:abstractNum>
  <w:abstractNum w:abstractNumId="101">
    <w:nsid w:val="7DE6771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83" Type="http://schemas.openxmlformats.org/officeDocument/2006/relationships/image" Target="media/image167.png"/><Relationship Id="rId184" Type="http://schemas.openxmlformats.org/officeDocument/2006/relationships/image" Target="media/image168.png"/><Relationship Id="rId199" Type="http://schemas.openxmlformats.org/officeDocument/2006/relationships/image" Target="media/image169.png"/><Relationship Id="rId200" Type="http://schemas.openxmlformats.org/officeDocument/2006/relationships/image" Target="media/image170.png"/><Relationship Id="rId208" Type="http://schemas.openxmlformats.org/officeDocument/2006/relationships/image" Target="media/image171.png"/><Relationship Id="rId209" Type="http://schemas.openxmlformats.org/officeDocument/2006/relationships/image" Target="media/image172.png"/><Relationship Id="rId210" Type="http://schemas.openxmlformats.org/officeDocument/2006/relationships/image" Target="media/image173.png"/><Relationship Id="rId211" Type="http://schemas.openxmlformats.org/officeDocument/2006/relationships/image" Target="media/image174.png"/><Relationship Id="rId212" Type="http://schemas.openxmlformats.org/officeDocument/2006/relationships/image" Target="media/image175.png"/><Relationship Id="rId213" Type="http://schemas.openxmlformats.org/officeDocument/2006/relationships/image" Target="media/image176.png"/><Relationship Id="rId214" Type="http://schemas.openxmlformats.org/officeDocument/2006/relationships/image" Target="media/image177.png"/><Relationship Id="rId215" Type="http://schemas.openxmlformats.org/officeDocument/2006/relationships/image" Target="media/image178.png"/><Relationship Id="rId216" Type="http://schemas.openxmlformats.org/officeDocument/2006/relationships/image" Target="media/image179.png"/><Relationship Id="rId217" Type="http://schemas.openxmlformats.org/officeDocument/2006/relationships/image" Target="media/image180.png"/><Relationship Id="rId218" Type="http://schemas.openxmlformats.org/officeDocument/2006/relationships/image" Target="media/image181.png"/><Relationship Id="rId219" Type="http://schemas.openxmlformats.org/officeDocument/2006/relationships/image" Target="media/image182.png"/><Relationship Id="rId220" Type="http://schemas.openxmlformats.org/officeDocument/2006/relationships/image" Target="media/image183.png"/><Relationship Id="rId174" Type="http://schemas.openxmlformats.org/officeDocument/2006/relationships/hyperlink" Target="http://www.sec.gov/Archives/edgar/data/1326141/000119312505145683/dex31.htm" TargetMode="External"/><Relationship Id="rId175" Type="http://schemas.openxmlformats.org/officeDocument/2006/relationships/hyperlink" Target="http://www.sec.gov/Archives/edgar/data/1326141/000119312505145683/dex32.htm" TargetMode="External"/><Relationship Id="rId176" Type="http://schemas.openxmlformats.org/officeDocument/2006/relationships/hyperlink" Target="http://www.sec.gov/Archives/edgar/data/1326141/000119312519027573/d655030dex991.htm" TargetMode="External"/><Relationship Id="rId177" Type="http://schemas.openxmlformats.org/officeDocument/2006/relationships/hyperlink" Target="http://www.sec.gov/Archives/edgar/data/1326141/000119312505145683/dex41.htm" TargetMode="External"/><Relationship Id="rId178" Type="http://schemas.openxmlformats.org/officeDocument/2006/relationships/hyperlink" Target="http://www.sec.gov/Archives/edgar/data/1326141/000119312515050372/d871109dex41.htm" TargetMode="External"/><Relationship Id="rId179" Type="http://schemas.openxmlformats.org/officeDocument/2006/relationships/hyperlink" Target="http://www.sec.gov/Archives/edgar/data/1326141/000119312516760474/d275674dex41.htm" TargetMode="External"/><Relationship Id="rId180" Type="http://schemas.openxmlformats.org/officeDocument/2006/relationships/hyperlink" Target="http://www.sec.gov/Archives/edgar/data/1311370/000119312518277695/d614135dex41.htm" TargetMode="External"/><Relationship Id="rId181" Type="http://schemas.openxmlformats.org/officeDocument/2006/relationships/hyperlink" Target="http://www.sec.gov/Archives/edgar/data/1326141/000095015719000258/ex4-1.htm" TargetMode="External"/><Relationship Id="rId182" Type="http://schemas.openxmlformats.org/officeDocument/2006/relationships/hyperlink" Target="http://www.sec.gov/Archives/edgar/data/1311370/000119312505025486/dex1019.htm" TargetMode="External"/><Relationship Id="rId185" Type="http://schemas.openxmlformats.org/officeDocument/2006/relationships/hyperlink" Target="http://www.sec.gov/Archives/edgar/data/1326141/000119312511117049/dex1015.htm" TargetMode="External"/><Relationship Id="rId186" Type="http://schemas.openxmlformats.org/officeDocument/2006/relationships/hyperlink" Target="http://www.sec.gov/Archives/edgar/data/1311370/000119312505091140/dex1021.htm" TargetMode="External"/><Relationship Id="rId187" Type="http://schemas.openxmlformats.org/officeDocument/2006/relationships/hyperlink" Target="http://www.sec.gov/Archives/edgar/data/1311370/000119312508063107/ddef14a.htm" TargetMode="External"/><Relationship Id="rId188" Type="http://schemas.openxmlformats.org/officeDocument/2006/relationships/hyperlink" Target="http://www.sec.gov/Archives/edgar/data/1311370/000119312516500308/d128121ddef14a.htm" TargetMode="External"/><Relationship Id="rId189" Type="http://schemas.openxmlformats.org/officeDocument/2006/relationships/hyperlink" Target="http://www.sec.gov/Archives/edgar/data/1311370/000119312518082725/d525181ddef14a.htm" TargetMode="External"/><Relationship Id="rId190" Type="http://schemas.openxmlformats.org/officeDocument/2006/relationships/hyperlink" Target="http://www.sec.gov/Archives/edgar/data/1326141/000119312519096110/d698065dex101.htm" TargetMode="External"/><Relationship Id="rId191" Type="http://schemas.openxmlformats.org/officeDocument/2006/relationships/hyperlink" Target="http://www.sec.gov/Archives/edgar/data/1326141/000119312519096110/d698065dex103.htm" TargetMode="External"/><Relationship Id="rId192" Type="http://schemas.openxmlformats.org/officeDocument/2006/relationships/hyperlink" Target="http://www.sec.gov/Archives/edgar/data/1326141/000119312519096110/d698065dex104.htm" TargetMode="External"/><Relationship Id="rId193" Type="http://schemas.openxmlformats.org/officeDocument/2006/relationships/hyperlink" Target="http://www.sec.gov/Archives/edgar/data/1326141/000119312519096110/d698065dex102.htm" TargetMode="External"/><Relationship Id="rId194" Type="http://schemas.openxmlformats.org/officeDocument/2006/relationships/hyperlink" Target="http://www.sec.gov/Archives/edgar/data/1326141/000119312519096110/d698065dex105.htm" TargetMode="External"/><Relationship Id="rId195" Type="http://schemas.openxmlformats.org/officeDocument/2006/relationships/hyperlink" Target="http://www.sec.gov/Archives/edgar/data/1311370/000089882205001180/sept9_exhibit.txt" TargetMode="External"/><Relationship Id="rId196" Type="http://schemas.openxmlformats.org/officeDocument/2006/relationships/hyperlink" Target="http://www.sec.gov/Archives/edgar/data/1311370/000119312509041325/dex1041.htm" TargetMode="External"/><Relationship Id="rId197" Type="http://schemas.openxmlformats.org/officeDocument/2006/relationships/hyperlink" Target="http://www.sec.gov/Archives/edgar/data/1311370/000119312509041325/dex1042.htm" TargetMode="External"/><Relationship Id="rId198" Type="http://schemas.openxmlformats.org/officeDocument/2006/relationships/hyperlink" Target="http://www.sec.gov/Archives/edgar/data/1311370/000119312506109044/dex1039.htm" TargetMode="External"/><Relationship Id="rId201" Type="http://schemas.openxmlformats.org/officeDocument/2006/relationships/hyperlink" Target="http://www.sec.gov/Archives/edgar/data/1326141/000119312515355050/d40575dex1025.htm" TargetMode="External"/><Relationship Id="rId202" Type="http://schemas.openxmlformats.org/officeDocument/2006/relationships/hyperlink" Target="http://www.sec.gov/Archives/edgar/data/1326141/000119312513188145/d507153dex1054.htm" TargetMode="External"/><Relationship Id="rId203" Type="http://schemas.openxmlformats.org/officeDocument/2006/relationships/hyperlink" Target="http://www.sec.gov/Archives/edgar/data/1326141/000119312514185018/d700862dex1054.htm" TargetMode="External"/><Relationship Id="rId204" Type="http://schemas.openxmlformats.org/officeDocument/2006/relationships/hyperlink" Target="http://www.sec.gov/Archives/edgar/data/1326141/000119312514185018/d700862dex1055.htm" TargetMode="External"/><Relationship Id="rId205" Type="http://schemas.openxmlformats.org/officeDocument/2006/relationships/hyperlink" Target="http://www.sec.gov/Archives/edgar/data/1326141/000119312510102282/dex1054.htm" TargetMode="External"/><Relationship Id="rId206" Type="http://schemas.openxmlformats.org/officeDocument/2006/relationships/hyperlink" Target="http://www.sec.gov/Archives/edgar/data/1326141/000119312511117049/dex1054.htm" TargetMode="External"/><Relationship Id="rId207" Type="http://schemas.openxmlformats.org/officeDocument/2006/relationships/hyperlink" Target="http://www.sec.gov/Archives/edgar/data/1326141/000156459019013925/lzd-ex1022_6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2020-02-25T05:53:32Z</dcterms:created>
  <dcterms:modified xsi:type="dcterms:W3CDTF">2020-02-25T05:53:32Z</dcterms:modified>
</cp:coreProperties>
</file>